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B1BD18">
      <w:pPr>
        <w:rPr>
          <w:rFonts w:hint="eastAsia" w:eastAsia="隶书"/>
          <w:u w:val="single"/>
        </w:rPr>
      </w:pPr>
    </w:p>
    <w:p w14:paraId="0101870D">
      <w:pPr>
        <w:rPr>
          <w:rFonts w:hint="eastAsia" w:eastAsia="隶书"/>
          <w:u w:val="single"/>
        </w:rPr>
      </w:pPr>
    </w:p>
    <w:p w14:paraId="7179230F">
      <w:pPr>
        <w:rPr>
          <w:rFonts w:hint="eastAsia" w:eastAsia="隶书"/>
          <w:u w:val="single"/>
        </w:rPr>
      </w:pPr>
    </w:p>
    <w:p w14:paraId="6941CB54">
      <w:pPr>
        <w:rPr>
          <w:rFonts w:hint="eastAsia" w:eastAsia="隶书"/>
          <w:u w:val="single"/>
        </w:rPr>
      </w:pPr>
    </w:p>
    <w:p w14:paraId="1F936F2B">
      <w:pPr>
        <w:rPr>
          <w:rFonts w:hint="eastAsia" w:eastAsia="隶书"/>
          <w:u w:val="single"/>
        </w:rPr>
      </w:pPr>
    </w:p>
    <w:p w14:paraId="4FB3AC24">
      <w:pPr>
        <w:rPr>
          <w:rFonts w:hint="eastAsia" w:eastAsia="隶书"/>
          <w:u w:val="single"/>
        </w:rPr>
      </w:pPr>
    </w:p>
    <w:p w14:paraId="6E4ECB4A">
      <w:pPr>
        <w:rPr>
          <w:rFonts w:hint="eastAsia" w:eastAsia="隶书"/>
          <w:u w:val="single"/>
        </w:rPr>
      </w:pPr>
    </w:p>
    <w:p w14:paraId="51558B5F">
      <w:pPr>
        <w:jc w:val="center"/>
        <w:rPr>
          <w:rFonts w:hint="eastAsia" w:eastAsia="黑体"/>
          <w:b/>
          <w:spacing w:val="40"/>
          <w:sz w:val="52"/>
        </w:rPr>
      </w:pPr>
      <w:r>
        <w:rPr>
          <w:rFonts w:hint="eastAsia" w:eastAsia="黑体"/>
          <w:b/>
          <w:spacing w:val="40"/>
          <w:sz w:val="52"/>
        </w:rPr>
        <w:t>《机制砂石母岩技术要求》</w:t>
      </w:r>
    </w:p>
    <w:p w14:paraId="16689C2C">
      <w:pPr>
        <w:jc w:val="center"/>
        <w:rPr>
          <w:rFonts w:hint="eastAsia" w:eastAsia="黑体"/>
          <w:b/>
          <w:spacing w:val="40"/>
          <w:sz w:val="52"/>
          <w:lang w:eastAsia="zh-CN"/>
        </w:rPr>
      </w:pPr>
      <w:r>
        <w:rPr>
          <w:rFonts w:hint="eastAsia" w:eastAsia="黑体"/>
          <w:b/>
          <w:spacing w:val="40"/>
          <w:sz w:val="52"/>
          <w:lang w:eastAsia="zh-CN"/>
        </w:rPr>
        <w:t>建材</w:t>
      </w:r>
      <w:r>
        <w:rPr>
          <w:rFonts w:hint="eastAsia" w:eastAsia="黑体"/>
          <w:b/>
          <w:spacing w:val="40"/>
          <w:sz w:val="52"/>
          <w:lang w:val="en-US" w:eastAsia="zh-CN"/>
        </w:rPr>
        <w:t>团体</w:t>
      </w:r>
      <w:r>
        <w:rPr>
          <w:rFonts w:hint="eastAsia" w:eastAsia="黑体"/>
          <w:b/>
          <w:spacing w:val="40"/>
          <w:sz w:val="52"/>
        </w:rPr>
        <w:t>标准</w:t>
      </w:r>
      <w:r>
        <w:rPr>
          <w:rFonts w:hint="eastAsia" w:eastAsia="黑体"/>
          <w:b/>
          <w:spacing w:val="40"/>
          <w:sz w:val="52"/>
          <w:lang w:eastAsia="zh-CN"/>
        </w:rPr>
        <w:t>编制说明</w:t>
      </w:r>
    </w:p>
    <w:p w14:paraId="0E9CEF87">
      <w:pPr>
        <w:jc w:val="center"/>
        <w:rPr>
          <w:rFonts w:hint="eastAsia" w:ascii="宋体" w:hAnsi="宋体"/>
          <w:sz w:val="44"/>
        </w:rPr>
      </w:pPr>
      <w:r>
        <w:rPr>
          <w:rFonts w:hint="eastAsia" w:ascii="宋体" w:hAnsi="宋体"/>
          <w:sz w:val="44"/>
        </w:rPr>
        <w:t>（</w:t>
      </w:r>
      <w:r>
        <w:rPr>
          <w:rFonts w:hint="eastAsia" w:ascii="宋体" w:hAnsi="宋体"/>
          <w:sz w:val="44"/>
          <w:lang w:val="en-US" w:eastAsia="zh-CN"/>
        </w:rPr>
        <w:t>征求意见</w:t>
      </w:r>
      <w:r>
        <w:rPr>
          <w:rFonts w:hint="eastAsia" w:ascii="宋体" w:hAnsi="宋体"/>
          <w:sz w:val="44"/>
        </w:rPr>
        <w:t>稿）</w:t>
      </w:r>
    </w:p>
    <w:p w14:paraId="58F967F6">
      <w:pPr>
        <w:jc w:val="center"/>
        <w:rPr>
          <w:rFonts w:hint="eastAsia" w:ascii="楷体_GB2312" w:eastAsia="楷体_GB2312"/>
          <w:b/>
          <w:sz w:val="44"/>
        </w:rPr>
      </w:pPr>
    </w:p>
    <w:p w14:paraId="7CB107F6">
      <w:pPr>
        <w:jc w:val="center"/>
        <w:rPr>
          <w:rFonts w:hint="eastAsia"/>
          <w:b/>
          <w:sz w:val="32"/>
        </w:rPr>
      </w:pPr>
    </w:p>
    <w:p w14:paraId="5F95D5F1">
      <w:pPr>
        <w:jc w:val="center"/>
        <w:rPr>
          <w:b/>
          <w:sz w:val="32"/>
        </w:rPr>
      </w:pPr>
    </w:p>
    <w:p w14:paraId="4F03D24C">
      <w:pPr>
        <w:jc w:val="center"/>
        <w:rPr>
          <w:b/>
          <w:sz w:val="32"/>
        </w:rPr>
      </w:pPr>
    </w:p>
    <w:p w14:paraId="3ABB4F0F">
      <w:pPr>
        <w:jc w:val="center"/>
        <w:rPr>
          <w:b/>
          <w:sz w:val="32"/>
        </w:rPr>
      </w:pPr>
    </w:p>
    <w:p w14:paraId="7E7DB087">
      <w:pPr>
        <w:jc w:val="center"/>
        <w:rPr>
          <w:b/>
          <w:sz w:val="32"/>
        </w:rPr>
      </w:pPr>
    </w:p>
    <w:p w14:paraId="58B0A2C7">
      <w:pPr>
        <w:jc w:val="center"/>
        <w:rPr>
          <w:rFonts w:hint="eastAsia"/>
          <w:b/>
          <w:sz w:val="32"/>
        </w:rPr>
      </w:pPr>
    </w:p>
    <w:p w14:paraId="43C5107A">
      <w:pPr>
        <w:jc w:val="center"/>
        <w:rPr>
          <w:rFonts w:hint="eastAsia"/>
          <w:b/>
          <w:sz w:val="32"/>
        </w:rPr>
      </w:pPr>
    </w:p>
    <w:p w14:paraId="17EA4AC4">
      <w:pPr>
        <w:jc w:val="center"/>
        <w:rPr>
          <w:rFonts w:hint="eastAsia"/>
          <w:b/>
          <w:sz w:val="32"/>
        </w:rPr>
      </w:pPr>
    </w:p>
    <w:p w14:paraId="6A947762">
      <w:pPr>
        <w:jc w:val="center"/>
        <w:rPr>
          <w:rFonts w:hint="eastAsia"/>
          <w:b/>
          <w:sz w:val="32"/>
        </w:rPr>
      </w:pPr>
    </w:p>
    <w:p w14:paraId="2D4DB9B5">
      <w:pPr>
        <w:rPr>
          <w:rFonts w:hint="eastAsia"/>
          <w:b/>
        </w:rPr>
      </w:pPr>
    </w:p>
    <w:p w14:paraId="7EC799EF">
      <w:pPr>
        <w:jc w:val="center"/>
        <w:rPr>
          <w:rFonts w:hint="eastAsia"/>
          <w:b/>
          <w:sz w:val="36"/>
        </w:rPr>
      </w:pPr>
      <w:r>
        <w:rPr>
          <w:rFonts w:hint="eastAsia"/>
          <w:b/>
          <w:sz w:val="36"/>
        </w:rPr>
        <w:t>标准编制组</w:t>
      </w:r>
    </w:p>
    <w:p w14:paraId="64DF1CC1">
      <w:pPr>
        <w:jc w:val="center"/>
        <w:rPr>
          <w:rFonts w:hint="eastAsia"/>
          <w:b/>
          <w:sz w:val="36"/>
        </w:rPr>
      </w:pPr>
      <w:r>
        <w:rPr>
          <w:rFonts w:hint="eastAsia"/>
          <w:b/>
          <w:sz w:val="36"/>
        </w:rPr>
        <w:t>202</w:t>
      </w:r>
      <w:r>
        <w:rPr>
          <w:rFonts w:hint="eastAsia"/>
          <w:b/>
          <w:sz w:val="36"/>
          <w:lang w:val="en-US" w:eastAsia="zh-CN"/>
        </w:rPr>
        <w:t>5</w:t>
      </w:r>
      <w:r>
        <w:rPr>
          <w:rFonts w:hint="eastAsia"/>
          <w:b/>
          <w:sz w:val="36"/>
        </w:rPr>
        <w:t>年</w:t>
      </w:r>
      <w:r>
        <w:rPr>
          <w:rFonts w:hint="eastAsia"/>
          <w:b/>
          <w:sz w:val="36"/>
          <w:lang w:val="en-US" w:eastAsia="zh-CN"/>
        </w:rPr>
        <w:t>8</w:t>
      </w:r>
      <w:r>
        <w:rPr>
          <w:rFonts w:hint="eastAsia"/>
          <w:b/>
          <w:sz w:val="36"/>
        </w:rPr>
        <w:t>月</w:t>
      </w:r>
    </w:p>
    <w:p w14:paraId="36328010">
      <w:pPr>
        <w:jc w:val="center"/>
        <w:rPr>
          <w:rFonts w:hint="eastAsia"/>
          <w:b/>
        </w:rPr>
      </w:pPr>
    </w:p>
    <w:p w14:paraId="07E49A8B">
      <w:pPr>
        <w:spacing w:line="240" w:lineRule="exact"/>
        <w:jc w:val="center"/>
        <w:rPr>
          <w:rFonts w:hint="eastAsia" w:eastAsia="黑体"/>
          <w:sz w:val="44"/>
        </w:rPr>
      </w:pPr>
      <w:r>
        <w:rPr>
          <w:rFonts w:eastAsia="黑体"/>
          <w:sz w:val="44"/>
        </w:rPr>
        <w:t> </w:t>
      </w:r>
    </w:p>
    <w:p w14:paraId="629D9105">
      <w:pPr>
        <w:ind w:firstLine="420" w:firstLineChars="200"/>
        <w:rPr>
          <w:rFonts w:hint="eastAsia" w:ascii="宋体" w:hAnsi="宋体"/>
          <w:szCs w:val="21"/>
        </w:rPr>
      </w:pPr>
    </w:p>
    <w:p w14:paraId="3CD38B82">
      <w:pPr>
        <w:ind w:firstLine="420" w:firstLineChars="200"/>
        <w:rPr>
          <w:rFonts w:ascii="宋体" w:hAnsi="宋体"/>
          <w:szCs w:val="21"/>
        </w:rPr>
        <w:sectPr>
          <w:footerReference r:id="rId3" w:type="default"/>
          <w:pgSz w:w="11906" w:h="16838"/>
          <w:pgMar w:top="1440" w:right="1800" w:bottom="1440" w:left="1800" w:header="851" w:footer="992" w:gutter="0"/>
          <w:cols w:space="720" w:num="1"/>
          <w:docGrid w:type="lines" w:linePitch="312" w:charSpace="0"/>
        </w:sectPr>
      </w:pPr>
    </w:p>
    <w:p w14:paraId="56FB0ADB">
      <w:pPr>
        <w:ind w:firstLine="723" w:firstLineChars="200"/>
        <w:jc w:val="center"/>
        <w:rPr>
          <w:rFonts w:hint="eastAsia" w:ascii="宋体" w:hAnsi="宋体"/>
          <w:b/>
          <w:sz w:val="36"/>
          <w:szCs w:val="36"/>
        </w:rPr>
      </w:pPr>
      <w:r>
        <w:rPr>
          <w:rFonts w:hint="eastAsia" w:ascii="宋体" w:hAnsi="宋体"/>
          <w:b/>
          <w:sz w:val="36"/>
          <w:szCs w:val="36"/>
        </w:rPr>
        <w:t>目录</w:t>
      </w:r>
    </w:p>
    <w:p w14:paraId="00197D05">
      <w:pPr>
        <w:pStyle w:val="7"/>
        <w:tabs>
          <w:tab w:val="right" w:leader="dot" w:pos="8306"/>
          <w:tab w:val="clear" w:pos="8296"/>
        </w:tabs>
      </w:pPr>
      <w:r>
        <w:fldChar w:fldCharType="begin"/>
      </w:r>
      <w:r>
        <w:instrText xml:space="preserve"> TOC \o "1-3" \h \z \u </w:instrText>
      </w:r>
      <w:r>
        <w:fldChar w:fldCharType="separate"/>
      </w:r>
      <w:r>
        <w:fldChar w:fldCharType="begin"/>
      </w:r>
      <w:r>
        <w:instrText xml:space="preserve"> HYPERLINK \l _Toc7659 </w:instrText>
      </w:r>
      <w:r>
        <w:fldChar w:fldCharType="separate"/>
      </w:r>
      <w:r>
        <w:rPr>
          <w:rFonts w:hint="eastAsia"/>
        </w:rPr>
        <w:t>一、工作简况</w:t>
      </w:r>
      <w:r>
        <w:tab/>
      </w:r>
      <w:r>
        <w:fldChar w:fldCharType="begin"/>
      </w:r>
      <w:r>
        <w:instrText xml:space="preserve"> PAGEREF _Toc7659 \h </w:instrText>
      </w:r>
      <w:r>
        <w:fldChar w:fldCharType="separate"/>
      </w:r>
      <w:r>
        <w:t>3</w:t>
      </w:r>
      <w:r>
        <w:fldChar w:fldCharType="end"/>
      </w:r>
      <w:r>
        <w:fldChar w:fldCharType="end"/>
      </w:r>
    </w:p>
    <w:p w14:paraId="09C73CB2">
      <w:pPr>
        <w:pStyle w:val="8"/>
        <w:tabs>
          <w:tab w:val="right" w:leader="dot" w:pos="8306"/>
        </w:tabs>
      </w:pPr>
      <w:r>
        <w:rPr>
          <w:bCs/>
          <w:lang w:val="zh-CN"/>
        </w:rPr>
        <w:fldChar w:fldCharType="begin"/>
      </w:r>
      <w:r>
        <w:rPr>
          <w:bCs/>
          <w:lang w:val="zh-CN"/>
        </w:rPr>
        <w:instrText xml:space="preserve"> HYPERLINK \l _Toc9244 </w:instrText>
      </w:r>
      <w:r>
        <w:rPr>
          <w:bCs/>
          <w:lang w:val="zh-CN"/>
        </w:rPr>
        <w:fldChar w:fldCharType="separate"/>
      </w:r>
      <w:r>
        <w:rPr>
          <w:rFonts w:hint="eastAsia"/>
        </w:rPr>
        <w:t>1、任务来源</w:t>
      </w:r>
      <w:r>
        <w:tab/>
      </w:r>
      <w:r>
        <w:fldChar w:fldCharType="begin"/>
      </w:r>
      <w:r>
        <w:instrText xml:space="preserve"> PAGEREF _Toc9244 \h </w:instrText>
      </w:r>
      <w:r>
        <w:fldChar w:fldCharType="separate"/>
      </w:r>
      <w:r>
        <w:t>3</w:t>
      </w:r>
      <w:r>
        <w:fldChar w:fldCharType="end"/>
      </w:r>
      <w:r>
        <w:rPr>
          <w:bCs/>
          <w:lang w:val="zh-CN"/>
        </w:rPr>
        <w:fldChar w:fldCharType="end"/>
      </w:r>
    </w:p>
    <w:p w14:paraId="701BC0A3">
      <w:pPr>
        <w:pStyle w:val="8"/>
        <w:tabs>
          <w:tab w:val="right" w:leader="dot" w:pos="8306"/>
        </w:tabs>
      </w:pPr>
      <w:r>
        <w:rPr>
          <w:bCs/>
          <w:lang w:val="zh-CN"/>
        </w:rPr>
        <w:fldChar w:fldCharType="begin"/>
      </w:r>
      <w:r>
        <w:rPr>
          <w:bCs/>
          <w:lang w:val="zh-CN"/>
        </w:rPr>
        <w:instrText xml:space="preserve"> HYPERLINK \l _Toc6416 </w:instrText>
      </w:r>
      <w:r>
        <w:rPr>
          <w:bCs/>
          <w:lang w:val="zh-CN"/>
        </w:rPr>
        <w:fldChar w:fldCharType="separate"/>
      </w:r>
      <w:r>
        <w:rPr>
          <w:rFonts w:hint="eastAsia"/>
        </w:rPr>
        <w:t>2、工作过程</w:t>
      </w:r>
      <w:r>
        <w:tab/>
      </w:r>
      <w:r>
        <w:fldChar w:fldCharType="begin"/>
      </w:r>
      <w:r>
        <w:instrText xml:space="preserve"> PAGEREF _Toc6416 \h </w:instrText>
      </w:r>
      <w:r>
        <w:fldChar w:fldCharType="separate"/>
      </w:r>
      <w:r>
        <w:t>3</w:t>
      </w:r>
      <w:r>
        <w:fldChar w:fldCharType="end"/>
      </w:r>
      <w:r>
        <w:rPr>
          <w:bCs/>
          <w:lang w:val="zh-CN"/>
        </w:rPr>
        <w:fldChar w:fldCharType="end"/>
      </w:r>
    </w:p>
    <w:p w14:paraId="3E5B6563">
      <w:pPr>
        <w:pStyle w:val="8"/>
        <w:tabs>
          <w:tab w:val="right" w:leader="dot" w:pos="8306"/>
        </w:tabs>
      </w:pPr>
      <w:r>
        <w:rPr>
          <w:bCs/>
          <w:lang w:val="zh-CN"/>
        </w:rPr>
        <w:fldChar w:fldCharType="begin"/>
      </w:r>
      <w:r>
        <w:rPr>
          <w:bCs/>
          <w:lang w:val="zh-CN"/>
        </w:rPr>
        <w:instrText xml:space="preserve"> HYPERLINK \l _Toc19979 </w:instrText>
      </w:r>
      <w:r>
        <w:rPr>
          <w:bCs/>
          <w:lang w:val="zh-CN"/>
        </w:rPr>
        <w:fldChar w:fldCharType="separate"/>
      </w:r>
      <w:r>
        <w:rPr>
          <w:rFonts w:hint="eastAsia"/>
        </w:rPr>
        <w:t>3、 主要参加单位及分工</w:t>
      </w:r>
      <w:r>
        <w:tab/>
      </w:r>
      <w:r>
        <w:fldChar w:fldCharType="begin"/>
      </w:r>
      <w:r>
        <w:instrText xml:space="preserve"> PAGEREF _Toc19979 \h </w:instrText>
      </w:r>
      <w:r>
        <w:fldChar w:fldCharType="separate"/>
      </w:r>
      <w:r>
        <w:t>3</w:t>
      </w:r>
      <w:r>
        <w:fldChar w:fldCharType="end"/>
      </w:r>
      <w:r>
        <w:rPr>
          <w:bCs/>
          <w:lang w:val="zh-CN"/>
        </w:rPr>
        <w:fldChar w:fldCharType="end"/>
      </w:r>
    </w:p>
    <w:p w14:paraId="3D2D366A">
      <w:pPr>
        <w:pStyle w:val="7"/>
        <w:tabs>
          <w:tab w:val="right" w:leader="dot" w:pos="8306"/>
          <w:tab w:val="clear" w:pos="8296"/>
        </w:tabs>
      </w:pPr>
      <w:r>
        <w:rPr>
          <w:bCs/>
          <w:lang w:val="zh-CN"/>
        </w:rPr>
        <w:fldChar w:fldCharType="begin"/>
      </w:r>
      <w:r>
        <w:rPr>
          <w:bCs/>
          <w:lang w:val="zh-CN"/>
        </w:rPr>
        <w:instrText xml:space="preserve"> HYPERLINK \l _Toc13376 </w:instrText>
      </w:r>
      <w:r>
        <w:rPr>
          <w:bCs/>
          <w:lang w:val="zh-CN"/>
        </w:rPr>
        <w:fldChar w:fldCharType="separate"/>
      </w:r>
      <w:r>
        <w:rPr>
          <w:rFonts w:hint="eastAsia"/>
        </w:rPr>
        <w:t>二、标准编制原则和主要修订内容</w:t>
      </w:r>
      <w:r>
        <w:tab/>
      </w:r>
      <w:r>
        <w:fldChar w:fldCharType="begin"/>
      </w:r>
      <w:r>
        <w:instrText xml:space="preserve"> PAGEREF _Toc13376 \h </w:instrText>
      </w:r>
      <w:r>
        <w:fldChar w:fldCharType="separate"/>
      </w:r>
      <w:r>
        <w:t>4</w:t>
      </w:r>
      <w:r>
        <w:fldChar w:fldCharType="end"/>
      </w:r>
      <w:r>
        <w:rPr>
          <w:bCs/>
          <w:lang w:val="zh-CN"/>
        </w:rPr>
        <w:fldChar w:fldCharType="end"/>
      </w:r>
    </w:p>
    <w:p w14:paraId="3DD7A031">
      <w:pPr>
        <w:pStyle w:val="8"/>
        <w:tabs>
          <w:tab w:val="right" w:leader="dot" w:pos="8306"/>
        </w:tabs>
      </w:pPr>
      <w:r>
        <w:rPr>
          <w:bCs/>
          <w:lang w:val="zh-CN"/>
        </w:rPr>
        <w:fldChar w:fldCharType="begin"/>
      </w:r>
      <w:r>
        <w:rPr>
          <w:bCs/>
          <w:lang w:val="zh-CN"/>
        </w:rPr>
        <w:instrText xml:space="preserve"> HYPERLINK \l _Toc28701 </w:instrText>
      </w:r>
      <w:r>
        <w:rPr>
          <w:bCs/>
          <w:lang w:val="zh-CN"/>
        </w:rPr>
        <w:fldChar w:fldCharType="separate"/>
      </w:r>
      <w:r>
        <w:rPr>
          <w:rFonts w:hint="eastAsia"/>
        </w:rPr>
        <w:t>1、标准编制目的意义</w:t>
      </w:r>
      <w:r>
        <w:tab/>
      </w:r>
      <w:r>
        <w:fldChar w:fldCharType="begin"/>
      </w:r>
      <w:r>
        <w:instrText xml:space="preserve"> PAGEREF _Toc28701 \h </w:instrText>
      </w:r>
      <w:r>
        <w:fldChar w:fldCharType="separate"/>
      </w:r>
      <w:r>
        <w:t>4</w:t>
      </w:r>
      <w:r>
        <w:fldChar w:fldCharType="end"/>
      </w:r>
      <w:r>
        <w:rPr>
          <w:bCs/>
          <w:lang w:val="zh-CN"/>
        </w:rPr>
        <w:fldChar w:fldCharType="end"/>
      </w:r>
    </w:p>
    <w:p w14:paraId="46352015">
      <w:pPr>
        <w:pStyle w:val="8"/>
        <w:tabs>
          <w:tab w:val="right" w:leader="dot" w:pos="8306"/>
        </w:tabs>
      </w:pPr>
      <w:r>
        <w:rPr>
          <w:bCs/>
          <w:lang w:val="zh-CN"/>
        </w:rPr>
        <w:fldChar w:fldCharType="begin"/>
      </w:r>
      <w:r>
        <w:rPr>
          <w:bCs/>
          <w:lang w:val="zh-CN"/>
        </w:rPr>
        <w:instrText xml:space="preserve"> HYPERLINK \l _Toc14147 </w:instrText>
      </w:r>
      <w:r>
        <w:rPr>
          <w:bCs/>
          <w:lang w:val="zh-CN"/>
        </w:rPr>
        <w:fldChar w:fldCharType="separate"/>
      </w:r>
      <w:r>
        <w:rPr>
          <w:bCs/>
        </w:rPr>
        <w:t>2</w:t>
      </w:r>
      <w:r>
        <w:rPr>
          <w:rFonts w:hint="eastAsia"/>
          <w:bCs/>
        </w:rPr>
        <w:t>、标准编制原则</w:t>
      </w:r>
      <w:r>
        <w:tab/>
      </w:r>
      <w:r>
        <w:fldChar w:fldCharType="begin"/>
      </w:r>
      <w:r>
        <w:instrText xml:space="preserve"> PAGEREF _Toc14147 \h </w:instrText>
      </w:r>
      <w:r>
        <w:fldChar w:fldCharType="separate"/>
      </w:r>
      <w:r>
        <w:t>4</w:t>
      </w:r>
      <w:r>
        <w:fldChar w:fldCharType="end"/>
      </w:r>
      <w:r>
        <w:rPr>
          <w:bCs/>
          <w:lang w:val="zh-CN"/>
        </w:rPr>
        <w:fldChar w:fldCharType="end"/>
      </w:r>
    </w:p>
    <w:p w14:paraId="1591F0A8">
      <w:pPr>
        <w:pStyle w:val="8"/>
        <w:tabs>
          <w:tab w:val="right" w:leader="dot" w:pos="8306"/>
        </w:tabs>
      </w:pPr>
      <w:r>
        <w:rPr>
          <w:bCs/>
          <w:lang w:val="zh-CN"/>
        </w:rPr>
        <w:fldChar w:fldCharType="begin"/>
      </w:r>
      <w:r>
        <w:rPr>
          <w:bCs/>
          <w:lang w:val="zh-CN"/>
        </w:rPr>
        <w:instrText xml:space="preserve"> HYPERLINK \l _Toc24332 </w:instrText>
      </w:r>
      <w:r>
        <w:rPr>
          <w:bCs/>
          <w:lang w:val="zh-CN"/>
        </w:rPr>
        <w:fldChar w:fldCharType="separate"/>
      </w:r>
      <w:r>
        <w:rPr>
          <w:rFonts w:hint="eastAsia"/>
          <w:bCs/>
        </w:rPr>
        <w:t>3、主要</w:t>
      </w:r>
      <w:r>
        <w:rPr>
          <w:rFonts w:hint="eastAsia"/>
          <w:bCs/>
          <w:lang w:val="en-US" w:eastAsia="zh-CN"/>
        </w:rPr>
        <w:t>制定</w:t>
      </w:r>
      <w:r>
        <w:rPr>
          <w:rFonts w:hint="eastAsia"/>
          <w:bCs/>
        </w:rPr>
        <w:t>内容</w:t>
      </w:r>
      <w:r>
        <w:tab/>
      </w:r>
      <w:r>
        <w:fldChar w:fldCharType="begin"/>
      </w:r>
      <w:r>
        <w:instrText xml:space="preserve"> PAGEREF _Toc24332 \h </w:instrText>
      </w:r>
      <w:r>
        <w:fldChar w:fldCharType="separate"/>
      </w:r>
      <w:r>
        <w:t>4</w:t>
      </w:r>
      <w:r>
        <w:fldChar w:fldCharType="end"/>
      </w:r>
      <w:r>
        <w:rPr>
          <w:bCs/>
          <w:lang w:val="zh-CN"/>
        </w:rPr>
        <w:fldChar w:fldCharType="end"/>
      </w:r>
    </w:p>
    <w:p w14:paraId="1EE2BFB8">
      <w:pPr>
        <w:pStyle w:val="4"/>
        <w:tabs>
          <w:tab w:val="right" w:leader="dot" w:pos="8306"/>
        </w:tabs>
      </w:pPr>
      <w:r>
        <w:rPr>
          <w:bCs/>
          <w:lang w:val="zh-CN"/>
        </w:rPr>
        <w:fldChar w:fldCharType="begin"/>
      </w:r>
      <w:r>
        <w:rPr>
          <w:bCs/>
          <w:lang w:val="zh-CN"/>
        </w:rPr>
        <w:instrText xml:space="preserve"> HYPERLINK \l _Toc26547 </w:instrText>
      </w:r>
      <w:r>
        <w:rPr>
          <w:bCs/>
          <w:lang w:val="zh-CN"/>
        </w:rPr>
        <w:fldChar w:fldCharType="separate"/>
      </w:r>
      <w:r>
        <w:rPr>
          <w:rFonts w:hint="default" w:ascii="Times New Roman" w:hAnsi="Times New Roman" w:cs="Times New Roman"/>
          <w:strike w:val="0"/>
          <w:dstrike w:val="0"/>
        </w:rPr>
        <w:t>（1）术语和定义</w:t>
      </w:r>
      <w:r>
        <w:tab/>
      </w:r>
      <w:r>
        <w:fldChar w:fldCharType="begin"/>
      </w:r>
      <w:r>
        <w:instrText xml:space="preserve"> PAGEREF _Toc26547 \h </w:instrText>
      </w:r>
      <w:r>
        <w:fldChar w:fldCharType="separate"/>
      </w:r>
      <w:r>
        <w:t>5</w:t>
      </w:r>
      <w:r>
        <w:fldChar w:fldCharType="end"/>
      </w:r>
      <w:r>
        <w:rPr>
          <w:bCs/>
          <w:lang w:val="zh-CN"/>
        </w:rPr>
        <w:fldChar w:fldCharType="end"/>
      </w:r>
    </w:p>
    <w:p w14:paraId="30050EB5">
      <w:pPr>
        <w:pStyle w:val="4"/>
        <w:tabs>
          <w:tab w:val="right" w:leader="dot" w:pos="8306"/>
        </w:tabs>
      </w:pPr>
      <w:r>
        <w:rPr>
          <w:bCs/>
          <w:lang w:val="zh-CN"/>
        </w:rPr>
        <w:fldChar w:fldCharType="begin"/>
      </w:r>
      <w:r>
        <w:rPr>
          <w:bCs/>
          <w:lang w:val="zh-CN"/>
        </w:rPr>
        <w:instrText xml:space="preserve"> HYPERLINK \l _Toc5173 </w:instrText>
      </w:r>
      <w:r>
        <w:rPr>
          <w:bCs/>
          <w:lang w:val="zh-CN"/>
        </w:rPr>
        <w:fldChar w:fldCharType="separate"/>
      </w:r>
      <w:r>
        <w:rPr>
          <w:rFonts w:hint="default" w:ascii="Times New Roman" w:hAnsi="Times New Roman" w:cs="Times New Roman"/>
          <w:strike w:val="0"/>
          <w:dstrike w:val="0"/>
        </w:rPr>
        <w:t>（</w:t>
      </w:r>
      <w:r>
        <w:rPr>
          <w:rFonts w:hint="eastAsia" w:cs="Times New Roman"/>
          <w:strike w:val="0"/>
          <w:dstrike w:val="0"/>
          <w:lang w:val="en-US" w:eastAsia="zh-CN"/>
        </w:rPr>
        <w:t>2</w:t>
      </w:r>
      <w:r>
        <w:rPr>
          <w:rFonts w:hint="default" w:ascii="Times New Roman" w:hAnsi="Times New Roman" w:cs="Times New Roman"/>
          <w:strike w:val="0"/>
          <w:dstrike w:val="0"/>
        </w:rPr>
        <w:t>）分类</w:t>
      </w:r>
      <w:r>
        <w:tab/>
      </w:r>
      <w:r>
        <w:fldChar w:fldCharType="begin"/>
      </w:r>
      <w:r>
        <w:instrText xml:space="preserve"> PAGEREF _Toc5173 \h </w:instrText>
      </w:r>
      <w:r>
        <w:fldChar w:fldCharType="separate"/>
      </w:r>
      <w:r>
        <w:t>5</w:t>
      </w:r>
      <w:r>
        <w:fldChar w:fldCharType="end"/>
      </w:r>
      <w:r>
        <w:rPr>
          <w:bCs/>
          <w:lang w:val="zh-CN"/>
        </w:rPr>
        <w:fldChar w:fldCharType="end"/>
      </w:r>
    </w:p>
    <w:p w14:paraId="237375F4">
      <w:pPr>
        <w:pStyle w:val="4"/>
        <w:tabs>
          <w:tab w:val="right" w:leader="dot" w:pos="8306"/>
        </w:tabs>
      </w:pPr>
      <w:r>
        <w:rPr>
          <w:bCs/>
          <w:lang w:val="zh-CN"/>
        </w:rPr>
        <w:fldChar w:fldCharType="begin"/>
      </w:r>
      <w:r>
        <w:rPr>
          <w:bCs/>
          <w:lang w:val="zh-CN"/>
        </w:rPr>
        <w:instrText xml:space="preserve"> HYPERLINK \l _Toc24168 </w:instrText>
      </w:r>
      <w:r>
        <w:rPr>
          <w:bCs/>
          <w:lang w:val="zh-CN"/>
        </w:rPr>
        <w:fldChar w:fldCharType="separate"/>
      </w:r>
      <w:r>
        <w:rPr>
          <w:rFonts w:hint="eastAsia" w:cs="Times New Roman"/>
          <w:strike w:val="0"/>
          <w:dstrike w:val="0"/>
          <w:lang w:eastAsia="zh-CN"/>
        </w:rPr>
        <w:t>（</w:t>
      </w:r>
      <w:r>
        <w:rPr>
          <w:rFonts w:hint="eastAsia" w:cs="Times New Roman"/>
          <w:strike w:val="0"/>
          <w:dstrike w:val="0"/>
          <w:lang w:val="en-US" w:eastAsia="zh-CN"/>
        </w:rPr>
        <w:t>3</w:t>
      </w:r>
      <w:r>
        <w:rPr>
          <w:rFonts w:hint="eastAsia" w:cs="Times New Roman"/>
          <w:strike w:val="0"/>
          <w:dstrike w:val="0"/>
          <w:lang w:eastAsia="zh-CN"/>
        </w:rPr>
        <w:t>）</w:t>
      </w:r>
      <w:r>
        <w:rPr>
          <w:rFonts w:hint="default" w:ascii="Times New Roman" w:hAnsi="Times New Roman" w:cs="Times New Roman"/>
          <w:strike w:val="0"/>
          <w:dstrike w:val="0"/>
        </w:rPr>
        <w:t>技术要求</w:t>
      </w:r>
      <w:r>
        <w:tab/>
      </w:r>
      <w:r>
        <w:fldChar w:fldCharType="begin"/>
      </w:r>
      <w:r>
        <w:instrText xml:space="preserve"> PAGEREF _Toc24168 \h </w:instrText>
      </w:r>
      <w:r>
        <w:fldChar w:fldCharType="separate"/>
      </w:r>
      <w:r>
        <w:t>5</w:t>
      </w:r>
      <w:r>
        <w:fldChar w:fldCharType="end"/>
      </w:r>
      <w:r>
        <w:rPr>
          <w:bCs/>
          <w:lang w:val="zh-CN"/>
        </w:rPr>
        <w:fldChar w:fldCharType="end"/>
      </w:r>
    </w:p>
    <w:p w14:paraId="421B9A04">
      <w:pPr>
        <w:pStyle w:val="4"/>
        <w:tabs>
          <w:tab w:val="right" w:leader="dot" w:pos="8306"/>
        </w:tabs>
      </w:pPr>
      <w:r>
        <w:rPr>
          <w:bCs/>
          <w:lang w:val="zh-CN"/>
        </w:rPr>
        <w:fldChar w:fldCharType="begin"/>
      </w:r>
      <w:r>
        <w:rPr>
          <w:bCs/>
          <w:lang w:val="zh-CN"/>
        </w:rPr>
        <w:instrText xml:space="preserve"> HYPERLINK \l _Toc24919 </w:instrText>
      </w:r>
      <w:r>
        <w:rPr>
          <w:bCs/>
          <w:lang w:val="zh-CN"/>
        </w:rPr>
        <w:fldChar w:fldCharType="separate"/>
      </w:r>
      <w:r>
        <w:rPr>
          <w:rFonts w:hint="eastAsia" w:cs="Times New Roman"/>
          <w:kern w:val="0"/>
          <w:szCs w:val="22"/>
          <w:lang w:val="en-US" w:eastAsia="zh-CN"/>
        </w:rPr>
        <w:t>（4）试验方法</w:t>
      </w:r>
      <w:r>
        <w:tab/>
      </w:r>
      <w:r>
        <w:fldChar w:fldCharType="begin"/>
      </w:r>
      <w:r>
        <w:instrText xml:space="preserve"> PAGEREF _Toc24919 \h </w:instrText>
      </w:r>
      <w:r>
        <w:fldChar w:fldCharType="separate"/>
      </w:r>
      <w:r>
        <w:t>5</w:t>
      </w:r>
      <w:r>
        <w:fldChar w:fldCharType="end"/>
      </w:r>
      <w:r>
        <w:rPr>
          <w:bCs/>
          <w:lang w:val="zh-CN"/>
        </w:rPr>
        <w:fldChar w:fldCharType="end"/>
      </w:r>
    </w:p>
    <w:p w14:paraId="35AB475C">
      <w:pPr>
        <w:pStyle w:val="4"/>
        <w:tabs>
          <w:tab w:val="right" w:leader="dot" w:pos="8306"/>
        </w:tabs>
      </w:pPr>
      <w:r>
        <w:rPr>
          <w:bCs/>
          <w:lang w:val="zh-CN"/>
        </w:rPr>
        <w:fldChar w:fldCharType="begin"/>
      </w:r>
      <w:r>
        <w:rPr>
          <w:bCs/>
          <w:lang w:val="zh-CN"/>
        </w:rPr>
        <w:instrText xml:space="preserve"> HYPERLINK \l _Toc111 </w:instrText>
      </w:r>
      <w:r>
        <w:rPr>
          <w:bCs/>
          <w:lang w:val="zh-CN"/>
        </w:rPr>
        <w:fldChar w:fldCharType="separate"/>
      </w:r>
      <w:r>
        <w:rPr>
          <w:rFonts w:hint="eastAsia" w:cs="Times New Roman"/>
          <w:strike w:val="0"/>
          <w:dstrike w:val="0"/>
          <w:lang w:val="en-US" w:eastAsia="zh-CN"/>
        </w:rPr>
        <w:t>（5）其它</w:t>
      </w:r>
      <w:r>
        <w:tab/>
      </w:r>
      <w:r>
        <w:fldChar w:fldCharType="begin"/>
      </w:r>
      <w:r>
        <w:instrText xml:space="preserve"> PAGEREF _Toc111 \h </w:instrText>
      </w:r>
      <w:r>
        <w:fldChar w:fldCharType="separate"/>
      </w:r>
      <w:r>
        <w:t>5</w:t>
      </w:r>
      <w:r>
        <w:fldChar w:fldCharType="end"/>
      </w:r>
      <w:r>
        <w:rPr>
          <w:bCs/>
          <w:lang w:val="zh-CN"/>
        </w:rPr>
        <w:fldChar w:fldCharType="end"/>
      </w:r>
    </w:p>
    <w:p w14:paraId="709E50FD">
      <w:pPr>
        <w:pStyle w:val="7"/>
        <w:tabs>
          <w:tab w:val="right" w:leader="dot" w:pos="8306"/>
          <w:tab w:val="clear" w:pos="8296"/>
        </w:tabs>
      </w:pPr>
      <w:r>
        <w:rPr>
          <w:bCs/>
          <w:lang w:val="zh-CN"/>
        </w:rPr>
        <w:fldChar w:fldCharType="begin"/>
      </w:r>
      <w:r>
        <w:rPr>
          <w:bCs/>
          <w:lang w:val="zh-CN"/>
        </w:rPr>
        <w:instrText xml:space="preserve"> HYPERLINK \l _Toc22047 </w:instrText>
      </w:r>
      <w:r>
        <w:rPr>
          <w:bCs/>
          <w:lang w:val="zh-CN"/>
        </w:rPr>
        <w:fldChar w:fldCharType="separate"/>
      </w:r>
      <w:r>
        <w:rPr>
          <w:rFonts w:hint="eastAsia"/>
        </w:rPr>
        <w:t>三、主要试验（或验证）情况分析</w:t>
      </w:r>
      <w:r>
        <w:tab/>
      </w:r>
      <w:r>
        <w:fldChar w:fldCharType="begin"/>
      </w:r>
      <w:r>
        <w:instrText xml:space="preserve"> PAGEREF _Toc22047 \h </w:instrText>
      </w:r>
      <w:r>
        <w:fldChar w:fldCharType="separate"/>
      </w:r>
      <w:r>
        <w:t>5</w:t>
      </w:r>
      <w:r>
        <w:fldChar w:fldCharType="end"/>
      </w:r>
      <w:r>
        <w:rPr>
          <w:bCs/>
          <w:lang w:val="zh-CN"/>
        </w:rPr>
        <w:fldChar w:fldCharType="end"/>
      </w:r>
    </w:p>
    <w:p w14:paraId="7817BFF3">
      <w:pPr>
        <w:pStyle w:val="7"/>
        <w:tabs>
          <w:tab w:val="right" w:leader="dot" w:pos="8306"/>
          <w:tab w:val="clear" w:pos="8296"/>
        </w:tabs>
      </w:pPr>
      <w:r>
        <w:rPr>
          <w:bCs/>
          <w:lang w:val="zh-CN"/>
        </w:rPr>
        <w:fldChar w:fldCharType="begin"/>
      </w:r>
      <w:r>
        <w:rPr>
          <w:bCs/>
          <w:lang w:val="zh-CN"/>
        </w:rPr>
        <w:instrText xml:space="preserve"> HYPERLINK \l _Toc19283 </w:instrText>
      </w:r>
      <w:r>
        <w:rPr>
          <w:bCs/>
          <w:lang w:val="zh-CN"/>
        </w:rPr>
        <w:fldChar w:fldCharType="separate"/>
      </w:r>
      <w:r>
        <w:rPr>
          <w:rFonts w:hint="eastAsia"/>
        </w:rPr>
        <w:t>四、标准中涉及专利情况</w:t>
      </w:r>
      <w:r>
        <w:tab/>
      </w:r>
      <w:r>
        <w:fldChar w:fldCharType="begin"/>
      </w:r>
      <w:r>
        <w:instrText xml:space="preserve"> PAGEREF _Toc19283 \h </w:instrText>
      </w:r>
      <w:r>
        <w:fldChar w:fldCharType="separate"/>
      </w:r>
      <w:r>
        <w:t>11</w:t>
      </w:r>
      <w:r>
        <w:fldChar w:fldCharType="end"/>
      </w:r>
      <w:r>
        <w:rPr>
          <w:bCs/>
          <w:lang w:val="zh-CN"/>
        </w:rPr>
        <w:fldChar w:fldCharType="end"/>
      </w:r>
    </w:p>
    <w:p w14:paraId="2FD32F53">
      <w:pPr>
        <w:pStyle w:val="7"/>
        <w:tabs>
          <w:tab w:val="right" w:leader="dot" w:pos="8306"/>
          <w:tab w:val="clear" w:pos="8296"/>
        </w:tabs>
      </w:pPr>
      <w:r>
        <w:rPr>
          <w:bCs/>
          <w:lang w:val="zh-CN"/>
        </w:rPr>
        <w:fldChar w:fldCharType="begin"/>
      </w:r>
      <w:r>
        <w:rPr>
          <w:bCs/>
          <w:lang w:val="zh-CN"/>
        </w:rPr>
        <w:instrText xml:space="preserve"> HYPERLINK \l _Toc24414 </w:instrText>
      </w:r>
      <w:r>
        <w:rPr>
          <w:bCs/>
          <w:lang w:val="zh-CN"/>
        </w:rPr>
        <w:fldChar w:fldCharType="separate"/>
      </w:r>
      <w:r>
        <w:rPr>
          <w:rFonts w:hint="eastAsia"/>
          <w:lang w:val="en-US" w:eastAsia="zh-CN"/>
        </w:rPr>
        <w:t>五</w:t>
      </w:r>
      <w:r>
        <w:rPr>
          <w:rFonts w:hint="eastAsia"/>
        </w:rPr>
        <w:t>、采用国际标准和国外先进标准的程度，以及与国际、国外同类标准水平的对比情况。</w:t>
      </w:r>
      <w:r>
        <w:tab/>
      </w:r>
      <w:r>
        <w:fldChar w:fldCharType="begin"/>
      </w:r>
      <w:r>
        <w:instrText xml:space="preserve"> PAGEREF _Toc24414 \h </w:instrText>
      </w:r>
      <w:r>
        <w:fldChar w:fldCharType="separate"/>
      </w:r>
      <w:r>
        <w:t>11</w:t>
      </w:r>
      <w:r>
        <w:fldChar w:fldCharType="end"/>
      </w:r>
      <w:r>
        <w:rPr>
          <w:bCs/>
          <w:lang w:val="zh-CN"/>
        </w:rPr>
        <w:fldChar w:fldCharType="end"/>
      </w:r>
    </w:p>
    <w:p w14:paraId="444BD881">
      <w:pPr>
        <w:pStyle w:val="7"/>
        <w:tabs>
          <w:tab w:val="right" w:leader="dot" w:pos="8306"/>
          <w:tab w:val="clear" w:pos="8296"/>
        </w:tabs>
      </w:pPr>
      <w:r>
        <w:rPr>
          <w:bCs/>
          <w:lang w:val="zh-CN"/>
        </w:rPr>
        <w:fldChar w:fldCharType="begin"/>
      </w:r>
      <w:r>
        <w:rPr>
          <w:bCs/>
          <w:lang w:val="zh-CN"/>
        </w:rPr>
        <w:instrText xml:space="preserve"> HYPERLINK \l _Toc1270 </w:instrText>
      </w:r>
      <w:r>
        <w:rPr>
          <w:bCs/>
          <w:lang w:val="zh-CN"/>
        </w:rPr>
        <w:fldChar w:fldCharType="separate"/>
      </w:r>
      <w:r>
        <w:rPr>
          <w:rFonts w:hint="eastAsia"/>
          <w:lang w:val="en-US" w:eastAsia="zh-CN"/>
        </w:rPr>
        <w:t>六</w:t>
      </w:r>
      <w:r>
        <w:rPr>
          <w:rFonts w:hint="eastAsia"/>
        </w:rPr>
        <w:t>、与现行相关法律、法规、规章及相关标准协调性</w:t>
      </w:r>
      <w:r>
        <w:tab/>
      </w:r>
      <w:r>
        <w:fldChar w:fldCharType="begin"/>
      </w:r>
      <w:r>
        <w:instrText xml:space="preserve"> PAGEREF _Toc1270 \h </w:instrText>
      </w:r>
      <w:r>
        <w:fldChar w:fldCharType="separate"/>
      </w:r>
      <w:r>
        <w:t>11</w:t>
      </w:r>
      <w:r>
        <w:fldChar w:fldCharType="end"/>
      </w:r>
      <w:r>
        <w:rPr>
          <w:bCs/>
          <w:lang w:val="zh-CN"/>
        </w:rPr>
        <w:fldChar w:fldCharType="end"/>
      </w:r>
    </w:p>
    <w:p w14:paraId="3DC87EAA">
      <w:pPr>
        <w:pStyle w:val="7"/>
        <w:tabs>
          <w:tab w:val="right" w:leader="dot" w:pos="8306"/>
          <w:tab w:val="clear" w:pos="8296"/>
        </w:tabs>
      </w:pPr>
      <w:r>
        <w:rPr>
          <w:bCs/>
          <w:lang w:val="zh-CN"/>
        </w:rPr>
        <w:fldChar w:fldCharType="begin"/>
      </w:r>
      <w:r>
        <w:rPr>
          <w:bCs/>
          <w:lang w:val="zh-CN"/>
        </w:rPr>
        <w:instrText xml:space="preserve"> HYPERLINK \l _Toc30961 </w:instrText>
      </w:r>
      <w:r>
        <w:rPr>
          <w:bCs/>
          <w:lang w:val="zh-CN"/>
        </w:rPr>
        <w:fldChar w:fldCharType="separate"/>
      </w:r>
      <w:r>
        <w:rPr>
          <w:rFonts w:hint="eastAsia"/>
          <w:lang w:val="en-US" w:eastAsia="zh-CN"/>
        </w:rPr>
        <w:t>七</w:t>
      </w:r>
      <w:r>
        <w:rPr>
          <w:rFonts w:hint="eastAsia"/>
        </w:rPr>
        <w:t>、重大分歧意见的处理经过和依据</w:t>
      </w:r>
      <w:r>
        <w:tab/>
      </w:r>
      <w:r>
        <w:fldChar w:fldCharType="begin"/>
      </w:r>
      <w:r>
        <w:instrText xml:space="preserve"> PAGEREF _Toc30961 \h </w:instrText>
      </w:r>
      <w:r>
        <w:fldChar w:fldCharType="separate"/>
      </w:r>
      <w:r>
        <w:t>11</w:t>
      </w:r>
      <w:r>
        <w:fldChar w:fldCharType="end"/>
      </w:r>
      <w:r>
        <w:rPr>
          <w:bCs/>
          <w:lang w:val="zh-CN"/>
        </w:rPr>
        <w:fldChar w:fldCharType="end"/>
      </w:r>
    </w:p>
    <w:p w14:paraId="6FB16389">
      <w:pPr>
        <w:pStyle w:val="7"/>
        <w:tabs>
          <w:tab w:val="right" w:leader="dot" w:pos="8306"/>
          <w:tab w:val="clear" w:pos="8296"/>
        </w:tabs>
      </w:pPr>
      <w:r>
        <w:rPr>
          <w:bCs/>
          <w:lang w:val="zh-CN"/>
        </w:rPr>
        <w:fldChar w:fldCharType="begin"/>
      </w:r>
      <w:r>
        <w:rPr>
          <w:bCs/>
          <w:lang w:val="zh-CN"/>
        </w:rPr>
        <w:instrText xml:space="preserve"> HYPERLINK \l _Toc4327 </w:instrText>
      </w:r>
      <w:r>
        <w:rPr>
          <w:bCs/>
          <w:lang w:val="zh-CN"/>
        </w:rPr>
        <w:fldChar w:fldCharType="separate"/>
      </w:r>
      <w:r>
        <w:rPr>
          <w:rFonts w:hint="eastAsia"/>
          <w:lang w:val="en-US" w:eastAsia="zh-CN"/>
        </w:rPr>
        <w:t>八</w:t>
      </w:r>
      <w:r>
        <w:rPr>
          <w:rFonts w:hint="eastAsia"/>
        </w:rPr>
        <w:t>、标准性质的建议说明</w:t>
      </w:r>
      <w:r>
        <w:tab/>
      </w:r>
      <w:r>
        <w:fldChar w:fldCharType="begin"/>
      </w:r>
      <w:r>
        <w:instrText xml:space="preserve"> PAGEREF _Toc4327 \h </w:instrText>
      </w:r>
      <w:r>
        <w:fldChar w:fldCharType="separate"/>
      </w:r>
      <w:r>
        <w:t>11</w:t>
      </w:r>
      <w:r>
        <w:fldChar w:fldCharType="end"/>
      </w:r>
      <w:r>
        <w:rPr>
          <w:bCs/>
          <w:lang w:val="zh-CN"/>
        </w:rPr>
        <w:fldChar w:fldCharType="end"/>
      </w:r>
    </w:p>
    <w:p w14:paraId="1E7DF44B">
      <w:pPr>
        <w:pStyle w:val="7"/>
        <w:tabs>
          <w:tab w:val="right" w:leader="dot" w:pos="8306"/>
          <w:tab w:val="clear" w:pos="8296"/>
        </w:tabs>
      </w:pPr>
      <w:r>
        <w:rPr>
          <w:bCs/>
          <w:lang w:val="zh-CN"/>
        </w:rPr>
        <w:fldChar w:fldCharType="begin"/>
      </w:r>
      <w:r>
        <w:rPr>
          <w:bCs/>
          <w:lang w:val="zh-CN"/>
        </w:rPr>
        <w:instrText xml:space="preserve"> HYPERLINK \l _Toc18111 </w:instrText>
      </w:r>
      <w:r>
        <w:rPr>
          <w:bCs/>
          <w:lang w:val="zh-CN"/>
        </w:rPr>
        <w:fldChar w:fldCharType="separate"/>
      </w:r>
      <w:r>
        <w:rPr>
          <w:rFonts w:hint="eastAsia"/>
          <w:lang w:val="en-US" w:eastAsia="zh-CN"/>
        </w:rPr>
        <w:t>九</w:t>
      </w:r>
      <w:r>
        <w:rPr>
          <w:rFonts w:hint="eastAsia"/>
        </w:rPr>
        <w:t>、贯彻标准的要求和措施建议</w:t>
      </w:r>
      <w:r>
        <w:tab/>
      </w:r>
      <w:r>
        <w:fldChar w:fldCharType="begin"/>
      </w:r>
      <w:r>
        <w:instrText xml:space="preserve"> PAGEREF _Toc18111 \h </w:instrText>
      </w:r>
      <w:r>
        <w:fldChar w:fldCharType="separate"/>
      </w:r>
      <w:r>
        <w:t>11</w:t>
      </w:r>
      <w:r>
        <w:fldChar w:fldCharType="end"/>
      </w:r>
      <w:r>
        <w:rPr>
          <w:bCs/>
          <w:lang w:val="zh-CN"/>
        </w:rPr>
        <w:fldChar w:fldCharType="end"/>
      </w:r>
    </w:p>
    <w:p w14:paraId="3D55E3C0">
      <w:pPr>
        <w:pStyle w:val="7"/>
        <w:tabs>
          <w:tab w:val="right" w:leader="dot" w:pos="8306"/>
          <w:tab w:val="clear" w:pos="8296"/>
        </w:tabs>
      </w:pPr>
      <w:r>
        <w:rPr>
          <w:bCs/>
          <w:lang w:val="zh-CN"/>
        </w:rPr>
        <w:fldChar w:fldCharType="begin"/>
      </w:r>
      <w:r>
        <w:rPr>
          <w:bCs/>
          <w:lang w:val="zh-CN"/>
        </w:rPr>
        <w:instrText xml:space="preserve"> HYPERLINK \l _Toc24509 </w:instrText>
      </w:r>
      <w:r>
        <w:rPr>
          <w:bCs/>
          <w:lang w:val="zh-CN"/>
        </w:rPr>
        <w:fldChar w:fldCharType="separate"/>
      </w:r>
      <w:r>
        <w:rPr>
          <w:rFonts w:hint="eastAsia"/>
        </w:rPr>
        <w:t>十、废止现行相关标准的建议</w:t>
      </w:r>
      <w:r>
        <w:tab/>
      </w:r>
      <w:r>
        <w:fldChar w:fldCharType="begin"/>
      </w:r>
      <w:r>
        <w:instrText xml:space="preserve"> PAGEREF _Toc24509 \h </w:instrText>
      </w:r>
      <w:r>
        <w:fldChar w:fldCharType="separate"/>
      </w:r>
      <w:r>
        <w:t>11</w:t>
      </w:r>
      <w:r>
        <w:fldChar w:fldCharType="end"/>
      </w:r>
      <w:r>
        <w:rPr>
          <w:bCs/>
          <w:lang w:val="zh-CN"/>
        </w:rPr>
        <w:fldChar w:fldCharType="end"/>
      </w:r>
    </w:p>
    <w:p w14:paraId="4D729AE4">
      <w:pPr>
        <w:pStyle w:val="7"/>
        <w:tabs>
          <w:tab w:val="right" w:leader="dot" w:pos="8306"/>
          <w:tab w:val="clear" w:pos="8296"/>
        </w:tabs>
      </w:pPr>
      <w:r>
        <w:rPr>
          <w:bCs/>
          <w:lang w:val="zh-CN"/>
        </w:rPr>
        <w:fldChar w:fldCharType="begin"/>
      </w:r>
      <w:r>
        <w:rPr>
          <w:bCs/>
          <w:lang w:val="zh-CN"/>
        </w:rPr>
        <w:instrText xml:space="preserve"> HYPERLINK \l _Toc2597 </w:instrText>
      </w:r>
      <w:r>
        <w:rPr>
          <w:bCs/>
          <w:lang w:val="zh-CN"/>
        </w:rPr>
        <w:fldChar w:fldCharType="separate"/>
      </w:r>
      <w:r>
        <w:rPr>
          <w:rFonts w:hint="eastAsia"/>
        </w:rPr>
        <w:t>十二、其它应予说明的事项</w:t>
      </w:r>
      <w:r>
        <w:tab/>
      </w:r>
      <w:r>
        <w:fldChar w:fldCharType="begin"/>
      </w:r>
      <w:r>
        <w:instrText xml:space="preserve"> PAGEREF _Toc2597 \h </w:instrText>
      </w:r>
      <w:r>
        <w:fldChar w:fldCharType="separate"/>
      </w:r>
      <w:r>
        <w:t>11</w:t>
      </w:r>
      <w:r>
        <w:fldChar w:fldCharType="end"/>
      </w:r>
      <w:r>
        <w:rPr>
          <w:bCs/>
          <w:lang w:val="zh-CN"/>
        </w:rPr>
        <w:fldChar w:fldCharType="end"/>
      </w:r>
    </w:p>
    <w:p w14:paraId="7B4136BB">
      <w:pPr>
        <w:spacing w:line="360" w:lineRule="auto"/>
        <w:rPr>
          <w:rFonts w:hint="eastAsia" w:ascii="宋体" w:hAnsi="宋体"/>
          <w:szCs w:val="21"/>
        </w:rPr>
      </w:pPr>
      <w:r>
        <w:rPr>
          <w:bCs/>
          <w:lang w:val="zh-CN"/>
        </w:rPr>
        <w:fldChar w:fldCharType="end"/>
      </w:r>
    </w:p>
    <w:p w14:paraId="2DA9E018">
      <w:pPr>
        <w:ind w:firstLine="420" w:firstLineChars="200"/>
        <w:rPr>
          <w:rFonts w:ascii="宋体" w:hAnsi="宋体"/>
          <w:szCs w:val="21"/>
        </w:rPr>
        <w:sectPr>
          <w:pgSz w:w="11906" w:h="16838"/>
          <w:pgMar w:top="1440" w:right="1800" w:bottom="1440" w:left="1800" w:header="851" w:footer="992" w:gutter="0"/>
          <w:cols w:space="720" w:num="1"/>
          <w:docGrid w:type="lines" w:linePitch="312" w:charSpace="0"/>
        </w:sectPr>
      </w:pPr>
    </w:p>
    <w:p w14:paraId="67F8231F">
      <w:pPr>
        <w:pStyle w:val="2"/>
        <w:rPr>
          <w:rFonts w:hint="eastAsia"/>
        </w:rPr>
      </w:pPr>
      <w:bookmarkStart w:id="0" w:name="_Toc7659"/>
      <w:r>
        <w:rPr>
          <w:rFonts w:hint="eastAsia"/>
        </w:rPr>
        <w:t>一、工作简况</w:t>
      </w:r>
      <w:bookmarkEnd w:id="0"/>
      <w:r>
        <w:rPr>
          <w:rFonts w:hint="eastAsia"/>
        </w:rPr>
        <w:t xml:space="preserve"> </w:t>
      </w:r>
    </w:p>
    <w:p w14:paraId="7B083621">
      <w:pPr>
        <w:spacing w:line="360" w:lineRule="auto"/>
        <w:ind w:firstLine="482" w:firstLineChars="200"/>
        <w:outlineLvl w:val="1"/>
        <w:rPr>
          <w:rFonts w:hint="eastAsia"/>
          <w:b/>
          <w:sz w:val="24"/>
        </w:rPr>
      </w:pPr>
      <w:bookmarkStart w:id="1" w:name="_Toc9244"/>
      <w:r>
        <w:rPr>
          <w:rFonts w:hint="eastAsia"/>
          <w:b/>
          <w:sz w:val="24"/>
        </w:rPr>
        <w:t>1、任务来源</w:t>
      </w:r>
      <w:bookmarkEnd w:id="1"/>
    </w:p>
    <w:p w14:paraId="624EB01E">
      <w:pPr>
        <w:spacing w:line="360" w:lineRule="auto"/>
        <w:ind w:firstLine="480" w:firstLineChars="200"/>
        <w:rPr>
          <w:rFonts w:hint="eastAsia"/>
          <w:sz w:val="24"/>
        </w:rPr>
      </w:pPr>
      <w:r>
        <w:rPr>
          <w:rFonts w:hint="eastAsia"/>
          <w:sz w:val="24"/>
          <w:lang w:eastAsia="zh-CN"/>
        </w:rPr>
        <w:t>标准由中国建筑材料联合会、</w:t>
      </w:r>
      <w:r>
        <w:rPr>
          <w:rFonts w:hint="eastAsia"/>
          <w:sz w:val="24"/>
          <w:lang w:val="en-US" w:eastAsia="zh-CN"/>
        </w:rPr>
        <w:t>中国砂石协会共同并</w:t>
      </w:r>
      <w:r>
        <w:rPr>
          <w:rFonts w:hint="eastAsia"/>
          <w:sz w:val="24"/>
          <w:lang w:eastAsia="zh-CN"/>
        </w:rPr>
        <w:t>归口，负责起草单位为</w:t>
      </w:r>
      <w:r>
        <w:rPr>
          <w:rFonts w:hint="eastAsia"/>
          <w:sz w:val="24"/>
        </w:rPr>
        <w:t>中国砂石协会、北京建筑大学。</w:t>
      </w:r>
    </w:p>
    <w:p w14:paraId="3AEC6E78">
      <w:pPr>
        <w:spacing w:line="360" w:lineRule="auto"/>
        <w:ind w:firstLine="482" w:firstLineChars="200"/>
        <w:outlineLvl w:val="1"/>
        <w:rPr>
          <w:rFonts w:hint="eastAsia"/>
          <w:b/>
          <w:sz w:val="24"/>
        </w:rPr>
      </w:pPr>
      <w:bookmarkStart w:id="2" w:name="_Toc6416"/>
      <w:r>
        <w:rPr>
          <w:rFonts w:hint="eastAsia"/>
          <w:b/>
          <w:sz w:val="24"/>
        </w:rPr>
        <w:t>2、工作过程</w:t>
      </w:r>
      <w:bookmarkEnd w:id="2"/>
    </w:p>
    <w:p w14:paraId="15CF0A1C">
      <w:pPr>
        <w:spacing w:line="360" w:lineRule="auto"/>
        <w:ind w:firstLine="420"/>
        <w:rPr>
          <w:rFonts w:hint="default" w:ascii="Times New Roman" w:hAnsi="Times New Roman" w:cs="Times New Roman"/>
          <w:sz w:val="24"/>
        </w:rPr>
      </w:pPr>
      <w:r>
        <w:rPr>
          <w:rFonts w:hint="default" w:ascii="Times New Roman" w:hAnsi="Times New Roman" w:cs="Times New Roman"/>
          <w:sz w:val="24"/>
        </w:rPr>
        <w:t>2021年11月召开标准编制启动会，研讨了标准的编制大纲，确定了编制单位的分工</w:t>
      </w:r>
      <w:r>
        <w:rPr>
          <w:rFonts w:hint="eastAsia" w:cs="Times New Roman"/>
          <w:sz w:val="24"/>
          <w:lang w:eastAsia="zh-CN"/>
        </w:rPr>
        <w:t>。</w:t>
      </w:r>
      <w:r>
        <w:rPr>
          <w:rFonts w:hint="default" w:ascii="Times New Roman" w:hAnsi="Times New Roman" w:cs="Times New Roman"/>
          <w:sz w:val="24"/>
        </w:rPr>
        <w:t>会后由</w:t>
      </w:r>
      <w:r>
        <w:rPr>
          <w:rFonts w:hint="eastAsia" w:cs="Times New Roman"/>
          <w:sz w:val="24"/>
          <w:lang w:val="en-US" w:eastAsia="zh-CN"/>
        </w:rPr>
        <w:t>中国砂石协会与</w:t>
      </w:r>
      <w:r>
        <w:rPr>
          <w:rFonts w:hint="default" w:ascii="Times New Roman" w:hAnsi="Times New Roman" w:cs="Times New Roman"/>
          <w:sz w:val="24"/>
        </w:rPr>
        <w:t>北京建筑大学</w:t>
      </w:r>
      <w:r>
        <w:rPr>
          <w:rFonts w:hint="eastAsia" w:cs="Times New Roman"/>
          <w:sz w:val="24"/>
          <w:lang w:val="en-US" w:eastAsia="zh-CN"/>
        </w:rPr>
        <w:t>一起</w:t>
      </w:r>
      <w:r>
        <w:rPr>
          <w:rFonts w:hint="default" w:ascii="Times New Roman" w:hAnsi="Times New Roman" w:cs="Times New Roman"/>
          <w:sz w:val="24"/>
        </w:rPr>
        <w:t>完成标准修订初稿。</w:t>
      </w:r>
    </w:p>
    <w:p w14:paraId="6DDBC6E5">
      <w:pPr>
        <w:spacing w:line="360" w:lineRule="auto"/>
        <w:ind w:firstLine="480" w:firstLineChars="200"/>
        <w:rPr>
          <w:rFonts w:hint="default" w:ascii="Times New Roman" w:hAnsi="Times New Roman" w:cs="Times New Roman"/>
          <w:sz w:val="24"/>
        </w:rPr>
      </w:pPr>
      <w:r>
        <w:rPr>
          <w:rFonts w:hint="default" w:ascii="Times New Roman" w:hAnsi="Times New Roman" w:cs="Times New Roman"/>
          <w:sz w:val="24"/>
        </w:rPr>
        <w:t>20</w:t>
      </w:r>
      <w:r>
        <w:rPr>
          <w:rFonts w:hint="eastAsia" w:cs="Times New Roman"/>
          <w:sz w:val="24"/>
          <w:lang w:val="en-US" w:eastAsia="zh-CN"/>
        </w:rPr>
        <w:t>24</w:t>
      </w:r>
      <w:r>
        <w:rPr>
          <w:rFonts w:hint="default" w:ascii="Times New Roman" w:hAnsi="Times New Roman" w:cs="Times New Roman"/>
          <w:sz w:val="24"/>
        </w:rPr>
        <w:t>年</w:t>
      </w:r>
      <w:r>
        <w:rPr>
          <w:rFonts w:hint="eastAsia" w:cs="Times New Roman"/>
          <w:sz w:val="24"/>
          <w:lang w:val="en-US" w:eastAsia="zh-CN"/>
        </w:rPr>
        <w:t>7</w:t>
      </w:r>
      <w:r>
        <w:rPr>
          <w:rFonts w:hint="default" w:ascii="Times New Roman" w:hAnsi="Times New Roman" w:cs="Times New Roman"/>
          <w:sz w:val="24"/>
        </w:rPr>
        <w:t>月，</w:t>
      </w:r>
      <w:r>
        <w:rPr>
          <w:rFonts w:hint="eastAsia" w:cs="Times New Roman"/>
          <w:sz w:val="24"/>
          <w:lang w:val="en-US" w:eastAsia="zh-CN"/>
        </w:rPr>
        <w:t>中国砂石协会与</w:t>
      </w:r>
      <w:r>
        <w:rPr>
          <w:rFonts w:hint="default" w:ascii="Times New Roman" w:hAnsi="Times New Roman" w:cs="Times New Roman"/>
          <w:sz w:val="24"/>
        </w:rPr>
        <w:t>北京建筑大学</w:t>
      </w:r>
      <w:r>
        <w:rPr>
          <w:rFonts w:hint="eastAsia" w:cs="Times New Roman"/>
          <w:sz w:val="24"/>
          <w:lang w:val="en-US" w:eastAsia="zh-CN"/>
        </w:rPr>
        <w:t>一起</w:t>
      </w:r>
      <w:r>
        <w:rPr>
          <w:rFonts w:hint="default" w:ascii="Times New Roman" w:hAnsi="Times New Roman" w:cs="Times New Roman"/>
          <w:sz w:val="24"/>
        </w:rPr>
        <w:t>完成标准修订初稿</w:t>
      </w:r>
      <w:r>
        <w:rPr>
          <w:rFonts w:hint="eastAsia" w:cs="Times New Roman"/>
          <w:sz w:val="24"/>
          <w:lang w:val="en-US" w:eastAsia="zh-CN"/>
        </w:rPr>
        <w:t>并召开</w:t>
      </w:r>
      <w:r>
        <w:rPr>
          <w:rFonts w:hint="default" w:ascii="Times New Roman" w:hAnsi="Times New Roman" w:cs="Times New Roman"/>
          <w:sz w:val="24"/>
        </w:rPr>
        <w:t>工作会议。会上编制组广泛听取了参会专家、领导的意见和建议，明确了需要修改的条款及指标，制定了调研方案。在各参编单位的积极配合下，调研数据陆续反馈回主编单位。</w:t>
      </w:r>
    </w:p>
    <w:p w14:paraId="32D0AB18">
      <w:pPr>
        <w:spacing w:line="360" w:lineRule="auto"/>
        <w:ind w:firstLine="480" w:firstLineChars="200"/>
        <w:rPr>
          <w:rFonts w:hint="default" w:ascii="Times New Roman" w:hAnsi="Times New Roman" w:cs="Times New Roman"/>
          <w:sz w:val="24"/>
        </w:rPr>
      </w:pPr>
      <w:r>
        <w:rPr>
          <w:rFonts w:hint="default" w:ascii="Times New Roman" w:hAnsi="Times New Roman" w:cs="Times New Roman"/>
          <w:sz w:val="24"/>
        </w:rPr>
        <w:t>202</w:t>
      </w:r>
      <w:r>
        <w:rPr>
          <w:rFonts w:hint="eastAsia" w:cs="Times New Roman"/>
          <w:sz w:val="24"/>
          <w:lang w:val="en-US" w:eastAsia="zh-CN"/>
        </w:rPr>
        <w:t>4</w:t>
      </w:r>
      <w:r>
        <w:rPr>
          <w:rFonts w:hint="default" w:ascii="Times New Roman" w:hAnsi="Times New Roman" w:cs="Times New Roman"/>
          <w:sz w:val="24"/>
        </w:rPr>
        <w:t>年</w:t>
      </w:r>
      <w:r>
        <w:rPr>
          <w:rFonts w:hint="eastAsia" w:cs="Times New Roman"/>
          <w:sz w:val="24"/>
          <w:lang w:val="en-US" w:eastAsia="zh-CN"/>
        </w:rPr>
        <w:t>8</w:t>
      </w:r>
      <w:r>
        <w:rPr>
          <w:rFonts w:hint="default" w:ascii="Times New Roman" w:hAnsi="Times New Roman" w:cs="Times New Roman"/>
          <w:sz w:val="24"/>
        </w:rPr>
        <w:t>月</w:t>
      </w:r>
      <w:r>
        <w:rPr>
          <w:rFonts w:hint="eastAsia" w:cs="Times New Roman"/>
          <w:sz w:val="24"/>
          <w:lang w:val="en-US" w:eastAsia="zh-CN"/>
        </w:rPr>
        <w:t>-</w:t>
      </w:r>
      <w:r>
        <w:rPr>
          <w:rFonts w:hint="default" w:ascii="Times New Roman" w:hAnsi="Times New Roman" w:cs="Times New Roman"/>
          <w:sz w:val="24"/>
        </w:rPr>
        <w:t>202</w:t>
      </w:r>
      <w:r>
        <w:rPr>
          <w:rFonts w:hint="eastAsia" w:cs="Times New Roman"/>
          <w:sz w:val="24"/>
          <w:lang w:val="en-US" w:eastAsia="zh-CN"/>
        </w:rPr>
        <w:t>5</w:t>
      </w:r>
      <w:r>
        <w:rPr>
          <w:rFonts w:hint="default" w:ascii="Times New Roman" w:hAnsi="Times New Roman" w:cs="Times New Roman"/>
          <w:sz w:val="24"/>
        </w:rPr>
        <w:t>年</w:t>
      </w:r>
      <w:r>
        <w:rPr>
          <w:rFonts w:hint="eastAsia" w:cs="Times New Roman"/>
          <w:sz w:val="24"/>
          <w:lang w:val="en-US" w:eastAsia="zh-CN"/>
        </w:rPr>
        <w:t>3月</w:t>
      </w:r>
      <w:r>
        <w:rPr>
          <w:rFonts w:hint="default" w:ascii="Times New Roman" w:hAnsi="Times New Roman" w:cs="Times New Roman"/>
          <w:sz w:val="24"/>
        </w:rPr>
        <w:t>，主编单位整理和总结了各参编单位的数据及建议，形成了《机制砂石母岩技术要求》参编单位内部征求意见稿，并发往各参编单位。</w:t>
      </w:r>
    </w:p>
    <w:p w14:paraId="4C61BFCF">
      <w:pPr>
        <w:spacing w:line="360" w:lineRule="auto"/>
        <w:ind w:firstLine="480" w:firstLineChars="200"/>
        <w:rPr>
          <w:rFonts w:hint="eastAsia" w:ascii="Times New Roman" w:hAnsi="Times New Roman" w:eastAsia="宋体" w:cs="Times New Roman"/>
          <w:sz w:val="24"/>
          <w:lang w:eastAsia="zh-CN"/>
        </w:rPr>
      </w:pPr>
      <w:r>
        <w:rPr>
          <w:rFonts w:hint="default" w:ascii="Times New Roman" w:hAnsi="Times New Roman" w:cs="Times New Roman"/>
          <w:sz w:val="24"/>
        </w:rPr>
        <w:t>202</w:t>
      </w:r>
      <w:r>
        <w:rPr>
          <w:rFonts w:hint="eastAsia" w:cs="Times New Roman"/>
          <w:sz w:val="24"/>
          <w:lang w:val="en-US" w:eastAsia="zh-CN"/>
        </w:rPr>
        <w:t>5</w:t>
      </w:r>
      <w:r>
        <w:rPr>
          <w:rFonts w:hint="default" w:ascii="Times New Roman" w:hAnsi="Times New Roman" w:cs="Times New Roman"/>
          <w:sz w:val="24"/>
        </w:rPr>
        <w:t>年</w:t>
      </w:r>
      <w:r>
        <w:rPr>
          <w:rFonts w:hint="eastAsia" w:cs="Times New Roman"/>
          <w:sz w:val="24"/>
          <w:lang w:val="en-US" w:eastAsia="zh-CN"/>
        </w:rPr>
        <w:t>3</w:t>
      </w:r>
      <w:r>
        <w:rPr>
          <w:rFonts w:hint="default" w:ascii="Times New Roman" w:hAnsi="Times New Roman" w:cs="Times New Roman"/>
          <w:sz w:val="24"/>
        </w:rPr>
        <w:t>月</w:t>
      </w:r>
      <w:r>
        <w:rPr>
          <w:rFonts w:hint="eastAsia" w:cs="Times New Roman"/>
          <w:sz w:val="24"/>
          <w:lang w:val="en-US" w:eastAsia="zh-CN"/>
        </w:rPr>
        <w:t>-8月</w:t>
      </w:r>
      <w:r>
        <w:rPr>
          <w:rFonts w:hint="default" w:ascii="Times New Roman" w:hAnsi="Times New Roman" w:cs="Times New Roman"/>
          <w:sz w:val="24"/>
        </w:rPr>
        <w:t>，</w:t>
      </w:r>
      <w:r>
        <w:rPr>
          <w:rFonts w:hint="eastAsia" w:cs="Times New Roman"/>
          <w:sz w:val="24"/>
          <w:lang w:eastAsia="zh-CN"/>
        </w:rPr>
        <w:t>在总结有关专家和参编单位内部意见的基础上，形成</w:t>
      </w:r>
      <w:r>
        <w:rPr>
          <w:rFonts w:hint="default" w:ascii="Times New Roman" w:hAnsi="Times New Roman" w:cs="Times New Roman"/>
          <w:sz w:val="24"/>
        </w:rPr>
        <w:t>《机制砂石母岩技术要求》</w:t>
      </w:r>
      <w:r>
        <w:rPr>
          <w:rFonts w:hint="eastAsia" w:cs="Times New Roman"/>
          <w:sz w:val="24"/>
          <w:lang w:eastAsia="zh-CN"/>
        </w:rPr>
        <w:t>（征求意见稿）。</w:t>
      </w:r>
    </w:p>
    <w:p w14:paraId="19F0AF00">
      <w:pPr>
        <w:numPr>
          <w:ilvl w:val="0"/>
          <w:numId w:val="2"/>
        </w:numPr>
        <w:spacing w:line="360" w:lineRule="auto"/>
        <w:ind w:firstLine="482" w:firstLineChars="200"/>
        <w:outlineLvl w:val="1"/>
        <w:rPr>
          <w:rFonts w:hint="eastAsia"/>
          <w:b/>
          <w:sz w:val="24"/>
        </w:rPr>
      </w:pPr>
      <w:bookmarkStart w:id="3" w:name="_Toc19979"/>
      <w:r>
        <w:rPr>
          <w:rFonts w:hint="eastAsia"/>
          <w:b/>
          <w:sz w:val="24"/>
        </w:rPr>
        <w:t>主要参加单位及分工</w:t>
      </w:r>
      <w:bookmarkEnd w:id="3"/>
    </w:p>
    <w:p w14:paraId="01FF38F6">
      <w:pPr>
        <w:spacing w:line="360" w:lineRule="auto"/>
        <w:ind w:firstLine="480" w:firstLineChars="200"/>
        <w:rPr>
          <w:rFonts w:hint="eastAsia" w:cs="Times New Roman"/>
          <w:sz w:val="24"/>
          <w:lang w:eastAsia="zh-CN"/>
        </w:rPr>
      </w:pPr>
      <w:r>
        <w:rPr>
          <w:rFonts w:hint="eastAsia" w:cs="Times New Roman"/>
          <w:sz w:val="24"/>
          <w:lang w:eastAsia="zh-CN"/>
        </w:rPr>
        <w:t>中国砂石协会、北京建筑大学</w:t>
      </w:r>
      <w:r>
        <w:rPr>
          <w:rFonts w:hint="eastAsia" w:cs="Times New Roman"/>
          <w:sz w:val="24"/>
          <w:lang w:val="en-US" w:eastAsia="zh-CN"/>
        </w:rPr>
        <w:t>负责</w:t>
      </w:r>
      <w:r>
        <w:rPr>
          <w:rFonts w:hint="eastAsia" w:cs="Times New Roman"/>
          <w:sz w:val="24"/>
          <w:lang w:eastAsia="zh-CN"/>
        </w:rPr>
        <w:t>联合主编，牵头组织制订工作，负责统稿、送审和报批。上海东蒙路桥机械有限公司、沈阳顺达机械制造有限公司、世邦工业科技集团股份有限公司提供验证试验样品及相应的出厂、型式检验报告。北京建筑大学、南昌矿山机械有限公司、焦作千业新材料有限公司、浙江交通资源投资有限公司、中国铁道科学研究院</w:t>
      </w:r>
      <w:r>
        <w:rPr>
          <w:rFonts w:hint="eastAsia" w:cs="Times New Roman"/>
          <w:sz w:val="24"/>
          <w:lang w:val="en-US" w:eastAsia="zh-CN"/>
        </w:rPr>
        <w:t>进行</w:t>
      </w:r>
      <w:r>
        <w:rPr>
          <w:rFonts w:hint="eastAsia" w:cs="Times New Roman"/>
          <w:sz w:val="24"/>
          <w:lang w:eastAsia="zh-CN"/>
        </w:rPr>
        <w:t>试验样品平行试验。同济大学、天津大学、山东省交通科学研究院、毕节市工业和信息化局毕节市大数据产业发展中心、山东高速工程建设集团有限公司、山东省公路桥梁建设有限公司、山东高速股份有限公司、中国电力建设集团海南分公司</w:t>
      </w:r>
      <w:r>
        <w:rPr>
          <w:rFonts w:hint="eastAsia" w:cs="Times New Roman"/>
          <w:sz w:val="24"/>
          <w:lang w:val="en-US" w:eastAsia="zh-CN"/>
        </w:rPr>
        <w:t>及</w:t>
      </w:r>
      <w:r>
        <w:rPr>
          <w:rFonts w:hint="eastAsia" w:cs="Times New Roman"/>
          <w:sz w:val="24"/>
          <w:lang w:eastAsia="zh-CN"/>
        </w:rPr>
        <w:t>青岛理工大学</w:t>
      </w:r>
      <w:r>
        <w:rPr>
          <w:rFonts w:hint="eastAsia" w:cs="Times New Roman"/>
          <w:sz w:val="24"/>
          <w:lang w:val="en-US" w:eastAsia="zh-CN"/>
        </w:rPr>
        <w:t>负责</w:t>
      </w:r>
      <w:r>
        <w:rPr>
          <w:rFonts w:hint="eastAsia" w:cs="Times New Roman"/>
          <w:sz w:val="24"/>
          <w:lang w:eastAsia="zh-CN"/>
        </w:rPr>
        <w:t>国内外相关标准及技术指标调研分析。</w:t>
      </w:r>
    </w:p>
    <w:p w14:paraId="7748B82B">
      <w:pPr>
        <w:pStyle w:val="2"/>
        <w:rPr>
          <w:rFonts w:hint="eastAsia"/>
        </w:rPr>
      </w:pPr>
      <w:bookmarkStart w:id="4" w:name="_Toc13376"/>
      <w:r>
        <w:rPr>
          <w:rFonts w:hint="eastAsia"/>
        </w:rPr>
        <w:t>二、标准编制原则和主要修订内容</w:t>
      </w:r>
      <w:bookmarkEnd w:id="4"/>
    </w:p>
    <w:p w14:paraId="777D79F3">
      <w:pPr>
        <w:spacing w:line="360" w:lineRule="auto"/>
        <w:ind w:firstLine="482" w:firstLineChars="200"/>
        <w:outlineLvl w:val="1"/>
        <w:rPr>
          <w:rFonts w:hint="eastAsia"/>
          <w:b/>
          <w:sz w:val="24"/>
        </w:rPr>
      </w:pPr>
      <w:bookmarkStart w:id="5" w:name="_Toc28701"/>
      <w:r>
        <w:rPr>
          <w:rFonts w:hint="eastAsia"/>
          <w:b/>
          <w:sz w:val="24"/>
        </w:rPr>
        <w:t>1、标准编制目的意义</w:t>
      </w:r>
      <w:bookmarkEnd w:id="5"/>
    </w:p>
    <w:p w14:paraId="1ADF61DB">
      <w:pPr>
        <w:spacing w:line="360" w:lineRule="auto"/>
        <w:ind w:firstLine="480" w:firstLineChars="200"/>
        <w:rPr>
          <w:rFonts w:hint="eastAsia" w:ascii="宋体" w:hAnsi="宋体"/>
          <w:sz w:val="24"/>
        </w:rPr>
      </w:pPr>
      <w:r>
        <w:rPr>
          <w:rFonts w:hint="eastAsia" w:ascii="Times New Roman" w:hAnsi="Times New Roman" w:cs="Times New Roman"/>
          <w:sz w:val="24"/>
          <w:lang w:val="en-US" w:eastAsia="zh-CN"/>
        </w:rPr>
        <w:t>201</w:t>
      </w:r>
      <w:r>
        <w:rPr>
          <w:rFonts w:hint="eastAsia" w:ascii="宋体" w:hAnsi="宋体" w:eastAsia="宋体" w:cs="宋体"/>
          <w:sz w:val="24"/>
          <w:lang w:val="en-US" w:eastAsia="zh-CN"/>
        </w:rPr>
        <w:t>８</w:t>
      </w:r>
      <w:r>
        <w:rPr>
          <w:rFonts w:hint="eastAsia" w:ascii="Times New Roman" w:hAnsi="Times New Roman" w:cs="Times New Roman"/>
          <w:sz w:val="24"/>
          <w:lang w:val="en-US" w:eastAsia="zh-CN"/>
        </w:rPr>
        <w:t>年以来</w:t>
      </w:r>
      <w:r>
        <w:rPr>
          <w:rFonts w:hint="eastAsia" w:ascii="Times New Roman" w:hAnsi="Times New Roman" w:cs="Times New Roman"/>
          <w:sz w:val="24"/>
        </w:rPr>
        <w:t>，随着建筑行业的快速发展，全国各地区砂石资源短缺问题日益突出，促进了机制砂石的应用和推广，同时也暴露出机制砂石行业存在的问题。为促进机制砂石行业结构调</w:t>
      </w:r>
      <w:r>
        <w:rPr>
          <w:rFonts w:hint="eastAsia" w:ascii="宋体" w:hAnsi="宋体"/>
          <w:sz w:val="24"/>
        </w:rPr>
        <w:t>整、规范行业准入、保护资源和环境，提高产业集中度，实现可持续发展，同时指导企业科学生产、提高工艺与装备水平、保证产品质量，在对我国机制砂石现状和主要问题调查研究的基础上，结合行业提升质量和效益，技术进步、节能减排、安全生产、资源综合利用和增强社会责任等方面要求，</w:t>
      </w:r>
      <w:r>
        <w:rPr>
          <w:rFonts w:hint="eastAsia" w:ascii="宋体" w:hAnsi="宋体"/>
          <w:sz w:val="24"/>
          <w:lang w:eastAsia="zh-CN"/>
        </w:rPr>
        <w:t>中国砂石协会和北京建筑大学等</w:t>
      </w:r>
      <w:r>
        <w:rPr>
          <w:rFonts w:hint="eastAsia" w:ascii="宋体" w:hAnsi="宋体"/>
          <w:sz w:val="24"/>
        </w:rPr>
        <w:t>开展《机制砂石母岩技术要求》的研究和编制工作。</w:t>
      </w:r>
    </w:p>
    <w:p w14:paraId="1021FC35">
      <w:pPr>
        <w:spacing w:line="360" w:lineRule="auto"/>
        <w:ind w:firstLine="480" w:firstLineChars="200"/>
        <w:rPr>
          <w:rFonts w:hint="eastAsia" w:ascii="宋体" w:hAnsi="宋体"/>
          <w:sz w:val="24"/>
        </w:rPr>
      </w:pPr>
      <w:r>
        <w:rPr>
          <w:rFonts w:hint="eastAsia" w:ascii="宋体" w:hAnsi="宋体"/>
          <w:sz w:val="24"/>
        </w:rPr>
        <w:t>过去建设用砂以天然砂为主，是通过开采天然资源的方式获取，建设用石</w:t>
      </w:r>
      <w:r>
        <w:rPr>
          <w:rFonts w:hint="eastAsia" w:ascii="宋体" w:hAnsi="宋体"/>
          <w:sz w:val="24"/>
          <w:lang w:eastAsia="zh-CN"/>
        </w:rPr>
        <w:t>以卵</w:t>
      </w:r>
      <w:r>
        <w:rPr>
          <w:rFonts w:hint="eastAsia" w:ascii="宋体" w:hAnsi="宋体"/>
          <w:sz w:val="24"/>
        </w:rPr>
        <w:t>石</w:t>
      </w:r>
      <w:r>
        <w:rPr>
          <w:rFonts w:hint="eastAsia" w:ascii="宋体" w:hAnsi="宋体"/>
          <w:sz w:val="24"/>
          <w:lang w:eastAsia="zh-CN"/>
        </w:rPr>
        <w:t>和碎石为主，</w:t>
      </w:r>
      <w:r>
        <w:rPr>
          <w:rFonts w:hint="eastAsia" w:ascii="宋体" w:hAnsi="宋体"/>
          <w:sz w:val="24"/>
        </w:rPr>
        <w:t>对母岩仅有强度要求，即岩石抗压强度。近年来，由于环保力度的加大，各地禁止和限制天然砂石的开采，特别是天然砂（河</w:t>
      </w:r>
      <w:r>
        <w:rPr>
          <w:rFonts w:hint="eastAsia" w:ascii="宋体" w:hAnsi="宋体"/>
          <w:sz w:val="24"/>
          <w:lang w:val="en-US" w:eastAsia="zh-CN"/>
        </w:rPr>
        <w:t>砂</w:t>
      </w:r>
      <w:r>
        <w:rPr>
          <w:rFonts w:hint="eastAsia" w:ascii="宋体" w:hAnsi="宋体"/>
          <w:sz w:val="24"/>
        </w:rPr>
        <w:t>）的开采，推动了大型机制砂石生产线的建设，加快了机制砂石产业的工业化进程。随着研究和实践的不断深入，用于机制砂石生产的母岩种类也越来越多，过去以石灰岩、玄武岩、花岗岩等为主，而目前以凝灰岩、片麻岩等岩石以及各种金属尾矿为原料的生产线也逐渐出现，特别是在浙江等石灰岩相对较少的地区尤为明显。即使是同一类岩石，其性能和技术指标也差异很大，以数量最多、占比接近50%建筑石料用灰岩为例，其岩石抗压强度从30MPa到150MPa都有。因此，有必要根据目前的理论研究和实践经验对母岩技术要求作出规定，避免和减少机制砂石质量问题或生产线工艺问题的出现，有利于合理利用资源和节能减排，推进机制砂石工业化。</w:t>
      </w:r>
    </w:p>
    <w:p w14:paraId="0FD56C24">
      <w:pPr>
        <w:spacing w:line="360" w:lineRule="auto"/>
        <w:ind w:firstLine="480" w:firstLineChars="200"/>
        <w:rPr>
          <w:rFonts w:hint="eastAsia" w:ascii="宋体" w:hAnsi="宋体"/>
          <w:sz w:val="24"/>
        </w:rPr>
      </w:pPr>
    </w:p>
    <w:p w14:paraId="1E28DA67">
      <w:pPr>
        <w:spacing w:line="360" w:lineRule="auto"/>
        <w:ind w:firstLine="482" w:firstLineChars="200"/>
        <w:outlineLvl w:val="1"/>
        <w:rPr>
          <w:rFonts w:hint="eastAsia"/>
          <w:b/>
          <w:bCs/>
          <w:sz w:val="24"/>
        </w:rPr>
      </w:pPr>
      <w:bookmarkStart w:id="6" w:name="_Toc14147"/>
      <w:r>
        <w:rPr>
          <w:b/>
          <w:bCs/>
          <w:sz w:val="24"/>
        </w:rPr>
        <w:t>2</w:t>
      </w:r>
      <w:r>
        <w:rPr>
          <w:rFonts w:hint="eastAsia"/>
          <w:b/>
          <w:bCs/>
          <w:sz w:val="24"/>
        </w:rPr>
        <w:t>、标准编制原则</w:t>
      </w:r>
      <w:bookmarkEnd w:id="6"/>
    </w:p>
    <w:p w14:paraId="447439B1">
      <w:pPr>
        <w:spacing w:line="360" w:lineRule="auto"/>
        <w:ind w:firstLine="480" w:firstLineChars="200"/>
        <w:rPr>
          <w:rFonts w:hint="eastAsia" w:ascii="宋体" w:hAnsi="宋体"/>
          <w:sz w:val="24"/>
        </w:rPr>
      </w:pPr>
      <w:r>
        <w:rPr>
          <w:rFonts w:hint="eastAsia" w:ascii="宋体" w:hAnsi="宋体"/>
          <w:sz w:val="24"/>
        </w:rPr>
        <w:t>本标准按</w:t>
      </w:r>
      <w:r>
        <w:rPr>
          <w:rFonts w:hint="default" w:ascii="Times New Roman" w:hAnsi="Times New Roman" w:cs="Times New Roman"/>
          <w:sz w:val="24"/>
        </w:rPr>
        <w:t>照GB/T</w:t>
      </w:r>
      <w:r>
        <w:rPr>
          <w:rFonts w:hint="eastAsia" w:ascii="Times New Roman" w:hAnsi="Times New Roman" w:cs="Times New Roman"/>
          <w:sz w:val="24"/>
          <w:lang w:val="en-US" w:eastAsia="zh-CN"/>
        </w:rPr>
        <w:t xml:space="preserve"> </w:t>
      </w:r>
      <w:r>
        <w:rPr>
          <w:rFonts w:hint="default" w:ascii="Times New Roman" w:hAnsi="Times New Roman" w:cs="Times New Roman"/>
          <w:sz w:val="24"/>
        </w:rPr>
        <w:t>1.1给出的规则起草。标准编制遵循</w:t>
      </w:r>
      <w:r>
        <w:rPr>
          <w:rFonts w:hint="eastAsia" w:cs="Times New Roman"/>
          <w:sz w:val="24"/>
          <w:lang w:eastAsia="zh-CN"/>
        </w:rPr>
        <w:t>“</w:t>
      </w:r>
      <w:r>
        <w:rPr>
          <w:rFonts w:hint="default" w:ascii="Times New Roman" w:hAnsi="Times New Roman" w:cs="Times New Roman"/>
          <w:sz w:val="24"/>
        </w:rPr>
        <w:t>统一性、协调性、适用性、一致性、规范性</w:t>
      </w:r>
      <w:r>
        <w:rPr>
          <w:rFonts w:hint="eastAsia" w:cs="Times New Roman"/>
          <w:sz w:val="24"/>
          <w:lang w:eastAsia="zh-CN"/>
        </w:rPr>
        <w:t>”</w:t>
      </w:r>
      <w:r>
        <w:rPr>
          <w:rFonts w:hint="default" w:ascii="Times New Roman" w:hAnsi="Times New Roman" w:cs="Times New Roman"/>
          <w:sz w:val="24"/>
        </w:rPr>
        <w:t>的</w:t>
      </w:r>
      <w:r>
        <w:rPr>
          <w:rFonts w:hint="eastAsia" w:ascii="宋体" w:hAnsi="宋体"/>
          <w:sz w:val="24"/>
        </w:rPr>
        <w:t>原则。本标准是在广泛调查研究和试验验证的基础上制定的。</w:t>
      </w:r>
    </w:p>
    <w:p w14:paraId="3C09DD11">
      <w:pPr>
        <w:spacing w:line="360" w:lineRule="auto"/>
        <w:ind w:firstLine="482" w:firstLineChars="200"/>
        <w:outlineLvl w:val="1"/>
        <w:rPr>
          <w:b/>
          <w:bCs/>
          <w:sz w:val="24"/>
        </w:rPr>
      </w:pPr>
      <w:bookmarkStart w:id="7" w:name="_Toc24332"/>
      <w:r>
        <w:rPr>
          <w:rFonts w:hint="eastAsia"/>
          <w:b/>
          <w:bCs/>
          <w:sz w:val="24"/>
        </w:rPr>
        <w:t>3、主要</w:t>
      </w:r>
      <w:r>
        <w:rPr>
          <w:rFonts w:hint="eastAsia"/>
          <w:b/>
          <w:bCs/>
          <w:sz w:val="24"/>
          <w:lang w:val="en-US" w:eastAsia="zh-CN"/>
        </w:rPr>
        <w:t>制定</w:t>
      </w:r>
      <w:r>
        <w:rPr>
          <w:rFonts w:hint="eastAsia"/>
          <w:b/>
          <w:bCs/>
          <w:sz w:val="24"/>
        </w:rPr>
        <w:t>内容</w:t>
      </w:r>
      <w:bookmarkEnd w:id="7"/>
    </w:p>
    <w:p w14:paraId="5C60F1AD">
      <w:pPr>
        <w:spacing w:line="360" w:lineRule="auto"/>
        <w:ind w:firstLine="480" w:firstLineChars="200"/>
        <w:rPr>
          <w:rFonts w:hint="eastAsia" w:ascii="宋体" w:hAnsi="宋体" w:eastAsia="宋体"/>
          <w:sz w:val="24"/>
          <w:lang w:eastAsia="zh-CN"/>
        </w:rPr>
      </w:pPr>
      <w:r>
        <w:rPr>
          <w:rFonts w:hint="eastAsia" w:ascii="宋体" w:hAnsi="宋体"/>
          <w:sz w:val="24"/>
        </w:rPr>
        <w:t>本标准主要</w:t>
      </w:r>
      <w:r>
        <w:rPr>
          <w:rFonts w:hint="eastAsia" w:ascii="宋体" w:hAnsi="宋体"/>
          <w:sz w:val="24"/>
          <w:lang w:val="en-US" w:eastAsia="zh-CN"/>
        </w:rPr>
        <w:t>涵盖</w:t>
      </w:r>
      <w:r>
        <w:rPr>
          <w:rFonts w:hint="eastAsia" w:ascii="宋体" w:hAnsi="宋体"/>
          <w:sz w:val="24"/>
        </w:rPr>
        <w:t>以下内容</w:t>
      </w:r>
      <w:r>
        <w:rPr>
          <w:rFonts w:hint="eastAsia" w:ascii="宋体" w:hAnsi="宋体"/>
          <w:sz w:val="24"/>
          <w:lang w:eastAsia="zh-CN"/>
        </w:rPr>
        <w:t>：</w:t>
      </w:r>
    </w:p>
    <w:p w14:paraId="0ED070D2">
      <w:pPr>
        <w:spacing w:line="360" w:lineRule="auto"/>
        <w:ind w:firstLine="480" w:firstLineChars="200"/>
        <w:rPr>
          <w:rFonts w:hint="eastAsia" w:ascii="宋体" w:hAnsi="宋体"/>
          <w:sz w:val="24"/>
        </w:rPr>
      </w:pPr>
      <w:r>
        <w:rPr>
          <w:rFonts w:hint="eastAsia" w:ascii="宋体" w:hAnsi="宋体"/>
          <w:sz w:val="24"/>
          <w:lang w:val="en-US" w:eastAsia="zh-CN"/>
        </w:rPr>
        <w:t>标准主要</w:t>
      </w:r>
      <w:r>
        <w:rPr>
          <w:rFonts w:hint="eastAsia" w:ascii="宋体" w:hAnsi="宋体"/>
          <w:strike w:val="0"/>
          <w:dstrike w:val="0"/>
          <w:sz w:val="24"/>
        </w:rPr>
        <w:t>包括</w:t>
      </w:r>
      <w:r>
        <w:rPr>
          <w:rFonts w:hint="eastAsia" w:ascii="宋体" w:hAnsi="宋体"/>
          <w:strike w:val="0"/>
          <w:dstrike w:val="0"/>
          <w:sz w:val="24"/>
          <w:lang w:val="en-US" w:eastAsia="zh-CN"/>
        </w:rPr>
        <w:t>标准使用</w:t>
      </w:r>
      <w:r>
        <w:rPr>
          <w:rFonts w:hint="eastAsia" w:ascii="宋体" w:hAnsi="宋体"/>
          <w:strike w:val="0"/>
          <w:dstrike w:val="0"/>
          <w:sz w:val="24"/>
        </w:rPr>
        <w:t>范围</w:t>
      </w:r>
      <w:r>
        <w:rPr>
          <w:rFonts w:hint="eastAsia" w:ascii="宋体" w:hAnsi="宋体"/>
          <w:strike w:val="0"/>
          <w:dstrike w:val="0"/>
          <w:sz w:val="24"/>
          <w:lang w:eastAsia="zh-CN"/>
        </w:rPr>
        <w:t>，</w:t>
      </w:r>
      <w:r>
        <w:rPr>
          <w:rFonts w:hint="eastAsia" w:ascii="宋体" w:hAnsi="宋体"/>
          <w:strike w:val="0"/>
          <w:dstrike w:val="0"/>
          <w:sz w:val="24"/>
        </w:rPr>
        <w:t>规范性引用文件</w:t>
      </w:r>
      <w:r>
        <w:rPr>
          <w:rFonts w:hint="eastAsia" w:ascii="宋体" w:hAnsi="宋体"/>
          <w:strike w:val="0"/>
          <w:dstrike w:val="0"/>
          <w:sz w:val="24"/>
          <w:lang w:eastAsia="zh-CN"/>
        </w:rPr>
        <w:t>、</w:t>
      </w:r>
      <w:r>
        <w:rPr>
          <w:rFonts w:hint="eastAsia" w:ascii="宋体" w:hAnsi="宋体"/>
          <w:strike w:val="0"/>
          <w:dstrike w:val="0"/>
          <w:sz w:val="24"/>
        </w:rPr>
        <w:t>术语和定义</w:t>
      </w:r>
      <w:r>
        <w:rPr>
          <w:rFonts w:hint="eastAsia" w:ascii="宋体" w:hAnsi="宋体"/>
          <w:strike w:val="0"/>
          <w:dstrike w:val="0"/>
          <w:sz w:val="24"/>
          <w:lang w:eastAsia="zh-CN"/>
        </w:rPr>
        <w:t>、</w:t>
      </w:r>
      <w:r>
        <w:rPr>
          <w:rFonts w:hint="eastAsia" w:ascii="宋体" w:hAnsi="宋体"/>
          <w:strike w:val="0"/>
          <w:dstrike w:val="0"/>
          <w:sz w:val="24"/>
        </w:rPr>
        <w:t>分类</w:t>
      </w:r>
      <w:r>
        <w:rPr>
          <w:rFonts w:hint="eastAsia" w:ascii="宋体" w:hAnsi="宋体"/>
          <w:strike w:val="0"/>
          <w:dstrike w:val="0"/>
          <w:sz w:val="24"/>
          <w:lang w:eastAsia="zh-CN"/>
        </w:rPr>
        <w:t>、</w:t>
      </w:r>
      <w:r>
        <w:rPr>
          <w:rFonts w:hint="eastAsia" w:ascii="宋体" w:hAnsi="宋体"/>
          <w:strike w:val="0"/>
          <w:dstrike w:val="0"/>
          <w:sz w:val="24"/>
        </w:rPr>
        <w:t>技术要求</w:t>
      </w:r>
      <w:r>
        <w:rPr>
          <w:rFonts w:hint="eastAsia" w:ascii="宋体" w:hAnsi="宋体"/>
          <w:strike w:val="0"/>
          <w:dstrike w:val="0"/>
          <w:sz w:val="24"/>
          <w:lang w:eastAsia="zh-CN"/>
        </w:rPr>
        <w:t>、</w:t>
      </w:r>
      <w:r>
        <w:rPr>
          <w:rFonts w:hint="eastAsia" w:ascii="宋体" w:hAnsi="宋体"/>
          <w:strike w:val="0"/>
          <w:dstrike w:val="0"/>
          <w:sz w:val="24"/>
        </w:rPr>
        <w:t>试验方法</w:t>
      </w:r>
      <w:r>
        <w:rPr>
          <w:rFonts w:hint="eastAsia" w:ascii="宋体" w:hAnsi="宋体"/>
          <w:strike w:val="0"/>
          <w:dstrike w:val="0"/>
          <w:sz w:val="24"/>
          <w:lang w:eastAsia="zh-CN"/>
        </w:rPr>
        <w:t>、</w:t>
      </w:r>
      <w:r>
        <w:rPr>
          <w:rFonts w:hint="eastAsia" w:ascii="宋体" w:hAnsi="宋体"/>
          <w:strike w:val="0"/>
          <w:dstrike w:val="0"/>
          <w:sz w:val="24"/>
        </w:rPr>
        <w:t>运输和贮存</w:t>
      </w:r>
      <w:r>
        <w:rPr>
          <w:rFonts w:hint="eastAsia" w:ascii="宋体" w:hAnsi="宋体"/>
          <w:strike w:val="0"/>
          <w:dstrike w:val="0"/>
          <w:sz w:val="24"/>
          <w:lang w:val="en-US" w:eastAsia="zh-CN"/>
        </w:rPr>
        <w:t>等。</w:t>
      </w:r>
      <w:r>
        <w:rPr>
          <w:rFonts w:hint="eastAsia" w:ascii="宋体" w:hAnsi="宋体"/>
          <w:sz w:val="24"/>
        </w:rPr>
        <w:t>本标准适用于机制砂石母岩的生产、供货、检查和验收。</w:t>
      </w:r>
    </w:p>
    <w:p w14:paraId="6B326810">
      <w:pPr>
        <w:spacing w:line="360" w:lineRule="auto"/>
        <w:ind w:firstLine="480" w:firstLineChars="200"/>
        <w:rPr>
          <w:rFonts w:hint="default" w:ascii="Times New Roman" w:hAnsi="Times New Roman" w:cs="Times New Roman"/>
          <w:strike/>
          <w:dstrike w:val="0"/>
          <w:sz w:val="24"/>
        </w:rPr>
      </w:pPr>
      <w:r>
        <w:rPr>
          <w:rFonts w:hint="eastAsia" w:ascii="宋体" w:hAnsi="宋体"/>
          <w:strike w:val="0"/>
          <w:dstrike w:val="0"/>
          <w:sz w:val="24"/>
          <w:lang w:val="en-US" w:eastAsia="zh-CN"/>
        </w:rPr>
        <w:t>编制组根据</w:t>
      </w:r>
      <w:r>
        <w:rPr>
          <w:rFonts w:hint="eastAsia" w:ascii="宋体" w:hAnsi="宋体"/>
          <w:sz w:val="24"/>
        </w:rPr>
        <w:t>目前的理论研究和实践经验</w:t>
      </w:r>
      <w:r>
        <w:rPr>
          <w:rFonts w:hint="eastAsia" w:ascii="宋体" w:hAnsi="宋体"/>
          <w:sz w:val="24"/>
          <w:lang w:eastAsia="zh-CN"/>
        </w:rPr>
        <w:t>，</w:t>
      </w:r>
      <w:r>
        <w:rPr>
          <w:rFonts w:hint="eastAsia" w:ascii="宋体" w:hAnsi="宋体"/>
          <w:sz w:val="24"/>
        </w:rPr>
        <w:t>对</w:t>
      </w:r>
      <w:r>
        <w:rPr>
          <w:rFonts w:hint="eastAsia" w:ascii="宋体" w:hAnsi="宋体"/>
          <w:sz w:val="24"/>
          <w:lang w:val="en-US" w:eastAsia="zh-CN"/>
        </w:rPr>
        <w:t>机制砂石</w:t>
      </w:r>
      <w:r>
        <w:rPr>
          <w:rFonts w:hint="eastAsia" w:ascii="宋体" w:hAnsi="宋体"/>
          <w:sz w:val="24"/>
        </w:rPr>
        <w:t>母岩技术要求作出规定，</w:t>
      </w:r>
      <w:r>
        <w:rPr>
          <w:rFonts w:hint="eastAsia" w:ascii="宋体" w:hAnsi="宋体"/>
          <w:sz w:val="24"/>
          <w:lang w:val="en-US" w:eastAsia="zh-CN"/>
        </w:rPr>
        <w:t>有助于推动企业投资决策和提高</w:t>
      </w:r>
      <w:r>
        <w:rPr>
          <w:rFonts w:hint="eastAsia" w:ascii="宋体" w:hAnsi="宋体"/>
          <w:sz w:val="24"/>
        </w:rPr>
        <w:t>机制砂石</w:t>
      </w:r>
      <w:r>
        <w:rPr>
          <w:rFonts w:hint="eastAsia" w:ascii="宋体" w:hAnsi="宋体"/>
          <w:sz w:val="24"/>
          <w:lang w:eastAsia="zh-CN"/>
        </w:rPr>
        <w:t>产品</w:t>
      </w:r>
      <w:r>
        <w:rPr>
          <w:rFonts w:hint="eastAsia" w:ascii="宋体" w:hAnsi="宋体"/>
          <w:sz w:val="24"/>
        </w:rPr>
        <w:t>质量，有利于合理利用资源和节能减排，推进机制砂石工业化</w:t>
      </w:r>
      <w:r>
        <w:rPr>
          <w:rFonts w:hint="eastAsia" w:ascii="宋体" w:hAnsi="宋体"/>
          <w:sz w:val="24"/>
          <w:lang w:eastAsia="zh-CN"/>
        </w:rPr>
        <w:t>。</w:t>
      </w:r>
      <w:r>
        <w:rPr>
          <w:rFonts w:hint="eastAsia" w:ascii="宋体" w:hAnsi="宋体"/>
          <w:sz w:val="24"/>
          <w:lang w:val="en-US" w:eastAsia="zh-CN"/>
        </w:rPr>
        <w:t>标准主要</w:t>
      </w:r>
      <w:r>
        <w:rPr>
          <w:rFonts w:hint="eastAsia" w:ascii="宋体" w:hAnsi="宋体"/>
          <w:strike w:val="0"/>
          <w:dstrike w:val="0"/>
          <w:sz w:val="24"/>
        </w:rPr>
        <w:t>包括以下几</w:t>
      </w:r>
      <w:r>
        <w:rPr>
          <w:rFonts w:hint="default" w:ascii="Times New Roman" w:hAnsi="Times New Roman" w:cs="Times New Roman"/>
          <w:strike w:val="0"/>
          <w:dstrike w:val="0"/>
          <w:sz w:val="24"/>
        </w:rPr>
        <w:t>个方面：</w:t>
      </w:r>
    </w:p>
    <w:p w14:paraId="23AF665D">
      <w:pPr>
        <w:spacing w:line="360" w:lineRule="auto"/>
        <w:ind w:firstLine="480" w:firstLineChars="200"/>
        <w:outlineLvl w:val="2"/>
        <w:rPr>
          <w:rFonts w:hint="default" w:ascii="Times New Roman" w:hAnsi="Times New Roman" w:cs="Times New Roman"/>
          <w:strike w:val="0"/>
          <w:dstrike w:val="0"/>
          <w:sz w:val="24"/>
        </w:rPr>
      </w:pPr>
      <w:bookmarkStart w:id="8" w:name="_Toc26547"/>
      <w:bookmarkStart w:id="9" w:name="_Toc79653538"/>
      <w:r>
        <w:rPr>
          <w:rFonts w:hint="default" w:ascii="Times New Roman" w:hAnsi="Times New Roman" w:cs="Times New Roman"/>
          <w:strike w:val="0"/>
          <w:dstrike w:val="0"/>
          <w:sz w:val="24"/>
        </w:rPr>
        <w:t>（1）术语和定义</w:t>
      </w:r>
      <w:bookmarkEnd w:id="8"/>
    </w:p>
    <w:p w14:paraId="0C79C5AB">
      <w:pPr>
        <w:spacing w:line="360" w:lineRule="auto"/>
        <w:ind w:firstLine="480" w:firstLineChars="200"/>
        <w:outlineLvl w:val="2"/>
        <w:rPr>
          <w:rFonts w:hint="default" w:ascii="Times New Roman" w:hAnsi="Times New Roman" w:cs="Times New Roman"/>
          <w:strike w:val="0"/>
          <w:dstrike w:val="0"/>
          <w:sz w:val="24"/>
        </w:rPr>
      </w:pPr>
      <w:bookmarkStart w:id="10" w:name="_Toc9897"/>
      <w:r>
        <w:rPr>
          <w:rFonts w:hint="default" w:ascii="Times New Roman" w:hAnsi="Times New Roman" w:cs="Times New Roman"/>
          <w:strike w:val="0"/>
          <w:dstrike w:val="0"/>
          <w:sz w:val="24"/>
        </w:rPr>
        <w:t>为保障机制砂石母岩的质量，保证砂石生产的品质。本标准定义了三个术语。首先本标准适用于机制砂以及机制石的母岩技术要求，因此定义了机制砂石这个术语，主要参考国家标准GB/T</w:t>
      </w:r>
      <w:r>
        <w:rPr>
          <w:rFonts w:hint="eastAsia" w:cs="Times New Roman"/>
          <w:strike w:val="0"/>
          <w:dstrike w:val="0"/>
          <w:sz w:val="24"/>
          <w:lang w:eastAsia="zh-CN"/>
        </w:rPr>
        <w:t>　</w:t>
      </w:r>
      <w:r>
        <w:rPr>
          <w:rFonts w:hint="default" w:ascii="Times New Roman" w:hAnsi="Times New Roman" w:cs="Times New Roman"/>
          <w:strike w:val="0"/>
          <w:dstrike w:val="0"/>
          <w:sz w:val="24"/>
        </w:rPr>
        <w:t>14684</w:t>
      </w:r>
      <w:r>
        <w:rPr>
          <w:rFonts w:hint="eastAsia" w:cs="Times New Roman"/>
          <w:strike w:val="0"/>
          <w:dstrike w:val="0"/>
          <w:sz w:val="24"/>
          <w:lang w:eastAsia="zh-CN"/>
        </w:rPr>
        <w:t>《建设用砂》</w:t>
      </w:r>
      <w:r>
        <w:rPr>
          <w:rFonts w:hint="default" w:ascii="Times New Roman" w:hAnsi="Times New Roman" w:cs="Times New Roman"/>
          <w:strike w:val="0"/>
          <w:dstrike w:val="0"/>
          <w:sz w:val="24"/>
        </w:rPr>
        <w:t>于GB/T</w:t>
      </w:r>
      <w:r>
        <w:rPr>
          <w:rFonts w:hint="eastAsia" w:cs="Times New Roman"/>
          <w:strike w:val="0"/>
          <w:dstrike w:val="0"/>
          <w:sz w:val="24"/>
          <w:lang w:eastAsia="zh-CN"/>
        </w:rPr>
        <w:t>　</w:t>
      </w:r>
      <w:r>
        <w:rPr>
          <w:rFonts w:hint="default" w:ascii="Times New Roman" w:hAnsi="Times New Roman" w:cs="Times New Roman"/>
          <w:strike w:val="0"/>
          <w:dstrike w:val="0"/>
          <w:sz w:val="24"/>
        </w:rPr>
        <w:t>14685</w:t>
      </w:r>
      <w:r>
        <w:rPr>
          <w:rFonts w:hint="eastAsia" w:cs="Times New Roman"/>
          <w:strike w:val="0"/>
          <w:dstrike w:val="0"/>
          <w:sz w:val="24"/>
          <w:lang w:eastAsia="zh-CN"/>
        </w:rPr>
        <w:t>《建设用卵石、碎石》</w:t>
      </w:r>
      <w:r>
        <w:rPr>
          <w:rFonts w:hint="default" w:ascii="Times New Roman" w:hAnsi="Times New Roman" w:cs="Times New Roman"/>
          <w:strike w:val="0"/>
          <w:dstrike w:val="0"/>
          <w:sz w:val="24"/>
        </w:rPr>
        <w:t>中对于机制砂以及碎石的定义。本标准还引入了磨蚀指数与破碎功指数来定义母岩可破碎性以及母岩磨蚀性。</w:t>
      </w:r>
      <w:bookmarkEnd w:id="9"/>
      <w:bookmarkEnd w:id="10"/>
    </w:p>
    <w:p w14:paraId="135FE871">
      <w:pPr>
        <w:spacing w:line="360" w:lineRule="auto"/>
        <w:ind w:firstLine="480" w:firstLineChars="200"/>
        <w:outlineLvl w:val="2"/>
        <w:rPr>
          <w:rFonts w:hint="default" w:ascii="Times New Roman" w:hAnsi="Times New Roman" w:cs="Times New Roman"/>
          <w:strike w:val="0"/>
          <w:dstrike w:val="0"/>
          <w:sz w:val="24"/>
        </w:rPr>
      </w:pPr>
      <w:bookmarkStart w:id="11" w:name="_Toc5173"/>
      <w:r>
        <w:rPr>
          <w:rFonts w:hint="default" w:ascii="Times New Roman" w:hAnsi="Times New Roman" w:cs="Times New Roman"/>
          <w:strike w:val="0"/>
          <w:dstrike w:val="0"/>
          <w:sz w:val="24"/>
        </w:rPr>
        <w:t>（</w:t>
      </w:r>
      <w:r>
        <w:rPr>
          <w:rFonts w:hint="eastAsia" w:cs="Times New Roman"/>
          <w:strike w:val="0"/>
          <w:dstrike w:val="0"/>
          <w:sz w:val="24"/>
          <w:lang w:val="en-US" w:eastAsia="zh-CN"/>
        </w:rPr>
        <w:t>2</w:t>
      </w:r>
      <w:r>
        <w:rPr>
          <w:rFonts w:hint="default" w:ascii="Times New Roman" w:hAnsi="Times New Roman" w:cs="Times New Roman"/>
          <w:strike w:val="0"/>
          <w:dstrike w:val="0"/>
          <w:sz w:val="24"/>
        </w:rPr>
        <w:t>）分类</w:t>
      </w:r>
      <w:bookmarkEnd w:id="11"/>
    </w:p>
    <w:p w14:paraId="32E48691">
      <w:pPr>
        <w:spacing w:line="360" w:lineRule="auto"/>
        <w:ind w:firstLine="480" w:firstLineChars="200"/>
        <w:outlineLvl w:val="2"/>
        <w:rPr>
          <w:rFonts w:hint="default" w:ascii="Times New Roman" w:hAnsi="Times New Roman" w:cs="Times New Roman"/>
          <w:strike w:val="0"/>
          <w:dstrike w:val="0"/>
          <w:sz w:val="24"/>
        </w:rPr>
      </w:pPr>
      <w:r>
        <w:rPr>
          <w:rFonts w:hint="default" w:ascii="Times New Roman" w:hAnsi="Times New Roman" w:cs="Times New Roman"/>
          <w:strike w:val="0"/>
          <w:dstrike w:val="0"/>
          <w:sz w:val="24"/>
        </w:rPr>
        <w:t>母岩的力学性能按饱和抗压强度（块体）、回弹硬度、压碎指标、软化系数（块体）技术要求分为Ⅰ类、Ⅱ类、Ⅲ类。</w:t>
      </w:r>
    </w:p>
    <w:p w14:paraId="60BE9F63">
      <w:pPr>
        <w:spacing w:line="360" w:lineRule="auto"/>
        <w:ind w:firstLine="480" w:firstLineChars="200"/>
        <w:outlineLvl w:val="2"/>
        <w:rPr>
          <w:rFonts w:hint="default" w:ascii="Times New Roman" w:hAnsi="Times New Roman" w:cs="Times New Roman"/>
          <w:strike w:val="0"/>
          <w:dstrike w:val="0"/>
          <w:sz w:val="24"/>
        </w:rPr>
      </w:pPr>
      <w:bookmarkStart w:id="12" w:name="_Toc24168"/>
      <w:r>
        <w:rPr>
          <w:rFonts w:hint="eastAsia" w:cs="Times New Roman"/>
          <w:strike w:val="0"/>
          <w:dstrike w:val="0"/>
          <w:sz w:val="24"/>
          <w:lang w:eastAsia="zh-CN"/>
        </w:rPr>
        <w:t>（</w:t>
      </w:r>
      <w:r>
        <w:rPr>
          <w:rFonts w:hint="eastAsia" w:cs="Times New Roman"/>
          <w:strike w:val="0"/>
          <w:dstrike w:val="0"/>
          <w:sz w:val="24"/>
          <w:lang w:val="en-US" w:eastAsia="zh-CN"/>
        </w:rPr>
        <w:t>3</w:t>
      </w:r>
      <w:r>
        <w:rPr>
          <w:rFonts w:hint="eastAsia" w:cs="Times New Roman"/>
          <w:strike w:val="0"/>
          <w:dstrike w:val="0"/>
          <w:sz w:val="24"/>
          <w:lang w:eastAsia="zh-CN"/>
        </w:rPr>
        <w:t>）</w:t>
      </w:r>
      <w:r>
        <w:rPr>
          <w:rFonts w:hint="default" w:ascii="Times New Roman" w:hAnsi="Times New Roman" w:cs="Times New Roman"/>
          <w:strike w:val="0"/>
          <w:dstrike w:val="0"/>
          <w:sz w:val="24"/>
        </w:rPr>
        <w:t>技术要求</w:t>
      </w:r>
      <w:bookmarkEnd w:id="12"/>
    </w:p>
    <w:p w14:paraId="790C27FB">
      <w:pPr>
        <w:spacing w:line="360" w:lineRule="auto"/>
        <w:ind w:firstLine="480" w:firstLineChars="200"/>
        <w:outlineLvl w:val="2"/>
        <w:rPr>
          <w:rFonts w:hint="eastAsia" w:cs="Times New Roman"/>
          <w:kern w:val="0"/>
          <w:sz w:val="24"/>
          <w:szCs w:val="22"/>
          <w:lang w:val="en-US" w:eastAsia="zh-CN"/>
        </w:rPr>
      </w:pPr>
      <w:bookmarkStart w:id="13" w:name="_Toc15262"/>
      <w:r>
        <w:rPr>
          <w:rFonts w:hint="default" w:ascii="Times New Roman" w:hAnsi="Times New Roman" w:cs="Times New Roman"/>
          <w:strike w:val="0"/>
          <w:dstrike w:val="0"/>
          <w:sz w:val="24"/>
        </w:rPr>
        <w:t>为保证机制砂石母岩的物理性能，对于母岩块体干密度以及吸水率（块体）进行了要求。为保证机制砂石母岩的力学性能，对于母岩块体饱和抗压强度、回弹硬度、压碎指标、块体软化系数</w:t>
      </w:r>
      <w:r>
        <w:rPr>
          <w:rFonts w:hint="eastAsia" w:cs="Times New Roman"/>
          <w:strike w:val="0"/>
          <w:dstrike w:val="0"/>
          <w:sz w:val="24"/>
          <w:lang w:val="en-US" w:eastAsia="zh-CN"/>
        </w:rPr>
        <w:t>进行了要求</w:t>
      </w:r>
      <w:r>
        <w:rPr>
          <w:rFonts w:hint="default" w:ascii="Times New Roman" w:hAnsi="Times New Roman" w:cs="Times New Roman"/>
          <w:strike w:val="0"/>
          <w:dstrike w:val="0"/>
          <w:sz w:val="24"/>
        </w:rPr>
        <w:t>。</w:t>
      </w:r>
      <w:r>
        <w:rPr>
          <w:rFonts w:hint="eastAsia" w:ascii="Times New Roman" w:hAnsi="Times New Roman" w:cs="Times New Roman"/>
          <w:kern w:val="0"/>
          <w:sz w:val="24"/>
          <w:szCs w:val="22"/>
        </w:rPr>
        <w:t>为保证机制砂石母岩的性能，对于母岩有害物质含量、耐久性、放射性</w:t>
      </w:r>
      <w:r>
        <w:rPr>
          <w:rFonts w:hint="eastAsia" w:ascii="Times New Roman" w:hAnsi="Times New Roman" w:cs="Times New Roman"/>
          <w:kern w:val="0"/>
          <w:sz w:val="24"/>
          <w:szCs w:val="22"/>
          <w:lang w:val="en-US" w:eastAsia="zh-CN"/>
        </w:rPr>
        <w:t>进行定义。</w:t>
      </w:r>
      <w:r>
        <w:rPr>
          <w:rFonts w:hint="eastAsia" w:cs="Times New Roman"/>
          <w:kern w:val="0"/>
          <w:sz w:val="24"/>
          <w:szCs w:val="22"/>
          <w:lang w:val="en-US" w:eastAsia="zh-CN"/>
        </w:rPr>
        <w:t>在</w:t>
      </w:r>
      <w:r>
        <w:rPr>
          <w:rFonts w:hint="eastAsia" w:ascii="Times New Roman" w:hAnsi="Times New Roman" w:cs="Times New Roman"/>
          <w:kern w:val="0"/>
          <w:sz w:val="24"/>
          <w:szCs w:val="22"/>
          <w:lang w:val="en-US" w:eastAsia="zh-CN"/>
        </w:rPr>
        <w:t>机制砂石母岩的磨蚀性以及可破碎性</w:t>
      </w:r>
      <w:r>
        <w:rPr>
          <w:rFonts w:hint="eastAsia" w:cs="Times New Roman"/>
          <w:kern w:val="0"/>
          <w:sz w:val="24"/>
          <w:szCs w:val="22"/>
          <w:lang w:val="en-US" w:eastAsia="zh-CN"/>
        </w:rPr>
        <w:t>指标给出参考要求</w:t>
      </w:r>
      <w:r>
        <w:rPr>
          <w:rFonts w:hint="eastAsia" w:ascii="Times New Roman" w:hAnsi="Times New Roman" w:cs="Times New Roman"/>
          <w:kern w:val="0"/>
          <w:sz w:val="24"/>
          <w:szCs w:val="22"/>
          <w:lang w:val="en-US" w:eastAsia="zh-CN"/>
        </w:rPr>
        <w:t>，为砂石生产企业在对工艺选择、设备选择上提供有利支撑</w:t>
      </w:r>
      <w:r>
        <w:rPr>
          <w:rFonts w:hint="eastAsia" w:cs="Times New Roman"/>
          <w:kern w:val="0"/>
          <w:sz w:val="24"/>
          <w:szCs w:val="22"/>
          <w:lang w:val="en-US" w:eastAsia="zh-CN"/>
        </w:rPr>
        <w:t>。</w:t>
      </w:r>
      <w:bookmarkEnd w:id="13"/>
    </w:p>
    <w:p w14:paraId="7CC6474C">
      <w:pPr>
        <w:spacing w:line="360" w:lineRule="auto"/>
        <w:ind w:firstLine="480" w:firstLineChars="200"/>
        <w:outlineLvl w:val="2"/>
        <w:rPr>
          <w:rFonts w:hint="default" w:ascii="Times New Roman" w:hAnsi="Times New Roman" w:cs="Times New Roman"/>
          <w:strike w:val="0"/>
          <w:dstrike w:val="0"/>
          <w:sz w:val="24"/>
        </w:rPr>
      </w:pPr>
      <w:bookmarkStart w:id="14" w:name="_Toc24919"/>
      <w:r>
        <w:rPr>
          <w:rFonts w:hint="eastAsia" w:cs="Times New Roman"/>
          <w:kern w:val="0"/>
          <w:sz w:val="24"/>
          <w:szCs w:val="22"/>
          <w:lang w:val="en-US" w:eastAsia="zh-CN"/>
        </w:rPr>
        <w:t>（4）试验方法</w:t>
      </w:r>
      <w:bookmarkEnd w:id="14"/>
    </w:p>
    <w:p w14:paraId="7E1E5D80">
      <w:pPr>
        <w:spacing w:line="360" w:lineRule="auto"/>
        <w:ind w:firstLine="480" w:firstLineChars="200"/>
        <w:outlineLvl w:val="2"/>
        <w:rPr>
          <w:rFonts w:hint="eastAsia" w:cs="Times New Roman"/>
          <w:strike w:val="0"/>
          <w:dstrike w:val="0"/>
          <w:sz w:val="24"/>
          <w:lang w:val="en-US" w:eastAsia="zh-CN"/>
        </w:rPr>
      </w:pPr>
      <w:bookmarkStart w:id="15" w:name="_Toc31632"/>
      <w:r>
        <w:rPr>
          <w:rFonts w:hint="eastAsia" w:cs="Times New Roman"/>
          <w:strike w:val="0"/>
          <w:dstrike w:val="0"/>
          <w:sz w:val="24"/>
          <w:lang w:val="en-US" w:eastAsia="zh-CN"/>
        </w:rPr>
        <w:t>对标准所涉及的试验方法进行详细介绍，块体干密度、吸水率、饱和抗压强度、压碎指标、硫化物及硫酸盐含量（以SO</w:t>
      </w:r>
      <w:r>
        <w:rPr>
          <w:rFonts w:hint="eastAsia" w:cs="Times New Roman"/>
          <w:strike w:val="0"/>
          <w:dstrike w:val="0"/>
          <w:sz w:val="24"/>
          <w:vertAlign w:val="subscript"/>
          <w:lang w:val="en-US" w:eastAsia="zh-CN"/>
        </w:rPr>
        <w:t>3</w:t>
      </w:r>
      <w:r>
        <w:rPr>
          <w:rFonts w:hint="eastAsia" w:cs="Times New Roman"/>
          <w:strike w:val="0"/>
          <w:dstrike w:val="0"/>
          <w:sz w:val="24"/>
          <w:lang w:val="en-US" w:eastAsia="zh-CN"/>
        </w:rPr>
        <w:t>质量计）、氯化物含量（以Cl</w:t>
      </w:r>
      <w:r>
        <w:rPr>
          <w:rFonts w:hint="eastAsia" w:cs="Times New Roman"/>
          <w:strike w:val="0"/>
          <w:dstrike w:val="0"/>
          <w:sz w:val="24"/>
          <w:vertAlign w:val="superscript"/>
          <w:lang w:val="en-US" w:eastAsia="zh-CN"/>
        </w:rPr>
        <w:t>-</w:t>
      </w:r>
      <w:r>
        <w:rPr>
          <w:rFonts w:hint="eastAsia" w:cs="Times New Roman"/>
          <w:strike w:val="0"/>
          <w:dstrike w:val="0"/>
          <w:sz w:val="24"/>
          <w:lang w:val="en-US" w:eastAsia="zh-CN"/>
        </w:rPr>
        <w:t>质量计）、云母含量、轻物质含量、有机物含量、坚固性等试验方法主要参考其它国标、行标。并根据实验及调研结果，对回弹硬度试验方法进行介绍。</w:t>
      </w:r>
      <w:bookmarkEnd w:id="15"/>
    </w:p>
    <w:p w14:paraId="65DC1C3B">
      <w:pPr>
        <w:spacing w:line="360" w:lineRule="auto"/>
        <w:ind w:firstLine="480" w:firstLineChars="200"/>
        <w:outlineLvl w:val="2"/>
        <w:rPr>
          <w:rFonts w:hint="default" w:cs="Times New Roman"/>
          <w:strike w:val="0"/>
          <w:dstrike w:val="0"/>
          <w:sz w:val="24"/>
          <w:lang w:val="en-US" w:eastAsia="zh-CN"/>
        </w:rPr>
      </w:pPr>
      <w:bookmarkStart w:id="16" w:name="_Toc111"/>
      <w:r>
        <w:rPr>
          <w:rFonts w:hint="eastAsia" w:cs="Times New Roman"/>
          <w:strike w:val="0"/>
          <w:dstrike w:val="0"/>
          <w:sz w:val="24"/>
          <w:lang w:val="en-US" w:eastAsia="zh-CN"/>
        </w:rPr>
        <w:t>（5）标准还对检验规则以及机制砂石产品的标志、储存和运输进行了要求。</w:t>
      </w:r>
      <w:bookmarkEnd w:id="16"/>
    </w:p>
    <w:p w14:paraId="213CEE25">
      <w:pPr>
        <w:pStyle w:val="2"/>
      </w:pPr>
      <w:bookmarkStart w:id="17" w:name="_Toc22047"/>
      <w:r>
        <w:rPr>
          <w:rFonts w:hint="eastAsia"/>
        </w:rPr>
        <w:t>三、主要试验（或验证）情况分析</w:t>
      </w:r>
      <w:bookmarkEnd w:id="17"/>
    </w:p>
    <w:p w14:paraId="11E20B32">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r>
        <w:rPr>
          <w:rFonts w:hint="eastAsia" w:ascii="宋体" w:hAnsi="宋体" w:cs="宋体"/>
          <w:color w:val="000000"/>
          <w:kern w:val="0"/>
          <w:sz w:val="24"/>
          <w:lang w:val="zh-CN"/>
        </w:rPr>
        <w:t>标准制定过程中开展了充分的调研研究，调研企业涵盖砂石设计单位、矿山生产企业、机制砂石产品应用企业以及砂石装备企业等。相关调研使得编制组掌握了行业最新情况和普遍存在的工艺问题，在标准编制研究过程中，针对重点内容，还开展了试验验证。</w:t>
      </w:r>
    </w:p>
    <w:p w14:paraId="6AF1A3AA">
      <w:pPr>
        <w:tabs>
          <w:tab w:val="center" w:pos="4201"/>
          <w:tab w:val="right" w:leader="dot" w:pos="9298"/>
        </w:tabs>
        <w:autoSpaceDE w:val="0"/>
        <w:autoSpaceDN w:val="0"/>
        <w:adjustRightInd w:val="0"/>
        <w:spacing w:line="360" w:lineRule="auto"/>
        <w:ind w:firstLine="480"/>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1、本标准在对于母岩物料性能要求中提出使用</w:t>
      </w:r>
      <w:r>
        <w:rPr>
          <w:rFonts w:hint="eastAsia" w:ascii="Times New Roman" w:hAnsi="Times New Roman" w:cs="Times New Roman"/>
          <w:kern w:val="0"/>
          <w:sz w:val="24"/>
          <w:szCs w:val="22"/>
          <w:lang w:val="en-US" w:eastAsia="zh-CN"/>
        </w:rPr>
        <w:t>回弹硬度指标进行替代块体饱和抗压强度</w:t>
      </w:r>
      <w:r>
        <w:rPr>
          <w:rFonts w:hint="eastAsia" w:cs="Times New Roman"/>
          <w:kern w:val="0"/>
          <w:sz w:val="24"/>
          <w:szCs w:val="22"/>
          <w:lang w:val="en-US" w:eastAsia="zh-CN"/>
        </w:rPr>
        <w:t>作为</w:t>
      </w:r>
      <w:r>
        <w:rPr>
          <w:rFonts w:hint="eastAsia" w:ascii="Times New Roman" w:hAnsi="Times New Roman" w:cs="Times New Roman"/>
          <w:kern w:val="0"/>
          <w:sz w:val="24"/>
          <w:szCs w:val="22"/>
          <w:lang w:val="en-US" w:eastAsia="zh-CN"/>
        </w:rPr>
        <w:t>生产日常检测</w:t>
      </w:r>
      <w:r>
        <w:rPr>
          <w:rFonts w:hint="eastAsia" w:cs="Times New Roman"/>
          <w:kern w:val="0"/>
          <w:sz w:val="24"/>
          <w:szCs w:val="22"/>
          <w:lang w:val="en-US" w:eastAsia="zh-CN"/>
        </w:rPr>
        <w:t>。</w:t>
      </w:r>
    </w:p>
    <w:p w14:paraId="57353A32">
      <w:pPr>
        <w:widowControl/>
        <w:adjustRightInd w:val="0"/>
        <w:snapToGrid w:val="0"/>
        <w:spacing w:line="360" w:lineRule="auto"/>
        <w:ind w:firstLine="480" w:firstLineChars="200"/>
        <w:jc w:val="left"/>
        <w:rPr>
          <w:rFonts w:hint="default" w:ascii="Times New Roman" w:hAnsi="Times New Roman" w:eastAsia="宋体" w:cs="Times New Roman"/>
          <w:kern w:val="0"/>
          <w:sz w:val="24"/>
          <w:szCs w:val="22"/>
          <w:lang w:val="en-US" w:eastAsia="zh-CN"/>
        </w:rPr>
      </w:pPr>
      <w:r>
        <w:rPr>
          <w:rFonts w:hint="eastAsia" w:ascii="Times New Roman" w:hAnsi="Times New Roman" w:cs="Times New Roman"/>
          <w:kern w:val="0"/>
          <w:sz w:val="24"/>
          <w:szCs w:val="22"/>
          <w:lang w:val="en-US" w:eastAsia="zh-CN"/>
        </w:rPr>
        <w:t>考虑到在对于母岩的日常检测时，使用块体饱和抗压强度检测难度较高且不易操作，新增设回弹硬度指标进行替代块体饱和抗压强度</w:t>
      </w:r>
      <w:r>
        <w:rPr>
          <w:rFonts w:hint="eastAsia" w:cs="Times New Roman"/>
          <w:kern w:val="0"/>
          <w:sz w:val="24"/>
          <w:szCs w:val="22"/>
          <w:lang w:val="en-US" w:eastAsia="zh-CN"/>
        </w:rPr>
        <w:t>作为</w:t>
      </w:r>
      <w:r>
        <w:rPr>
          <w:rFonts w:hint="eastAsia" w:ascii="Times New Roman" w:hAnsi="Times New Roman" w:cs="Times New Roman"/>
          <w:kern w:val="0"/>
          <w:sz w:val="24"/>
          <w:szCs w:val="22"/>
          <w:lang w:val="en-US" w:eastAsia="zh-CN"/>
        </w:rPr>
        <w:t>生产日常检测，对此编制组进行大量试验。</w:t>
      </w:r>
    </w:p>
    <w:p w14:paraId="007BC85E">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r>
        <w:rPr>
          <w:rFonts w:hint="eastAsia" w:ascii="宋体" w:hAnsi="宋体" w:cs="宋体"/>
          <w:color w:val="000000"/>
          <w:kern w:val="0"/>
          <w:sz w:val="24"/>
          <w:lang w:val="zh-CN" w:eastAsia="zh-CN"/>
        </w:rPr>
        <w:t>编制组</w:t>
      </w:r>
      <w:r>
        <w:rPr>
          <w:rFonts w:hint="eastAsia" w:ascii="宋体" w:hAnsi="宋体" w:cs="宋体"/>
          <w:color w:val="000000"/>
          <w:kern w:val="0"/>
          <w:sz w:val="24"/>
          <w:lang w:val="zh-CN"/>
        </w:rPr>
        <w:t>使用N型施密特回弹仪</w:t>
      </w:r>
      <w:r>
        <w:rPr>
          <w:rFonts w:hint="eastAsia" w:ascii="宋体" w:hAnsi="宋体" w:cs="宋体"/>
          <w:color w:val="000000"/>
          <w:kern w:val="0"/>
          <w:sz w:val="24"/>
          <w:lang w:val="zh-CN" w:eastAsia="zh-CN"/>
        </w:rPr>
        <w:t>针对不同岩性进行检测</w:t>
      </w:r>
      <w:r>
        <w:rPr>
          <w:rFonts w:hint="eastAsia" w:ascii="宋体" w:hAnsi="宋体" w:cs="宋体"/>
          <w:color w:val="000000"/>
          <w:kern w:val="0"/>
          <w:sz w:val="24"/>
          <w:lang w:val="zh-CN"/>
        </w:rPr>
        <w:t>，如图1所示。试验采用《川藏铁路机制砂用隧道洞渣质量评定暂行规定》提出的测试程序开展试验：单点重复回弹 5 次然后取 5个数值中的最大值作为该点回弹值，一个测区内选择3个独立点的平均值作为回弹值。</w:t>
      </w:r>
    </w:p>
    <w:p w14:paraId="73900CEB">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drawing>
          <wp:inline distT="0" distB="0" distL="0" distR="0">
            <wp:extent cx="2758440" cy="1727835"/>
            <wp:effectExtent l="0" t="0" r="3810" b="5715"/>
            <wp:docPr id="79921581" name="图片 79921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21581" name="图片 79921581"/>
                    <pic:cNvPicPr>
                      <a:picLocks noChangeAspect="1"/>
                    </pic:cNvPicPr>
                  </pic:nvPicPr>
                  <pic:blipFill>
                    <a:blip r:embed="rId5"/>
                    <a:srcRect l="14685" t="-182" r="23204" b="-276"/>
                    <a:stretch>
                      <a:fillRect/>
                    </a:stretch>
                  </pic:blipFill>
                  <pic:spPr>
                    <a:xfrm>
                      <a:off x="0" y="0"/>
                      <a:ext cx="2758964" cy="1728256"/>
                    </a:xfrm>
                    <a:prstGeom prst="rect">
                      <a:avLst/>
                    </a:prstGeom>
                  </pic:spPr>
                </pic:pic>
              </a:graphicData>
            </a:graphic>
          </wp:inline>
        </w:drawing>
      </w:r>
    </w:p>
    <w:p w14:paraId="351C181E">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bookmarkStart w:id="18" w:name="_Ref153569646"/>
      <w:r>
        <w:rPr>
          <w:rFonts w:hint="eastAsia" w:ascii="宋体" w:hAnsi="宋体" w:cs="宋体"/>
          <w:color w:val="000000"/>
          <w:kern w:val="0"/>
          <w:sz w:val="24"/>
          <w:lang w:val="zh-CN"/>
        </w:rPr>
        <w:t>图</w:t>
      </w:r>
      <w:bookmarkEnd w:id="18"/>
      <w:r>
        <w:rPr>
          <w:rFonts w:hint="eastAsia" w:ascii="宋体" w:hAnsi="宋体" w:cs="宋体"/>
          <w:color w:val="000000"/>
          <w:kern w:val="0"/>
          <w:sz w:val="24"/>
          <w:lang w:val="zh-CN"/>
        </w:rPr>
        <w:t>1 N型施密特回弹仪</w:t>
      </w:r>
    </w:p>
    <w:p w14:paraId="729B7B1F">
      <w:pPr>
        <w:tabs>
          <w:tab w:val="center" w:pos="4201"/>
          <w:tab w:val="right" w:leader="dot" w:pos="9298"/>
        </w:tabs>
        <w:autoSpaceDE w:val="0"/>
        <w:autoSpaceDN w:val="0"/>
        <w:adjustRightInd w:val="0"/>
        <w:spacing w:line="360" w:lineRule="auto"/>
        <w:ind w:firstLine="480"/>
        <w:jc w:val="left"/>
        <w:rPr>
          <w:rFonts w:hint="eastAsia" w:ascii="宋体" w:hAnsi="宋体" w:cs="宋体"/>
          <w:color w:val="000000"/>
          <w:kern w:val="0"/>
          <w:sz w:val="24"/>
          <w:lang w:val="zh-CN"/>
        </w:rPr>
      </w:pPr>
      <w:r>
        <w:rPr>
          <w:rFonts w:hint="eastAsia" w:ascii="宋体" w:hAnsi="宋体" w:cs="宋体"/>
          <w:color w:val="000000"/>
          <w:kern w:val="0"/>
          <w:sz w:val="24"/>
          <w:lang w:val="zh-CN"/>
        </w:rPr>
        <w:t>图2为</w:t>
      </w:r>
      <w:r>
        <w:rPr>
          <w:rFonts w:hint="eastAsia" w:ascii="宋体" w:hAnsi="宋体" w:cs="宋体"/>
          <w:color w:val="000000"/>
          <w:kern w:val="0"/>
          <w:sz w:val="24"/>
          <w:lang w:val="zh-CN" w:eastAsia="zh-CN"/>
        </w:rPr>
        <w:t>针对多地不同岩性的母岩的</w:t>
      </w:r>
      <w:r>
        <w:rPr>
          <w:rFonts w:hint="eastAsia" w:ascii="宋体" w:hAnsi="宋体" w:cs="宋体"/>
          <w:color w:val="000000"/>
          <w:kern w:val="0"/>
          <w:sz w:val="24"/>
          <w:lang w:val="zh-CN"/>
        </w:rPr>
        <w:t>饱和抗压强度和岩石回弹硬度的拟合关系。可以看出，随着回弹硬度的增加，饱和抗压强度呈指数增加的趋势，拟合相关性为0.84，相关性相对较好。同时可以看出，当回弹硬度为60左右时，饱和抗压强度接近60MPa，回弹硬度为70左右时，饱和抗压强度大于100MPa，由此可以得出，回弹硬度大于60时，饱和抗压强度均大于60MPa，并且随回弹硬度的逐渐增加，饱和抗压强度呈指数增加的趋势，说明可以使用岩石回弹硬度快速表征饱和抗压强度。</w:t>
      </w:r>
    </w:p>
    <w:p w14:paraId="111BCE87">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object>
          <v:shape id="_x0000_i1025" o:spt="75" type="#_x0000_t75" style="height:218.15pt;width:285.5pt;" o:ole="t" filled="f" o:preferrelative="t" stroked="f" coordsize="21600,21600">
            <v:path/>
            <v:fill on="f" focussize="0,0"/>
            <v:stroke on="f" joinstyle="miter"/>
            <v:imagedata r:id="rId7" o:title=""/>
            <o:lock v:ext="edit" aspectratio="t"/>
            <w10:wrap type="none"/>
            <w10:anchorlock/>
          </v:shape>
          <o:OLEObject Type="Embed" ProgID="Origin50.Graph" ShapeID="_x0000_i1025" DrawAspect="Content" ObjectID="_1468075725" r:id="rId6">
            <o:LockedField>false</o:LockedField>
          </o:OLEObject>
        </w:object>
      </w:r>
    </w:p>
    <w:p w14:paraId="3792AA93">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bookmarkStart w:id="19" w:name="_Ref153569677"/>
      <w:r>
        <w:rPr>
          <w:rFonts w:hint="eastAsia" w:ascii="宋体" w:hAnsi="宋体" w:cs="宋体"/>
          <w:color w:val="000000"/>
          <w:kern w:val="0"/>
          <w:sz w:val="24"/>
          <w:lang w:val="zh-CN"/>
        </w:rPr>
        <w:t>图</w:t>
      </w:r>
      <w:bookmarkEnd w:id="19"/>
      <w:r>
        <w:rPr>
          <w:rFonts w:hint="eastAsia" w:ascii="宋体" w:hAnsi="宋体" w:cs="宋体"/>
          <w:color w:val="000000"/>
          <w:kern w:val="0"/>
          <w:sz w:val="24"/>
          <w:lang w:val="zh-CN"/>
        </w:rPr>
        <w:t>2 回弹硬度与饱和抗压强度的关系</w:t>
      </w:r>
    </w:p>
    <w:p w14:paraId="7D686FD4">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r>
        <w:rPr>
          <w:rFonts w:hint="eastAsia" w:ascii="宋体" w:hAnsi="宋体" w:cs="宋体"/>
          <w:color w:val="000000"/>
          <w:kern w:val="0"/>
          <w:sz w:val="24"/>
          <w:lang w:val="zh-CN"/>
        </w:rPr>
        <w:t>此外，开展了不同岩性浸水时间对岩石回弹硬度的影响，如图3所示。可以看出，结合前期开展的岩石吸水率试验可知，浸水时间对吸水率较大或软化系数较小的岩石回弹硬度影响较大，但对吸水率较小或软化系数较大的岩石回弹硬度影响较小。</w:t>
      </w:r>
    </w:p>
    <w:p w14:paraId="51081F8B">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object>
          <v:shape id="_x0000_i1026" o:spt="75" type="#_x0000_t75" style="height:196.05pt;width:255.55pt;" o:ole="t" filled="f" o:preferrelative="t" stroked="f" coordsize="21600,21600">
            <v:path/>
            <v:fill on="f" focussize="0,0"/>
            <v:stroke on="f" joinstyle="miter"/>
            <v:imagedata r:id="rId9" o:title=""/>
            <o:lock v:ext="edit" aspectratio="t"/>
            <w10:wrap type="none"/>
            <w10:anchorlock/>
          </v:shape>
          <o:OLEObject Type="Embed" ProgID="Origin50.Graph" ShapeID="_x0000_i1026" DrawAspect="Content" ObjectID="_1468075726" r:id="rId8">
            <o:LockedField>false</o:LockedField>
          </o:OLEObject>
        </w:object>
      </w:r>
    </w:p>
    <w:p w14:paraId="7515B492">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rPr>
        <w:t>（a）两隧</w:t>
      </w:r>
    </w:p>
    <w:p w14:paraId="11CDAC72">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object>
          <v:shape id="_x0000_i1027" o:spt="75" type="#_x0000_t75" style="height:199.6pt;width:254.5pt;" o:ole="t" filled="f" o:preferrelative="t" stroked="f" coordsize="21600,21600">
            <v:path/>
            <v:fill on="f" focussize="0,0"/>
            <v:stroke on="f" joinstyle="miter"/>
            <v:imagedata r:id="rId11" o:title=""/>
            <o:lock v:ext="edit" aspectratio="t"/>
            <w10:wrap type="none"/>
            <w10:anchorlock/>
          </v:shape>
          <o:OLEObject Type="Embed" ProgID="Origin50.Graph" ShapeID="_x0000_i1027" DrawAspect="Content" ObjectID="_1468075727" r:id="rId10">
            <o:LockedField>false</o:LockedField>
          </o:OLEObject>
        </w:object>
      </w:r>
    </w:p>
    <w:p w14:paraId="6CBD7B8D">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rPr>
        <w:t>（b）玉磨铁路、重庆铁路</w:t>
      </w:r>
    </w:p>
    <w:p w14:paraId="26A4CDE0">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object>
          <v:shape id="_x0000_i1028" o:spt="75" type="#_x0000_t75" style="height:196.05pt;width:255.55pt;" o:ole="t" filled="f" o:preferrelative="t" stroked="f" coordsize="21600,21600">
            <v:path/>
            <v:fill on="f" focussize="0,0"/>
            <v:stroke on="f" joinstyle="miter"/>
            <v:imagedata r:id="rId13" o:title=""/>
            <o:lock v:ext="edit" aspectratio="t"/>
            <w10:wrap type="none"/>
            <w10:anchorlock/>
          </v:shape>
          <o:OLEObject Type="Embed" ProgID="Origin50.Graph" ShapeID="_x0000_i1028" DrawAspect="Content" ObjectID="_1468075728" r:id="rId12">
            <o:LockedField>false</o:LockedField>
          </o:OLEObject>
        </w:object>
      </w:r>
    </w:p>
    <w:p w14:paraId="283295F3">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r>
        <w:rPr>
          <w:rFonts w:hint="eastAsia" w:ascii="宋体" w:hAnsi="宋体" w:cs="宋体"/>
          <w:color w:val="000000"/>
          <w:kern w:val="0"/>
          <w:sz w:val="24"/>
          <w:lang w:val="zh-CN"/>
        </w:rPr>
        <w:t>（c）贵南地区母岩</w:t>
      </w:r>
    </w:p>
    <w:p w14:paraId="7A5C4E71">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rPr>
      </w:pPr>
      <w:bookmarkStart w:id="20" w:name="_Ref153569716"/>
      <w:r>
        <w:rPr>
          <w:rFonts w:hint="eastAsia" w:ascii="宋体" w:hAnsi="宋体" w:cs="宋体"/>
          <w:color w:val="000000"/>
          <w:kern w:val="0"/>
          <w:sz w:val="24"/>
          <w:lang w:val="zh-CN"/>
        </w:rPr>
        <w:t>图</w:t>
      </w:r>
      <w:bookmarkEnd w:id="20"/>
      <w:r>
        <w:rPr>
          <w:rFonts w:hint="eastAsia" w:ascii="宋体" w:hAnsi="宋体" w:cs="宋体"/>
          <w:color w:val="000000"/>
          <w:kern w:val="0"/>
          <w:sz w:val="24"/>
          <w:lang w:val="zh-CN"/>
        </w:rPr>
        <w:t>3不同浸水时间对岩石回弹硬度的影响</w:t>
      </w:r>
    </w:p>
    <w:p w14:paraId="15ECAEC7">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r>
        <w:rPr>
          <w:rFonts w:hint="eastAsia" w:ascii="宋体" w:hAnsi="宋体" w:cs="宋体"/>
          <w:color w:val="000000"/>
          <w:kern w:val="0"/>
          <w:sz w:val="24"/>
          <w:lang w:val="en-US" w:eastAsia="zh-CN"/>
        </w:rPr>
        <w:t>2、</w:t>
      </w:r>
      <w:r>
        <w:rPr>
          <w:rFonts w:hint="eastAsia" w:ascii="宋体" w:hAnsi="宋体" w:cs="宋体"/>
          <w:color w:val="000000"/>
          <w:kern w:val="0"/>
          <w:sz w:val="24"/>
          <w:lang w:val="zh-CN"/>
        </w:rPr>
        <w:t>磨蚀指数与破碎功指数</w:t>
      </w:r>
    </w:p>
    <w:p w14:paraId="224AA2F5">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t>机制砂石母岩的磨蚀性以及可破碎性，是为砂石生产企业在对工艺选择、设备选择上提供有利支撑的指标。编制组深入研究目前使用的传统方法-抗压强度UCS以及邦德功指数测量破碎需要的能量消耗。发现抗压强度用来衡量破碎的难易程度并不准确，导致破碎机的选择不匹配，增加额外成本。UCS与邦德功指数关联度较低，无法作为破碎选型的依据。</w:t>
      </w:r>
    </w:p>
    <w:p w14:paraId="44AB307E">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r>
        <w:rPr>
          <w:rFonts w:hint="eastAsia" w:ascii="宋体" w:hAnsi="宋体" w:cs="宋体"/>
          <w:color w:val="000000"/>
          <w:kern w:val="0"/>
          <w:sz w:val="24"/>
          <w:lang w:val="zh-CN" w:eastAsia="zh-CN"/>
        </w:rPr>
        <w:t>因此编制组在进行了广泛的国内外市场调研以及深入研究后，发现南昌矿机试验机运用破碎功、磨蚀指数试验原理，借助自动化和软件技术，研发出了全新的破碎功指数试验机、磨蚀指数试验机，用于破碎功指数和磨蚀指数的测定。该仪器可对两指数进行测试。编制组进行了大量试验验证。</w:t>
      </w:r>
      <w:r>
        <w:rPr>
          <w:rFonts w:hint="eastAsia" w:ascii="宋体" w:hAnsi="宋体" w:cs="宋体"/>
          <w:color w:val="000000"/>
          <w:kern w:val="0"/>
          <w:sz w:val="24"/>
          <w:lang w:val="zh-CN"/>
        </w:rPr>
        <w:t>南昌矿机集团股份有限公司</w:t>
      </w:r>
      <w:r>
        <w:rPr>
          <w:rFonts w:hint="eastAsia" w:ascii="宋体" w:hAnsi="宋体" w:cs="宋体"/>
          <w:color w:val="000000"/>
          <w:kern w:val="0"/>
          <w:sz w:val="24"/>
          <w:lang w:val="en-US" w:eastAsia="zh-CN"/>
        </w:rPr>
        <w:t>研发了专用设备：磨蚀试验机和破碎试验机。相关工艺在北京建筑大学和</w:t>
      </w:r>
      <w:r>
        <w:rPr>
          <w:rFonts w:hint="eastAsia" w:ascii="宋体" w:hAnsi="宋体" w:cs="宋体"/>
          <w:color w:val="000000"/>
          <w:kern w:val="0"/>
          <w:sz w:val="24"/>
          <w:lang w:val="zh-CN"/>
        </w:rPr>
        <w:t>华新水泥股份有限公司等单位验证并应用。</w:t>
      </w:r>
    </w:p>
    <w:p w14:paraId="0126FF87">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eastAsia="zh-CN"/>
        </w:rPr>
      </w:pPr>
    </w:p>
    <w:p w14:paraId="2F77A19E">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t>日本神户制钢为我国某矿山做的冲击功指数测定数据</w:t>
      </w:r>
    </w:p>
    <w:p w14:paraId="25833431">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drawing>
          <wp:inline distT="0" distB="0" distL="114300" distR="114300">
            <wp:extent cx="2052955" cy="2186305"/>
            <wp:effectExtent l="0" t="0" r="4445" b="444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4"/>
                    <a:stretch>
                      <a:fillRect/>
                    </a:stretch>
                  </pic:blipFill>
                  <pic:spPr>
                    <a:xfrm>
                      <a:off x="0" y="0"/>
                      <a:ext cx="2052955" cy="2186305"/>
                    </a:xfrm>
                    <a:prstGeom prst="rect">
                      <a:avLst/>
                    </a:prstGeom>
                    <a:noFill/>
                    <a:ln>
                      <a:noFill/>
                    </a:ln>
                  </pic:spPr>
                </pic:pic>
              </a:graphicData>
            </a:graphic>
          </wp:inline>
        </w:drawing>
      </w:r>
    </w:p>
    <w:p w14:paraId="3E787365">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t>相同参数下南矿试验机计算的数据</w:t>
      </w:r>
    </w:p>
    <w:p w14:paraId="0B6A1DCA">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drawing>
          <wp:inline distT="0" distB="0" distL="114300" distR="114300">
            <wp:extent cx="3672205" cy="2643505"/>
            <wp:effectExtent l="0" t="0" r="4445" b="4445"/>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15"/>
                    <a:stretch>
                      <a:fillRect/>
                    </a:stretch>
                  </pic:blipFill>
                  <pic:spPr>
                    <a:xfrm>
                      <a:off x="0" y="0"/>
                      <a:ext cx="3672205" cy="2643505"/>
                    </a:xfrm>
                    <a:prstGeom prst="rect">
                      <a:avLst/>
                    </a:prstGeom>
                    <a:noFill/>
                    <a:ln>
                      <a:noFill/>
                    </a:ln>
                  </pic:spPr>
                </pic:pic>
              </a:graphicData>
            </a:graphic>
          </wp:inline>
        </w:drawing>
      </w:r>
    </w:p>
    <w:p w14:paraId="2CDFE726">
      <w:pPr>
        <w:tabs>
          <w:tab w:val="center" w:pos="4201"/>
          <w:tab w:val="right" w:leader="dot" w:pos="9298"/>
        </w:tabs>
        <w:autoSpaceDE w:val="0"/>
        <w:autoSpaceDN w:val="0"/>
        <w:adjustRightInd w:val="0"/>
        <w:spacing w:line="360" w:lineRule="auto"/>
        <w:ind w:firstLine="480"/>
        <w:jc w:val="both"/>
        <w:rPr>
          <w:rFonts w:hint="eastAsia" w:ascii="宋体" w:hAnsi="宋体" w:cs="宋体"/>
          <w:color w:val="000000"/>
          <w:kern w:val="0"/>
          <w:sz w:val="24"/>
          <w:lang w:val="zh-CN" w:eastAsia="zh-CN"/>
        </w:rPr>
      </w:pPr>
      <w:r>
        <w:rPr>
          <w:rFonts w:hint="eastAsia" w:ascii="宋体" w:hAnsi="宋体" w:cs="宋体"/>
          <w:color w:val="000000"/>
          <w:kern w:val="0"/>
          <w:sz w:val="24"/>
          <w:lang w:val="zh-CN" w:eastAsia="zh-CN"/>
        </w:rPr>
        <w:t>对比发现，该实验仪器测得数据与前人总结数据高度吻合。编制组还进行了大量试验进行验证，并发现该方法具有适用性。</w:t>
      </w:r>
    </w:p>
    <w:p w14:paraId="3A39A1F7">
      <w:pPr>
        <w:tabs>
          <w:tab w:val="center" w:pos="4201"/>
          <w:tab w:val="right" w:leader="dot" w:pos="9298"/>
        </w:tabs>
        <w:autoSpaceDE w:val="0"/>
        <w:autoSpaceDN w:val="0"/>
        <w:adjustRightInd w:val="0"/>
        <w:spacing w:line="360" w:lineRule="auto"/>
        <w:ind w:firstLine="480"/>
        <w:jc w:val="center"/>
        <w:rPr>
          <w:rFonts w:hint="eastAsia" w:ascii="宋体" w:hAnsi="宋体" w:cs="宋体"/>
          <w:color w:val="000000"/>
          <w:kern w:val="0"/>
          <w:sz w:val="24"/>
          <w:lang w:val="zh-CN" w:eastAsia="zh-CN"/>
        </w:rPr>
      </w:pPr>
      <w:r>
        <w:rPr>
          <w:rFonts w:hint="eastAsia" w:ascii="宋体" w:hAnsi="宋体" w:cs="宋体"/>
          <w:color w:val="000000"/>
          <w:kern w:val="0"/>
          <w:sz w:val="24"/>
          <w:lang w:val="zh-CN"/>
        </w:rPr>
        <w:drawing>
          <wp:inline distT="0" distB="0" distL="114300" distR="114300">
            <wp:extent cx="5267960" cy="2401570"/>
            <wp:effectExtent l="0" t="0" r="8890" b="825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16"/>
                    <a:stretch>
                      <a:fillRect/>
                    </a:stretch>
                  </pic:blipFill>
                  <pic:spPr>
                    <a:xfrm>
                      <a:off x="0" y="0"/>
                      <a:ext cx="5267960" cy="2401570"/>
                    </a:xfrm>
                    <a:prstGeom prst="rect">
                      <a:avLst/>
                    </a:prstGeom>
                    <a:noFill/>
                    <a:ln>
                      <a:noFill/>
                    </a:ln>
                  </pic:spPr>
                </pic:pic>
              </a:graphicData>
            </a:graphic>
          </wp:inline>
        </w:drawing>
      </w:r>
      <w:r>
        <w:rPr>
          <w:rFonts w:hint="eastAsia" w:ascii="宋体" w:hAnsi="宋体" w:cs="宋体"/>
          <w:color w:val="000000"/>
          <w:kern w:val="0"/>
          <w:sz w:val="24"/>
          <w:lang w:val="zh-CN"/>
        </w:rPr>
        <w:drawing>
          <wp:inline distT="0" distB="0" distL="114300" distR="114300">
            <wp:extent cx="4491355" cy="3014980"/>
            <wp:effectExtent l="0" t="0" r="4445" b="4445"/>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pic:cNvPicPr>
                  </pic:nvPicPr>
                  <pic:blipFill>
                    <a:blip r:embed="rId17"/>
                    <a:stretch>
                      <a:fillRect/>
                    </a:stretch>
                  </pic:blipFill>
                  <pic:spPr>
                    <a:xfrm>
                      <a:off x="0" y="0"/>
                      <a:ext cx="4491355" cy="3014980"/>
                    </a:xfrm>
                    <a:prstGeom prst="rect">
                      <a:avLst/>
                    </a:prstGeom>
                    <a:noFill/>
                    <a:ln>
                      <a:noFill/>
                    </a:ln>
                  </pic:spPr>
                </pic:pic>
              </a:graphicData>
            </a:graphic>
          </wp:inline>
        </w:drawing>
      </w:r>
      <w:r>
        <w:rPr>
          <w:rFonts w:hint="eastAsia" w:ascii="宋体" w:hAnsi="宋体" w:cs="宋体"/>
          <w:color w:val="000000"/>
          <w:kern w:val="0"/>
          <w:sz w:val="24"/>
          <w:lang w:val="zh-CN"/>
        </w:rPr>
        <w:drawing>
          <wp:inline distT="0" distB="0" distL="114300" distR="114300">
            <wp:extent cx="5274310" cy="2193925"/>
            <wp:effectExtent l="0" t="0" r="2540" b="6350"/>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pic:cNvPicPr>
                      <a:picLocks noChangeAspect="1"/>
                    </pic:cNvPicPr>
                  </pic:nvPicPr>
                  <pic:blipFill>
                    <a:blip r:embed="rId18"/>
                    <a:stretch>
                      <a:fillRect/>
                    </a:stretch>
                  </pic:blipFill>
                  <pic:spPr>
                    <a:xfrm>
                      <a:off x="0" y="0"/>
                      <a:ext cx="5274310" cy="2193925"/>
                    </a:xfrm>
                    <a:prstGeom prst="rect">
                      <a:avLst/>
                    </a:prstGeom>
                    <a:noFill/>
                    <a:ln>
                      <a:noFill/>
                    </a:ln>
                  </pic:spPr>
                </pic:pic>
              </a:graphicData>
            </a:graphic>
          </wp:inline>
        </w:drawing>
      </w:r>
    </w:p>
    <w:p w14:paraId="136261EE">
      <w:pPr>
        <w:tabs>
          <w:tab w:val="center" w:pos="4201"/>
          <w:tab w:val="right" w:leader="dot" w:pos="9298"/>
        </w:tabs>
        <w:autoSpaceDE w:val="0"/>
        <w:autoSpaceDN w:val="0"/>
        <w:adjustRightInd w:val="0"/>
        <w:spacing w:line="360" w:lineRule="auto"/>
        <w:ind w:firstLine="480"/>
        <w:rPr>
          <w:rFonts w:hint="eastAsia" w:ascii="宋体" w:hAnsi="宋体" w:cs="宋体"/>
          <w:color w:val="000000"/>
          <w:kern w:val="0"/>
          <w:sz w:val="24"/>
          <w:lang w:val="zh-CN"/>
        </w:rPr>
      </w:pPr>
    </w:p>
    <w:p w14:paraId="35EAA87C">
      <w:pPr>
        <w:pStyle w:val="2"/>
      </w:pPr>
      <w:bookmarkStart w:id="21" w:name="_Toc19283"/>
      <w:r>
        <w:rPr>
          <w:rFonts w:hint="eastAsia"/>
        </w:rPr>
        <w:t>四、标准中涉及专利情况</w:t>
      </w:r>
      <w:bookmarkEnd w:id="21"/>
    </w:p>
    <w:p w14:paraId="1BEF0220">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可能涉及附录C与一种磨蚀试验机同心不同速传动结构、一种岩石磨蚀性指数试验机、一种岩石破碎功指数试验机相关的专利的使用。</w:t>
      </w:r>
    </w:p>
    <w:p w14:paraId="4558D198">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本文件的发布机构对于该专利的真实性、有效性和范围无任何立场。</w:t>
      </w:r>
    </w:p>
    <w:p w14:paraId="77B9DC19">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该专利的持有人已向本文件的发布机构保证,同意在公平、合理、无歧视基础上,免费许可任何组织或者个人在实施该国家标准时实施专利。该专利持有人的声明已在本文件发布机构备案。相关信息可通过以下联系方式获得:</w:t>
      </w:r>
    </w:p>
    <w:p w14:paraId="18BC5B6C">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“一种磨蚀试验机同心不同速传动结构”专利持有人姓名:南昌矿机集团股份有限公司</w:t>
      </w:r>
    </w:p>
    <w:p w14:paraId="5D7F0E46">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地址:江西省南昌市湾里区红湾大道300号</w:t>
      </w:r>
    </w:p>
    <w:p w14:paraId="1DCD84CE">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联系人:方伟</w:t>
      </w:r>
    </w:p>
    <w:p w14:paraId="377A67F1">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 xml:space="preserve">“一种岩石磨蚀性指数试验机”专利持有人姓名:南昌矿机集团股份有限公司 </w:t>
      </w:r>
    </w:p>
    <w:p w14:paraId="364B7B01">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地址:江西省南昌市湾里区红湾大道300号</w:t>
      </w:r>
    </w:p>
    <w:p w14:paraId="62982AFC">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联系人:方伟</w:t>
      </w:r>
    </w:p>
    <w:p w14:paraId="4F35D07C">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“一种岩石破碎功指数试验机”专利持有人姓名:南昌矿机集团股份有限公司</w:t>
      </w:r>
    </w:p>
    <w:p w14:paraId="133CF355">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地址:江西省南昌市湾里区红湾大道300号</w:t>
      </w:r>
    </w:p>
    <w:p w14:paraId="4E5AA640">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联系人:方伟</w:t>
      </w:r>
      <w:bookmarkStart w:id="29" w:name="_GoBack"/>
      <w:bookmarkEnd w:id="29"/>
    </w:p>
    <w:p w14:paraId="3233C002">
      <w:pPr>
        <w:tabs>
          <w:tab w:val="center" w:pos="4201"/>
          <w:tab w:val="right" w:leader="dot" w:pos="9298"/>
        </w:tabs>
        <w:autoSpaceDE w:val="0"/>
        <w:autoSpaceDN w:val="0"/>
        <w:adjustRightInd w:val="0"/>
        <w:spacing w:line="360" w:lineRule="auto"/>
        <w:ind w:firstLine="480" w:firstLineChars="200"/>
        <w:rPr>
          <w:rFonts w:hint="eastAsia" w:ascii="宋体" w:hAnsi="宋体" w:cs="宋体"/>
          <w:color w:val="000000"/>
          <w:kern w:val="0"/>
          <w:sz w:val="24"/>
          <w:lang w:val="zh-CN"/>
        </w:rPr>
      </w:pPr>
      <w:r>
        <w:rPr>
          <w:rFonts w:hint="eastAsia" w:ascii="宋体" w:hAnsi="宋体" w:cs="宋体"/>
          <w:color w:val="000000"/>
          <w:kern w:val="0"/>
          <w:sz w:val="24"/>
          <w:lang w:val="zh-CN"/>
        </w:rPr>
        <w:t>请注意除以上专利外,本文件的某些内容仍可能涉及专利。本文件的发布机构不承担识别专利的责任。</w:t>
      </w:r>
    </w:p>
    <w:p w14:paraId="32E562D2">
      <w:pPr>
        <w:pStyle w:val="2"/>
        <w:rPr>
          <w:rFonts w:hint="eastAsia"/>
        </w:rPr>
      </w:pPr>
      <w:bookmarkStart w:id="22" w:name="_Toc24414"/>
      <w:r>
        <w:rPr>
          <w:rFonts w:hint="eastAsia"/>
          <w:lang w:val="en-US" w:eastAsia="zh-CN"/>
        </w:rPr>
        <w:t>五</w:t>
      </w:r>
      <w:r>
        <w:rPr>
          <w:rFonts w:hint="eastAsia"/>
        </w:rPr>
        <w:t>、采用国际标准和国外先进标准的程度，以及与国际、国外同类标准水平的对比情况。</w:t>
      </w:r>
      <w:bookmarkEnd w:id="22"/>
    </w:p>
    <w:p w14:paraId="0024E8D2">
      <w:pPr>
        <w:spacing w:line="360" w:lineRule="auto"/>
        <w:ind w:firstLine="480" w:firstLineChars="200"/>
        <w:rPr>
          <w:rFonts w:hint="eastAsia" w:ascii="宋体" w:hAnsi="宋体"/>
          <w:sz w:val="24"/>
        </w:rPr>
      </w:pPr>
      <w:r>
        <w:rPr>
          <w:rFonts w:hint="eastAsia" w:ascii="宋体" w:hAnsi="宋体"/>
          <w:sz w:val="24"/>
        </w:rPr>
        <w:t>本标准未采用国际和国外标准。</w:t>
      </w:r>
    </w:p>
    <w:p w14:paraId="59515C1D">
      <w:pPr>
        <w:pStyle w:val="2"/>
      </w:pPr>
      <w:bookmarkStart w:id="23" w:name="_Toc1270"/>
      <w:r>
        <w:rPr>
          <w:rFonts w:hint="eastAsia"/>
          <w:lang w:val="en-US" w:eastAsia="zh-CN"/>
        </w:rPr>
        <w:t>六</w:t>
      </w:r>
      <w:r>
        <w:rPr>
          <w:rFonts w:hint="eastAsia"/>
        </w:rPr>
        <w:t>、与现行相关法律、法规、规章及相关标准协调性</w:t>
      </w:r>
      <w:bookmarkEnd w:id="23"/>
    </w:p>
    <w:p w14:paraId="1569E791">
      <w:pPr>
        <w:tabs>
          <w:tab w:val="center" w:pos="4201"/>
          <w:tab w:val="right" w:leader="dot" w:pos="9298"/>
        </w:tabs>
        <w:autoSpaceDE w:val="0"/>
        <w:autoSpaceDN w:val="0"/>
        <w:adjustRightInd w:val="0"/>
        <w:spacing w:line="360" w:lineRule="auto"/>
        <w:ind w:firstLine="480"/>
        <w:rPr>
          <w:rFonts w:ascii="宋体" w:hAnsi="宋体" w:cs="宋体"/>
          <w:color w:val="000000"/>
          <w:kern w:val="0"/>
          <w:sz w:val="24"/>
          <w:lang w:val="zh-CN"/>
        </w:rPr>
      </w:pPr>
      <w:r>
        <w:rPr>
          <w:rFonts w:hint="eastAsia" w:ascii="宋体" w:hAnsi="宋体" w:cs="宋体"/>
          <w:color w:val="000000"/>
          <w:kern w:val="0"/>
          <w:sz w:val="24"/>
          <w:lang w:val="zh-CN"/>
        </w:rPr>
        <w:t>与现行相关法律、法规、规章及强制性标准协调。</w:t>
      </w:r>
    </w:p>
    <w:p w14:paraId="6576B524">
      <w:pPr>
        <w:pStyle w:val="2"/>
      </w:pPr>
      <w:bookmarkStart w:id="24" w:name="_Toc30961"/>
      <w:r>
        <w:rPr>
          <w:rFonts w:hint="eastAsia"/>
          <w:lang w:val="en-US" w:eastAsia="zh-CN"/>
        </w:rPr>
        <w:t>七</w:t>
      </w:r>
      <w:r>
        <w:rPr>
          <w:rFonts w:hint="eastAsia"/>
        </w:rPr>
        <w:t>、重大分歧意见的处理经过和依据</w:t>
      </w:r>
      <w:bookmarkEnd w:id="24"/>
    </w:p>
    <w:p w14:paraId="282E056F">
      <w:pPr>
        <w:tabs>
          <w:tab w:val="center" w:pos="4201"/>
          <w:tab w:val="right" w:leader="dot" w:pos="9298"/>
        </w:tabs>
        <w:autoSpaceDE w:val="0"/>
        <w:autoSpaceDN w:val="0"/>
        <w:adjustRightInd w:val="0"/>
        <w:spacing w:line="360" w:lineRule="auto"/>
        <w:ind w:firstLine="480"/>
        <w:rPr>
          <w:sz w:val="24"/>
          <w:szCs w:val="32"/>
        </w:rPr>
      </w:pPr>
      <w:r>
        <w:rPr>
          <w:rFonts w:hint="eastAsia"/>
          <w:sz w:val="24"/>
          <w:szCs w:val="32"/>
        </w:rPr>
        <w:t>无重大分歧</w:t>
      </w:r>
    </w:p>
    <w:p w14:paraId="359970FE">
      <w:pPr>
        <w:pStyle w:val="2"/>
      </w:pPr>
      <w:bookmarkStart w:id="25" w:name="_Toc4327"/>
      <w:r>
        <w:rPr>
          <w:rFonts w:hint="eastAsia"/>
          <w:lang w:val="en-US" w:eastAsia="zh-CN"/>
        </w:rPr>
        <w:t>八</w:t>
      </w:r>
      <w:r>
        <w:rPr>
          <w:rFonts w:hint="eastAsia"/>
        </w:rPr>
        <w:t>、标准性质的建议说明</w:t>
      </w:r>
      <w:bookmarkEnd w:id="25"/>
    </w:p>
    <w:p w14:paraId="5A7F00C3">
      <w:pPr>
        <w:tabs>
          <w:tab w:val="center" w:pos="4201"/>
          <w:tab w:val="right" w:leader="dot" w:pos="9298"/>
        </w:tabs>
        <w:autoSpaceDE w:val="0"/>
        <w:autoSpaceDN w:val="0"/>
        <w:adjustRightInd w:val="0"/>
        <w:spacing w:line="360" w:lineRule="auto"/>
        <w:ind w:firstLine="480"/>
        <w:rPr>
          <w:rFonts w:hint="eastAsia" w:eastAsia="宋体"/>
          <w:sz w:val="24"/>
          <w:szCs w:val="32"/>
          <w:lang w:eastAsia="zh-CN"/>
        </w:rPr>
      </w:pPr>
      <w:r>
        <w:rPr>
          <w:rFonts w:hint="eastAsia"/>
          <w:sz w:val="24"/>
          <w:szCs w:val="32"/>
          <w:lang w:val="en-US" w:eastAsia="zh-CN"/>
        </w:rPr>
        <w:t>建议本标准为</w:t>
      </w:r>
      <w:r>
        <w:rPr>
          <w:rFonts w:hint="eastAsia"/>
          <w:sz w:val="24"/>
          <w:szCs w:val="32"/>
        </w:rPr>
        <w:t>推荐性标准</w:t>
      </w:r>
      <w:r>
        <w:rPr>
          <w:rFonts w:hint="eastAsia"/>
          <w:sz w:val="24"/>
          <w:szCs w:val="32"/>
          <w:lang w:eastAsia="zh-CN"/>
        </w:rPr>
        <w:t>。</w:t>
      </w:r>
    </w:p>
    <w:p w14:paraId="0FD928C7">
      <w:pPr>
        <w:pStyle w:val="2"/>
      </w:pPr>
      <w:bookmarkStart w:id="26" w:name="_Toc18111"/>
      <w:r>
        <w:rPr>
          <w:rFonts w:hint="eastAsia"/>
          <w:lang w:val="en-US" w:eastAsia="zh-CN"/>
        </w:rPr>
        <w:t>九</w:t>
      </w:r>
      <w:r>
        <w:rPr>
          <w:rFonts w:hint="eastAsia"/>
        </w:rPr>
        <w:t>、贯彻标准的要求和措施建议</w:t>
      </w:r>
      <w:bookmarkEnd w:id="26"/>
    </w:p>
    <w:p w14:paraId="66A7C2A1">
      <w:pPr>
        <w:spacing w:line="360" w:lineRule="auto"/>
        <w:ind w:firstLine="480" w:firstLineChars="200"/>
        <w:rPr>
          <w:rFonts w:hint="default" w:ascii="Times New Roman" w:hAnsi="Times New Roman" w:eastAsia="宋体" w:cs="Times New Roman"/>
          <w:sz w:val="24"/>
        </w:rPr>
      </w:pPr>
      <w:r>
        <w:rPr>
          <w:rFonts w:hint="eastAsia" w:ascii="Times New Roman" w:hAnsi="Times New Roman" w:eastAsia="宋体" w:cs="Times New Roman"/>
          <w:sz w:val="24"/>
        </w:rPr>
        <w:t>标准颁布后通过标准发布公告、中国砂石协会官方宣传、组织专题培训等途径加强宣贯。</w:t>
      </w:r>
    </w:p>
    <w:p w14:paraId="78A4E869">
      <w:pPr>
        <w:pStyle w:val="2"/>
      </w:pPr>
      <w:bookmarkStart w:id="27" w:name="_Toc24509"/>
      <w:r>
        <w:rPr>
          <w:rFonts w:hint="eastAsia"/>
        </w:rPr>
        <w:t>十、废止现行相关标准的建议</w:t>
      </w:r>
      <w:bookmarkEnd w:id="27"/>
    </w:p>
    <w:p w14:paraId="4CCB611D">
      <w:pPr>
        <w:tabs>
          <w:tab w:val="center" w:pos="4201"/>
          <w:tab w:val="right" w:leader="dot" w:pos="9298"/>
        </w:tabs>
        <w:autoSpaceDE w:val="0"/>
        <w:autoSpaceDN w:val="0"/>
        <w:adjustRightInd w:val="0"/>
        <w:spacing w:line="360" w:lineRule="auto"/>
        <w:ind w:firstLine="480"/>
        <w:rPr>
          <w:b/>
          <w:bCs/>
          <w:kern w:val="44"/>
          <w:sz w:val="24"/>
        </w:rPr>
      </w:pPr>
      <w:r>
        <w:rPr>
          <w:rFonts w:hint="eastAsia"/>
          <w:sz w:val="24"/>
        </w:rPr>
        <w:t>无</w:t>
      </w:r>
    </w:p>
    <w:p w14:paraId="6535B127">
      <w:pPr>
        <w:pStyle w:val="2"/>
      </w:pPr>
      <w:bookmarkStart w:id="28" w:name="_Toc2597"/>
      <w:r>
        <w:rPr>
          <w:rFonts w:hint="eastAsia"/>
        </w:rPr>
        <w:t>十二、其它应予说明的事项</w:t>
      </w:r>
      <w:bookmarkEnd w:id="28"/>
    </w:p>
    <w:p w14:paraId="3082E39F">
      <w:pPr>
        <w:tabs>
          <w:tab w:val="center" w:pos="4201"/>
          <w:tab w:val="right" w:leader="dot" w:pos="9298"/>
        </w:tabs>
        <w:autoSpaceDE w:val="0"/>
        <w:autoSpaceDN w:val="0"/>
        <w:adjustRightInd w:val="0"/>
        <w:spacing w:line="360" w:lineRule="auto"/>
        <w:ind w:firstLine="480"/>
        <w:rPr>
          <w:rFonts w:hint="eastAsia" w:ascii="宋体" w:hAnsi="宋体"/>
          <w:sz w:val="24"/>
        </w:rPr>
      </w:pPr>
      <w:r>
        <w:rPr>
          <w:rFonts w:hint="eastAsia"/>
          <w:sz w:val="24"/>
        </w:rPr>
        <w:t>无</w:t>
      </w:r>
    </w:p>
    <w:p w14:paraId="2E715C35"/>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ECE279">
    <w:pPr>
      <w:pStyle w:val="6"/>
      <w:wordWrap w:val="0"/>
      <w:jc w:val="right"/>
    </w:pPr>
    <w:r>
      <w:rPr>
        <w:rFonts w:hint="eastAsia"/>
      </w:rPr>
      <w:t xml:space="preserve">   </w:t>
    </w:r>
    <w:r>
      <w:fldChar w:fldCharType="begin"/>
    </w:r>
    <w:r>
      <w:instrText xml:space="preserve">PAGE   \* MERGEFORMAT</w:instrText>
    </w:r>
    <w:r>
      <w:fldChar w:fldCharType="separate"/>
    </w:r>
    <w:r>
      <w:rPr>
        <w:lang w:val="zh-CN"/>
      </w:rPr>
      <w:t>39</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39D97CA"/>
    <w:multiLevelType w:val="singleLevel"/>
    <w:tmpl w:val="A39D97CA"/>
    <w:lvl w:ilvl="0" w:tentative="0">
      <w:start w:val="3"/>
      <w:numFmt w:val="decimal"/>
      <w:suff w:val="nothing"/>
      <w:lvlText w:val="%1、"/>
      <w:lvlJc w:val="left"/>
    </w:lvl>
  </w:abstractNum>
  <w:abstractNum w:abstractNumId="1">
    <w:nsid w:val="3A917AD2"/>
    <w:multiLevelType w:val="multilevel"/>
    <w:tmpl w:val="3A917AD2"/>
    <w:lvl w:ilvl="0" w:tentative="0">
      <w:start w:val="1"/>
      <w:numFmt w:val="decimal"/>
      <w:pStyle w:val="13"/>
      <w:suff w:val="nothing"/>
      <w:lvlText w:val="%1　"/>
      <w:lvlJc w:val="left"/>
      <w:pPr>
        <w:ind w:left="0" w:firstLine="0"/>
      </w:pPr>
      <w:rPr>
        <w:rFonts w:hint="eastAsia" w:ascii="黑体" w:hAnsi="Times New Roman" w:eastAsia="黑体" w:cs="黑体"/>
        <w:b w:val="0"/>
        <w:i w:val="0"/>
        <w:sz w:val="21"/>
        <w:szCs w:val="21"/>
      </w:rPr>
    </w:lvl>
    <w:lvl w:ilvl="1" w:tentative="0">
      <w:start w:val="1"/>
      <w:numFmt w:val="decimal"/>
      <w:suff w:val="nothing"/>
      <w:lvlText w:val="%1.%2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D45AC6"/>
    <w:rsid w:val="01F22DC1"/>
    <w:rsid w:val="058A5E9A"/>
    <w:rsid w:val="05AE605F"/>
    <w:rsid w:val="066833E1"/>
    <w:rsid w:val="085E53BC"/>
    <w:rsid w:val="08AC4379"/>
    <w:rsid w:val="0AB47515"/>
    <w:rsid w:val="0B16053C"/>
    <w:rsid w:val="0B246449"/>
    <w:rsid w:val="0CEF2A86"/>
    <w:rsid w:val="0E5C6DCC"/>
    <w:rsid w:val="0E736B7C"/>
    <w:rsid w:val="0FC4232A"/>
    <w:rsid w:val="132C0590"/>
    <w:rsid w:val="16747F7E"/>
    <w:rsid w:val="17107B4D"/>
    <w:rsid w:val="175C6F6A"/>
    <w:rsid w:val="1921046B"/>
    <w:rsid w:val="19DB061A"/>
    <w:rsid w:val="1AF21092"/>
    <w:rsid w:val="1C9A2A0F"/>
    <w:rsid w:val="1DCF493A"/>
    <w:rsid w:val="1E3429EF"/>
    <w:rsid w:val="1E806358"/>
    <w:rsid w:val="213D7E0C"/>
    <w:rsid w:val="26802C75"/>
    <w:rsid w:val="27F136FF"/>
    <w:rsid w:val="2BBF5FEE"/>
    <w:rsid w:val="2C8B2374"/>
    <w:rsid w:val="2CE90E48"/>
    <w:rsid w:val="2E057F04"/>
    <w:rsid w:val="2E8F74A9"/>
    <w:rsid w:val="33E800AC"/>
    <w:rsid w:val="347C4135"/>
    <w:rsid w:val="349873DC"/>
    <w:rsid w:val="34AA7AFA"/>
    <w:rsid w:val="353327D7"/>
    <w:rsid w:val="384D1727"/>
    <w:rsid w:val="38DD159D"/>
    <w:rsid w:val="397E118A"/>
    <w:rsid w:val="3E2C6DE7"/>
    <w:rsid w:val="40AA0BC3"/>
    <w:rsid w:val="40AB0497"/>
    <w:rsid w:val="42707BEA"/>
    <w:rsid w:val="43A21908"/>
    <w:rsid w:val="44466E54"/>
    <w:rsid w:val="45F060E8"/>
    <w:rsid w:val="47E524E0"/>
    <w:rsid w:val="4904108C"/>
    <w:rsid w:val="498B5309"/>
    <w:rsid w:val="4B2652EA"/>
    <w:rsid w:val="4B337A07"/>
    <w:rsid w:val="4BBE3A05"/>
    <w:rsid w:val="550146D2"/>
    <w:rsid w:val="55E24503"/>
    <w:rsid w:val="568D0E17"/>
    <w:rsid w:val="5B3E13DB"/>
    <w:rsid w:val="5C6A7000"/>
    <w:rsid w:val="5D1A6C78"/>
    <w:rsid w:val="5D1C02FB"/>
    <w:rsid w:val="5E342B14"/>
    <w:rsid w:val="5E99597B"/>
    <w:rsid w:val="604D2EC1"/>
    <w:rsid w:val="61120392"/>
    <w:rsid w:val="61F81027"/>
    <w:rsid w:val="63732AF2"/>
    <w:rsid w:val="65841133"/>
    <w:rsid w:val="741252AD"/>
    <w:rsid w:val="743E1047"/>
    <w:rsid w:val="74822CE1"/>
    <w:rsid w:val="75D30DD8"/>
    <w:rsid w:val="7CBE0F77"/>
    <w:rsid w:val="7E2B6198"/>
    <w:rsid w:val="7F9304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outlineLvl w:val="0"/>
    </w:pPr>
    <w:rPr>
      <w:b/>
      <w:bCs/>
      <w:kern w:val="44"/>
      <w:sz w:val="28"/>
      <w:szCs w:val="44"/>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3">
    <w:name w:val="Normal Indent"/>
    <w:basedOn w:val="1"/>
    <w:qFormat/>
    <w:uiPriority w:val="0"/>
    <w:pPr>
      <w:ind w:firstLine="420" w:firstLineChars="200"/>
    </w:pPr>
  </w:style>
  <w:style w:type="paragraph" w:styleId="4">
    <w:name w:val="toc 3"/>
    <w:basedOn w:val="1"/>
    <w:next w:val="1"/>
    <w:qFormat/>
    <w:uiPriority w:val="0"/>
    <w:pPr>
      <w:ind w:left="840" w:leftChars="400"/>
    </w:pPr>
  </w:style>
  <w:style w:type="paragraph" w:styleId="5">
    <w:name w:val="Date"/>
    <w:basedOn w:val="1"/>
    <w:next w:val="1"/>
    <w:qFormat/>
    <w:uiPriority w:val="0"/>
    <w:rPr>
      <w:rFonts w:ascii="宋体"/>
      <w:szCs w:val="20"/>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toc 1"/>
    <w:basedOn w:val="1"/>
    <w:next w:val="1"/>
    <w:qFormat/>
    <w:uiPriority w:val="39"/>
    <w:pPr>
      <w:tabs>
        <w:tab w:val="right" w:leader="dot" w:pos="8296"/>
      </w:tabs>
      <w:spacing w:line="360" w:lineRule="auto"/>
    </w:pPr>
  </w:style>
  <w:style w:type="paragraph" w:styleId="8">
    <w:name w:val="toc 2"/>
    <w:basedOn w:val="1"/>
    <w:next w:val="1"/>
    <w:qFormat/>
    <w:uiPriority w:val="39"/>
    <w:pPr>
      <w:ind w:left="420" w:leftChars="200"/>
    </w:pPr>
  </w:style>
  <w:style w:type="character" w:styleId="11">
    <w:name w:val="Hyperlink"/>
    <w:unhideWhenUsed/>
    <w:qFormat/>
    <w:uiPriority w:val="99"/>
    <w:rPr>
      <w:color w:val="0000FF"/>
      <w:u w:val="single"/>
    </w:rPr>
  </w:style>
  <w:style w:type="paragraph" w:customStyle="1" w:styleId="12">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13">
    <w:name w:val="章标题"/>
    <w:basedOn w:val="1"/>
    <w:next w:val="12"/>
    <w:qFormat/>
    <w:uiPriority w:val="0"/>
    <w:pPr>
      <w:widowControl/>
      <w:numPr>
        <w:ilvl w:val="0"/>
        <w:numId w:val="1"/>
      </w:numPr>
      <w:spacing w:before="312" w:beforeLines="100" w:after="312" w:afterLines="100"/>
      <w:outlineLvl w:val="1"/>
    </w:pPr>
    <w:rPr>
      <w:rFonts w:hint="eastAsia" w:ascii="黑体" w:eastAsia="黑体" w:cs="Times New Roman"/>
      <w:kern w:val="0"/>
      <w:sz w:val="21"/>
      <w:szCs w:val="20"/>
    </w:rPr>
  </w:style>
  <w:style w:type="character" w:customStyle="1" w:styleId="14">
    <w:name w:val="font01"/>
    <w:basedOn w:val="10"/>
    <w:qFormat/>
    <w:uiPriority w:val="0"/>
    <w:rPr>
      <w:rFonts w:ascii="Calibri" w:hAnsi="Calibri" w:cs="Calibri"/>
      <w:color w:val="000000"/>
      <w:sz w:val="22"/>
      <w:szCs w:val="22"/>
      <w:u w:val="none"/>
    </w:rPr>
  </w:style>
  <w:style w:type="character" w:customStyle="1" w:styleId="15">
    <w:name w:val="font11"/>
    <w:basedOn w:val="10"/>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3.emf"/><Relationship Id="rId8" Type="http://schemas.openxmlformats.org/officeDocument/2006/relationships/oleObject" Target="embeddings/oleObject2.bin"/><Relationship Id="rId7" Type="http://schemas.openxmlformats.org/officeDocument/2006/relationships/image" Target="media/image2.emf"/><Relationship Id="rId6" Type="http://schemas.openxmlformats.org/officeDocument/2006/relationships/oleObject" Target="embeddings/oleObject1.bin"/><Relationship Id="rId5" Type="http://schemas.openxmlformats.org/officeDocument/2006/relationships/image" Target="media/image1.emf"/><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emf"/><Relationship Id="rId12" Type="http://schemas.openxmlformats.org/officeDocument/2006/relationships/oleObject" Target="embeddings/oleObject4.bin"/><Relationship Id="rId11" Type="http://schemas.openxmlformats.org/officeDocument/2006/relationships/image" Target="media/image4.emf"/><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12</Pages>
  <Words>4309</Words>
  <Characters>4403</Characters>
  <Lines>0</Lines>
  <Paragraphs>0</Paragraphs>
  <TotalTime>0</TotalTime>
  <ScaleCrop>false</ScaleCrop>
  <LinksUpToDate>false</LinksUpToDate>
  <CharactersWithSpaces>4442</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2025-03-24T03:04:00Z</dcterms:created>
  <dc:creator>SWX</dc:creator>
  <cp:lastModifiedBy>丫头</cp:lastModifiedBy>
  <dcterms:modified xsi:type="dcterms:W3CDTF">2025-09-01T07:22:57Z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KSOTemplateDocerSaveRecord">
    <vt:lpwstr>eyJoZGlkIjoiNTM3MmU4OGMwMTVmYzEwNmZmNTdmMTEwOTgzM2YxYWIiLCJ1c2VySWQiOiIyOTU4Mjg3NDMifQ==</vt:lpwstr>
  </property>
  <property fmtid="{D5CDD505-2E9C-101B-9397-08002B2CF9AE}" pid="4" name="ICV">
    <vt:lpwstr>C5D64B540E664C72BD3C2A0D3EF12EA7_13</vt:lpwstr>
  </property>
</Properties>
</file>