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A7A57">
      <w:pPr>
        <w:rPr>
          <w:b/>
          <w:color w:val="000000" w:themeColor="text1"/>
          <w:sz w:val="36"/>
          <w:szCs w:val="36"/>
          <w14:textFill>
            <w14:solidFill>
              <w14:schemeClr w14:val="tx1"/>
            </w14:solidFill>
          </w14:textFill>
        </w:rPr>
      </w:pPr>
    </w:p>
    <w:p w14:paraId="0A742869">
      <w:pPr>
        <w:rPr>
          <w:b/>
          <w:color w:val="000000" w:themeColor="text1"/>
          <w:sz w:val="36"/>
          <w:szCs w:val="36"/>
          <w14:textFill>
            <w14:solidFill>
              <w14:schemeClr w14:val="tx1"/>
            </w14:solidFill>
          </w14:textFill>
        </w:rPr>
      </w:pPr>
    </w:p>
    <w:p w14:paraId="253EFE97">
      <w:pPr>
        <w:rPr>
          <w:b/>
          <w:color w:val="000000" w:themeColor="text1"/>
          <w:sz w:val="36"/>
          <w:szCs w:val="36"/>
          <w14:textFill>
            <w14:solidFill>
              <w14:schemeClr w14:val="tx1"/>
            </w14:solidFill>
          </w14:textFill>
        </w:rPr>
      </w:pPr>
    </w:p>
    <w:p w14:paraId="7CB9B467">
      <w:pPr>
        <w:rPr>
          <w:b/>
          <w:color w:val="000000" w:themeColor="text1"/>
          <w:sz w:val="52"/>
          <w:szCs w:val="52"/>
          <w14:textFill>
            <w14:solidFill>
              <w14:schemeClr w14:val="tx1"/>
            </w14:solidFill>
          </w14:textFill>
        </w:rPr>
      </w:pPr>
    </w:p>
    <w:p w14:paraId="2F839075">
      <w:pPr>
        <w:ind w:firstLine="260" w:firstLineChars="50"/>
        <w:jc w:val="center"/>
        <w:rPr>
          <w:rFonts w:ascii="方正小标宋简体" w:eastAsia="方正小标宋简体"/>
          <w:bCs/>
          <w:color w:val="000000" w:themeColor="text1"/>
          <w:sz w:val="52"/>
          <w:szCs w:val="52"/>
          <w14:textFill>
            <w14:solidFill>
              <w14:schemeClr w14:val="tx1"/>
            </w14:solidFill>
          </w14:textFill>
        </w:rPr>
      </w:pPr>
      <w:r>
        <w:rPr>
          <w:rFonts w:hint="eastAsia" w:ascii="方正小标宋简体" w:eastAsia="方正小标宋简体"/>
          <w:bCs/>
          <w:color w:val="000000" w:themeColor="text1"/>
          <w:sz w:val="52"/>
          <w:szCs w:val="52"/>
          <w14:textFill>
            <w14:solidFill>
              <w14:schemeClr w14:val="tx1"/>
            </w14:solidFill>
          </w14:textFill>
        </w:rPr>
        <w:t>《防腐木材及木材防腐剂取样方法》</w:t>
      </w:r>
    </w:p>
    <w:p w14:paraId="00A26CB8">
      <w:pPr>
        <w:ind w:firstLine="260" w:firstLineChars="50"/>
        <w:jc w:val="center"/>
        <w:rPr>
          <w:rFonts w:ascii="方正小标宋简体" w:eastAsia="方正小标宋简体"/>
          <w:bCs/>
          <w:color w:val="000000" w:themeColor="text1"/>
          <w:sz w:val="52"/>
          <w:szCs w:val="52"/>
          <w14:textFill>
            <w14:solidFill>
              <w14:schemeClr w14:val="tx1"/>
            </w14:solidFill>
          </w14:textFill>
        </w:rPr>
      </w:pPr>
      <w:r>
        <w:rPr>
          <w:rFonts w:hint="eastAsia" w:ascii="方正小标宋简体" w:eastAsia="方正小标宋简体"/>
          <w:bCs/>
          <w:color w:val="000000" w:themeColor="text1"/>
          <w:sz w:val="52"/>
          <w:szCs w:val="52"/>
          <w14:textFill>
            <w14:solidFill>
              <w14:schemeClr w14:val="tx1"/>
            </w14:solidFill>
          </w14:textFill>
        </w:rPr>
        <w:t>行业标准编制说明</w:t>
      </w:r>
    </w:p>
    <w:p w14:paraId="72316DA3">
      <w:pPr>
        <w:jc w:val="center"/>
        <w:rPr>
          <w:b/>
          <w:color w:val="000000" w:themeColor="text1"/>
          <w:sz w:val="44"/>
          <w:szCs w:val="44"/>
          <w14:textFill>
            <w14:solidFill>
              <w14:schemeClr w14:val="tx1"/>
            </w14:solidFill>
          </w14:textFill>
        </w:rPr>
      </w:pPr>
    </w:p>
    <w:p w14:paraId="6D47F927">
      <w:pPr>
        <w:jc w:val="center"/>
        <w:rPr>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（征求意见稿）</w:t>
      </w:r>
    </w:p>
    <w:p w14:paraId="7D2E4AF8">
      <w:pPr>
        <w:jc w:val="center"/>
        <w:rPr>
          <w:b/>
          <w:color w:val="000000" w:themeColor="text1"/>
          <w:sz w:val="44"/>
          <w:szCs w:val="44"/>
          <w14:textFill>
            <w14:solidFill>
              <w14:schemeClr w14:val="tx1"/>
            </w14:solidFill>
          </w14:textFill>
        </w:rPr>
      </w:pPr>
    </w:p>
    <w:p w14:paraId="73FF0B65">
      <w:pPr>
        <w:jc w:val="center"/>
        <w:rPr>
          <w:b/>
          <w:color w:val="000000" w:themeColor="text1"/>
          <w:sz w:val="44"/>
          <w:szCs w:val="44"/>
          <w14:textFill>
            <w14:solidFill>
              <w14:schemeClr w14:val="tx1"/>
            </w14:solidFill>
          </w14:textFill>
        </w:rPr>
      </w:pPr>
    </w:p>
    <w:p w14:paraId="1A6512E9">
      <w:pPr>
        <w:rPr>
          <w:b/>
          <w:color w:val="000000" w:themeColor="text1"/>
          <w:sz w:val="44"/>
          <w:szCs w:val="44"/>
          <w14:textFill>
            <w14:solidFill>
              <w14:schemeClr w14:val="tx1"/>
            </w14:solidFill>
          </w14:textFill>
        </w:rPr>
      </w:pPr>
    </w:p>
    <w:p w14:paraId="329339CE">
      <w:pPr>
        <w:rPr>
          <w:b/>
          <w:color w:val="000000" w:themeColor="text1"/>
          <w:sz w:val="44"/>
          <w:szCs w:val="44"/>
          <w14:textFill>
            <w14:solidFill>
              <w14:schemeClr w14:val="tx1"/>
            </w14:solidFill>
          </w14:textFill>
        </w:rPr>
      </w:pPr>
    </w:p>
    <w:p w14:paraId="551D6069">
      <w:pPr>
        <w:rPr>
          <w:b/>
          <w:color w:val="000000" w:themeColor="text1"/>
          <w:sz w:val="44"/>
          <w:szCs w:val="44"/>
          <w14:textFill>
            <w14:solidFill>
              <w14:schemeClr w14:val="tx1"/>
            </w14:solidFill>
          </w14:textFill>
        </w:rPr>
      </w:pPr>
    </w:p>
    <w:p w14:paraId="63088E69">
      <w:pPr>
        <w:jc w:val="center"/>
        <w:rPr>
          <w:b/>
          <w:color w:val="000000" w:themeColor="text1"/>
          <w:sz w:val="44"/>
          <w:szCs w:val="44"/>
          <w14:textFill>
            <w14:solidFill>
              <w14:schemeClr w14:val="tx1"/>
            </w14:solidFill>
          </w14:textFill>
        </w:rPr>
      </w:pPr>
    </w:p>
    <w:p w14:paraId="5A4C2C0F">
      <w:pPr>
        <w:jc w:val="center"/>
        <w:rPr>
          <w:b/>
          <w:color w:val="000000" w:themeColor="text1"/>
          <w:sz w:val="44"/>
          <w:szCs w:val="44"/>
          <w14:textFill>
            <w14:solidFill>
              <w14:schemeClr w14:val="tx1"/>
            </w14:solidFill>
          </w14:textFill>
        </w:rPr>
      </w:pPr>
    </w:p>
    <w:p w14:paraId="37431417">
      <w:pPr>
        <w:jc w:val="center"/>
        <w:rPr>
          <w:b/>
          <w:color w:val="000000" w:themeColor="text1"/>
          <w:sz w:val="44"/>
          <w:szCs w:val="44"/>
          <w14:textFill>
            <w14:solidFill>
              <w14:schemeClr w14:val="tx1"/>
            </w14:solidFill>
          </w14:textFill>
        </w:rPr>
      </w:pPr>
    </w:p>
    <w:p w14:paraId="23668BA0">
      <w:pPr>
        <w:jc w:val="center"/>
        <w:rPr>
          <w:rFonts w:eastAsiaTheme="minorEastAsia"/>
          <w:b/>
          <w:color w:val="000000" w:themeColor="text1"/>
          <w:sz w:val="36"/>
          <w:szCs w:val="36"/>
          <w14:textFill>
            <w14:solidFill>
              <w14:schemeClr w14:val="tx1"/>
            </w14:solidFill>
          </w14:textFill>
        </w:rPr>
      </w:pPr>
      <w:r>
        <w:rPr>
          <w:rFonts w:hint="eastAsia" w:eastAsiaTheme="minorEastAsia"/>
          <w:b/>
          <w:color w:val="000000" w:themeColor="text1"/>
          <w:sz w:val="36"/>
          <w:szCs w:val="36"/>
          <w14:textFill>
            <w14:solidFill>
              <w14:schemeClr w14:val="tx1"/>
            </w14:solidFill>
          </w14:textFill>
        </w:rPr>
        <w:t>2</w:t>
      </w:r>
      <w:r>
        <w:rPr>
          <w:rFonts w:eastAsiaTheme="minorEastAsia"/>
          <w:b/>
          <w:color w:val="000000" w:themeColor="text1"/>
          <w:sz w:val="36"/>
          <w:szCs w:val="36"/>
          <w14:textFill>
            <w14:solidFill>
              <w14:schemeClr w14:val="tx1"/>
            </w14:solidFill>
          </w14:textFill>
        </w:rPr>
        <w:t>02</w:t>
      </w:r>
      <w:r>
        <w:rPr>
          <w:rFonts w:hint="eastAsia" w:eastAsiaTheme="minorEastAsia"/>
          <w:b/>
          <w:color w:val="000000" w:themeColor="text1"/>
          <w:sz w:val="36"/>
          <w:szCs w:val="36"/>
          <w:lang w:val="en-US" w:eastAsia="zh-CN"/>
          <w14:textFill>
            <w14:solidFill>
              <w14:schemeClr w14:val="tx1"/>
            </w14:solidFill>
          </w14:textFill>
        </w:rPr>
        <w:t>5</w:t>
      </w:r>
      <w:r>
        <w:rPr>
          <w:rFonts w:eastAsiaTheme="minorEastAsia"/>
          <w:b/>
          <w:color w:val="000000" w:themeColor="text1"/>
          <w:sz w:val="36"/>
          <w:szCs w:val="36"/>
          <w14:textFill>
            <w14:solidFill>
              <w14:schemeClr w14:val="tx1"/>
            </w14:solidFill>
          </w14:textFill>
        </w:rPr>
        <w:t>年</w:t>
      </w:r>
      <w:r>
        <w:rPr>
          <w:rFonts w:hint="eastAsia" w:eastAsiaTheme="minorEastAsia"/>
          <w:b/>
          <w:color w:val="000000" w:themeColor="text1"/>
          <w:sz w:val="36"/>
          <w:szCs w:val="36"/>
          <w:lang w:val="en-US" w:eastAsia="zh-CN"/>
          <w14:textFill>
            <w14:solidFill>
              <w14:schemeClr w14:val="tx1"/>
            </w14:solidFill>
          </w14:textFill>
        </w:rPr>
        <w:t>8</w:t>
      </w:r>
      <w:r>
        <w:rPr>
          <w:rFonts w:eastAsiaTheme="minorEastAsia"/>
          <w:b/>
          <w:color w:val="000000" w:themeColor="text1"/>
          <w:sz w:val="36"/>
          <w:szCs w:val="36"/>
          <w14:textFill>
            <w14:solidFill>
              <w14:schemeClr w14:val="tx1"/>
            </w14:solidFill>
          </w14:textFill>
        </w:rPr>
        <w:t>月</w:t>
      </w:r>
    </w:p>
    <w:p w14:paraId="300747BA">
      <w:pPr>
        <w:pStyle w:val="26"/>
        <w:framePr w:w="0" w:hRule="auto" w:wrap="auto" w:vAnchor="margin" w:hAnchor="text" w:xAlign="left" w:yAlign="inline"/>
        <w:spacing w:line="360" w:lineRule="auto"/>
        <w:rPr>
          <w:rFonts w:ascii="Times New Roman" w:eastAsia="宋体"/>
          <w:color w:val="000000" w:themeColor="text1"/>
          <w:sz w:val="32"/>
          <w:szCs w:val="32"/>
          <w14:textFill>
            <w14:solidFill>
              <w14:schemeClr w14:val="tx1"/>
            </w14:solidFill>
          </w14:textFill>
        </w:rPr>
      </w:pPr>
      <w:r>
        <w:rPr>
          <w:rFonts w:ascii="Times New Roman" w:eastAsia="宋体"/>
          <w:color w:val="000000" w:themeColor="text1"/>
          <w:sz w:val="32"/>
          <w:szCs w:val="32"/>
          <w14:textFill>
            <w14:solidFill>
              <w14:schemeClr w14:val="tx1"/>
            </w14:solidFill>
          </w14:textFill>
        </w:rPr>
        <w:br w:type="page"/>
      </w:r>
    </w:p>
    <w:sdt>
      <w:sdtPr>
        <w:rPr>
          <w:rFonts w:ascii="Times New Roman" w:hAnsi="Times New Roman" w:eastAsia="宋体" w:cs="Times New Roman"/>
          <w:color w:val="000000" w:themeColor="text1"/>
          <w:kern w:val="2"/>
          <w:sz w:val="21"/>
          <w:szCs w:val="24"/>
          <w:lang w:val="zh-CN"/>
          <w14:textFill>
            <w14:solidFill>
              <w14:schemeClr w14:val="tx1"/>
            </w14:solidFill>
          </w14:textFill>
        </w:rPr>
        <w:id w:val="207385740"/>
        <w:docPartObj>
          <w:docPartGallery w:val="Table of Contents"/>
          <w:docPartUnique/>
        </w:docPartObj>
      </w:sdtPr>
      <w:sdtEndPr>
        <w:rPr>
          <w:rFonts w:ascii="宋体" w:hAnsi="宋体" w:eastAsia="宋体" w:cs="宋体"/>
          <w:b/>
          <w:bCs/>
          <w:color w:val="000000" w:themeColor="text1"/>
          <w:kern w:val="0"/>
          <w:sz w:val="24"/>
          <w:szCs w:val="24"/>
          <w:lang w:val="zh-CN"/>
          <w14:textFill>
            <w14:solidFill>
              <w14:schemeClr w14:val="tx1"/>
            </w14:solidFill>
          </w14:textFill>
        </w:rPr>
      </w:sdtEndPr>
      <w:sdtContent>
        <w:p w14:paraId="225772CE">
          <w:pPr>
            <w:pStyle w:val="60"/>
            <w:spacing w:before="0" w:line="360" w:lineRule="auto"/>
            <w:jc w:val="both"/>
            <w:rPr>
              <w:rFonts w:ascii="Times New Roman" w:hAnsi="Times New Roman" w:eastAsia="宋体" w:cs="Times New Roman"/>
              <w:color w:val="000000" w:themeColor="text1"/>
              <w:kern w:val="2"/>
              <w:sz w:val="21"/>
              <w:szCs w:val="24"/>
              <w:lang w:val="zh-CN"/>
              <w14:textFill>
                <w14:solidFill>
                  <w14:schemeClr w14:val="tx1"/>
                </w14:solidFill>
              </w14:textFill>
            </w:rPr>
          </w:pPr>
        </w:p>
        <w:p w14:paraId="0FDC0036">
          <w:pPr>
            <w:pStyle w:val="60"/>
            <w:spacing w:before="0" w:line="360" w:lineRule="auto"/>
            <w:jc w:val="center"/>
            <w:rPr>
              <w:rFonts w:ascii="Times New Roman" w:hAnsi="Times New Roman" w:eastAsia="黑体" w:cs="Times New Roman"/>
              <w:b/>
              <w:color w:val="000000" w:themeColor="text1"/>
              <w:lang w:val="zh-CN"/>
              <w14:textFill>
                <w14:solidFill>
                  <w14:schemeClr w14:val="tx1"/>
                </w14:solidFill>
              </w14:textFill>
            </w:rPr>
          </w:pPr>
          <w:r>
            <w:rPr>
              <w:rFonts w:ascii="Times New Roman" w:hAnsi="Times New Roman" w:eastAsia="黑体" w:cs="Times New Roman"/>
              <w:b/>
              <w:color w:val="000000" w:themeColor="text1"/>
              <w:lang w:val="zh-CN"/>
              <w14:textFill>
                <w14:solidFill>
                  <w14:schemeClr w14:val="tx1"/>
                </w14:solidFill>
              </w14:textFill>
            </w:rPr>
            <w:t>目  录</w:t>
          </w:r>
        </w:p>
        <w:p w14:paraId="0600D403">
          <w:pPr>
            <w:jc w:val="both"/>
            <w:rPr>
              <w:color w:val="000000" w:themeColor="text1"/>
              <w:lang w:val="zh-CN"/>
              <w14:textFill>
                <w14:solidFill>
                  <w14:schemeClr w14:val="tx1"/>
                </w14:solidFill>
              </w14:textFill>
            </w:rPr>
          </w:pPr>
        </w:p>
        <w:p w14:paraId="24FD2EA5">
          <w:pPr>
            <w:pStyle w:val="15"/>
            <w:tabs>
              <w:tab w:val="right" w:leader="dot" w:pos="9468"/>
            </w:tabs>
            <w:rPr>
              <w:color w:val="000000" w:themeColor="text1"/>
              <w:sz w:val="28"/>
              <w:szCs w:val="28"/>
              <w14:textFill>
                <w14:solidFill>
                  <w14:schemeClr w14:val="tx1"/>
                </w14:solidFill>
              </w14:textFill>
            </w:rPr>
          </w:pPr>
          <w:r>
            <w:rPr>
              <w:rFonts w:asciiTheme="minorEastAsia" w:hAnsiTheme="minorEastAsia" w:eastAsiaTheme="minorEastAsia"/>
              <w:bCs/>
              <w:color w:val="000000" w:themeColor="text1"/>
              <w:sz w:val="28"/>
              <w14:textFill>
                <w14:solidFill>
                  <w14:schemeClr w14:val="tx1"/>
                </w14:solidFill>
              </w14:textFill>
            </w:rPr>
            <w:fldChar w:fldCharType="begin"/>
          </w:r>
          <w:r>
            <w:rPr>
              <w:rFonts w:asciiTheme="minorEastAsia" w:hAnsiTheme="minorEastAsia" w:eastAsiaTheme="minorEastAsia"/>
              <w:bCs/>
              <w:color w:val="000000" w:themeColor="text1"/>
              <w:sz w:val="28"/>
              <w14:textFill>
                <w14:solidFill>
                  <w14:schemeClr w14:val="tx1"/>
                </w14:solidFill>
              </w14:textFill>
            </w:rPr>
            <w:instrText xml:space="preserve"> TOC \o "1-3" \h \z \u </w:instrText>
          </w:r>
          <w:r>
            <w:rPr>
              <w:rFonts w:asciiTheme="minorEastAsia" w:hAnsiTheme="minorEastAsia" w:eastAsiaTheme="minorEastAsia"/>
              <w:bCs/>
              <w:color w:val="000000" w:themeColor="text1"/>
              <w:sz w:val="28"/>
              <w14:textFill>
                <w14:solidFill>
                  <w14:schemeClr w14:val="tx1"/>
                </w14:solidFill>
              </w14:textFill>
            </w:rPr>
            <w:fldChar w:fldCharType="separate"/>
          </w:r>
          <w:r>
            <w:rPr>
              <w:rFonts w:asciiTheme="minorEastAsia" w:hAnsiTheme="minorEastAsia" w:eastAsiaTheme="minorEastAsia"/>
              <w:bCs/>
              <w:color w:val="000000" w:themeColor="text1"/>
              <w:sz w:val="28"/>
              <w:szCs w:val="28"/>
              <w14:textFill>
                <w14:solidFill>
                  <w14:schemeClr w14:val="tx1"/>
                </w14:solidFill>
              </w14:textFill>
            </w:rPr>
            <w:fldChar w:fldCharType="begin"/>
          </w:r>
          <w:r>
            <w:rPr>
              <w:rFonts w:asciiTheme="minorEastAsia" w:hAnsiTheme="minorEastAsia" w:eastAsiaTheme="minorEastAsia"/>
              <w:bCs/>
              <w:color w:val="000000" w:themeColor="text1"/>
              <w:sz w:val="28"/>
              <w:szCs w:val="28"/>
              <w14:textFill>
                <w14:solidFill>
                  <w14:schemeClr w14:val="tx1"/>
                </w14:solidFill>
              </w14:textFill>
            </w:rPr>
            <w:instrText xml:space="preserve"> HYPERLINK \l _Toc18231 </w:instrText>
          </w:r>
          <w:r>
            <w:rPr>
              <w:rFonts w:asciiTheme="minorEastAsia" w:hAnsiTheme="minorEastAsia" w:eastAsiaTheme="minorEastAsia"/>
              <w:bCs/>
              <w:color w:val="000000" w:themeColor="text1"/>
              <w:sz w:val="28"/>
              <w:szCs w:val="28"/>
              <w14:textFill>
                <w14:solidFill>
                  <w14:schemeClr w14:val="tx1"/>
                </w14:solidFill>
              </w14:textFill>
            </w:rPr>
            <w:fldChar w:fldCharType="separate"/>
          </w:r>
          <w:r>
            <w:rPr>
              <w:rFonts w:ascii="Times New Roman"/>
              <w:color w:val="000000" w:themeColor="text1"/>
              <w:sz w:val="28"/>
              <w:szCs w:val="32"/>
              <w14:textFill>
                <w14:solidFill>
                  <w14:schemeClr w14:val="tx1"/>
                </w14:solidFill>
              </w14:textFill>
            </w:rPr>
            <w:t>1 标准编制工作简况</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_Toc18231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3</w:t>
          </w:r>
          <w:r>
            <w:rPr>
              <w:color w:val="000000" w:themeColor="text1"/>
              <w:sz w:val="28"/>
              <w:szCs w:val="28"/>
              <w14:textFill>
                <w14:solidFill>
                  <w14:schemeClr w14:val="tx1"/>
                </w14:solidFill>
              </w14:textFill>
            </w:rPr>
            <w:fldChar w:fldCharType="end"/>
          </w:r>
          <w:r>
            <w:rPr>
              <w:rFonts w:asciiTheme="minorEastAsia" w:hAnsiTheme="minorEastAsia" w:eastAsiaTheme="minorEastAsia"/>
              <w:bCs/>
              <w:color w:val="000000" w:themeColor="text1"/>
              <w:sz w:val="28"/>
              <w:szCs w:val="28"/>
              <w14:textFill>
                <w14:solidFill>
                  <w14:schemeClr w14:val="tx1"/>
                </w14:solidFill>
              </w14:textFill>
            </w:rPr>
            <w:fldChar w:fldCharType="end"/>
          </w:r>
        </w:p>
        <w:p w14:paraId="7B352545">
          <w:pPr>
            <w:pStyle w:val="15"/>
            <w:tabs>
              <w:tab w:val="right" w:leader="dot" w:pos="9468"/>
            </w:tabs>
            <w:rPr>
              <w:color w:val="000000" w:themeColor="text1"/>
              <w:sz w:val="28"/>
              <w:szCs w:val="28"/>
              <w14:textFill>
                <w14:solidFill>
                  <w14:schemeClr w14:val="tx1"/>
                </w14:solidFill>
              </w14:textFill>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color w:val="000000" w:themeColor="text1"/>
              <w:sz w:val="28"/>
              <w:szCs w:val="28"/>
              <w:lang w:val="zh-CN"/>
              <w14:textFill>
                <w14:solidFill>
                  <w14:schemeClr w14:val="tx1"/>
                </w14:solidFill>
              </w14:textFill>
            </w:rPr>
            <w:instrText xml:space="preserve"> HYPERLINK \l _Toc20950 </w:instrText>
          </w:r>
          <w:r>
            <w:rPr>
              <w:rFonts w:asciiTheme="minorEastAsia" w:hAnsiTheme="minorEastAsia" w:eastAsiaTheme="minorEastAsia"/>
              <w:bCs/>
              <w:color w:val="000000" w:themeColor="text1"/>
              <w:sz w:val="28"/>
              <w:szCs w:val="28"/>
              <w:lang w:val="zh-CN"/>
              <w14:textFill>
                <w14:solidFill>
                  <w14:schemeClr w14:val="tx1"/>
                </w14:solidFill>
              </w14:textFill>
            </w:rPr>
            <w:fldChar w:fldCharType="separate"/>
          </w:r>
          <w:r>
            <w:rPr>
              <w:rFonts w:ascii="Times New Roman"/>
              <w:color w:val="000000" w:themeColor="text1"/>
              <w:sz w:val="28"/>
              <w:szCs w:val="32"/>
              <w14:textFill>
                <w14:solidFill>
                  <w14:schemeClr w14:val="tx1"/>
                </w14:solidFill>
              </w14:textFill>
            </w:rPr>
            <w:t>2 标准</w:t>
          </w:r>
          <w:r>
            <w:rPr>
              <w:rFonts w:hint="eastAsia" w:ascii="Times New Roman"/>
              <w:color w:val="000000" w:themeColor="text1"/>
              <w:sz w:val="28"/>
              <w:szCs w:val="32"/>
              <w:lang w:val="en-US" w:eastAsia="zh-CN"/>
              <w14:textFill>
                <w14:solidFill>
                  <w14:schemeClr w14:val="tx1"/>
                </w14:solidFill>
              </w14:textFill>
            </w:rPr>
            <w:t>修订</w:t>
          </w:r>
          <w:r>
            <w:rPr>
              <w:rFonts w:ascii="Times New Roman"/>
              <w:color w:val="000000" w:themeColor="text1"/>
              <w:sz w:val="28"/>
              <w:szCs w:val="32"/>
              <w14:textFill>
                <w14:solidFill>
                  <w14:schemeClr w14:val="tx1"/>
                </w14:solidFill>
              </w14:textFill>
            </w:rPr>
            <w:t>的原则和主要内容</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_Toc20950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4</w:t>
          </w:r>
          <w:r>
            <w:rPr>
              <w:color w:val="000000" w:themeColor="text1"/>
              <w:sz w:val="28"/>
              <w:szCs w:val="28"/>
              <w14:textFill>
                <w14:solidFill>
                  <w14:schemeClr w14:val="tx1"/>
                </w14:solidFill>
              </w14:textFill>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35B955CB">
          <w:pPr>
            <w:pStyle w:val="15"/>
            <w:tabs>
              <w:tab w:val="right" w:leader="dot" w:pos="9468"/>
            </w:tabs>
            <w:rPr>
              <w:color w:val="000000" w:themeColor="text1"/>
              <w:sz w:val="28"/>
              <w:szCs w:val="28"/>
              <w14:textFill>
                <w14:solidFill>
                  <w14:schemeClr w14:val="tx1"/>
                </w14:solidFill>
              </w14:textFill>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color w:val="000000" w:themeColor="text1"/>
              <w:sz w:val="28"/>
              <w:szCs w:val="28"/>
              <w:lang w:val="zh-CN"/>
              <w14:textFill>
                <w14:solidFill>
                  <w14:schemeClr w14:val="tx1"/>
                </w14:solidFill>
              </w14:textFill>
            </w:rPr>
            <w:instrText xml:space="preserve"> HYPERLINK \l _Toc6456 </w:instrText>
          </w:r>
          <w:r>
            <w:rPr>
              <w:rFonts w:asciiTheme="minorEastAsia" w:hAnsiTheme="minorEastAsia" w:eastAsiaTheme="minorEastAsia"/>
              <w:bCs/>
              <w:color w:val="000000" w:themeColor="text1"/>
              <w:sz w:val="28"/>
              <w:szCs w:val="28"/>
              <w:lang w:val="zh-CN"/>
              <w14:textFill>
                <w14:solidFill>
                  <w14:schemeClr w14:val="tx1"/>
                </w14:solidFill>
              </w14:textFill>
            </w:rPr>
            <w:fldChar w:fldCharType="separate"/>
          </w:r>
          <w:r>
            <w:rPr>
              <w:rFonts w:hint="eastAsia" w:ascii="Times New Roman"/>
              <w:color w:val="000000" w:themeColor="text1"/>
              <w:sz w:val="28"/>
              <w:szCs w:val="32"/>
              <w:lang w:val="en-US" w:eastAsia="zh-CN"/>
              <w14:textFill>
                <w14:solidFill>
                  <w14:schemeClr w14:val="tx1"/>
                </w14:solidFill>
              </w14:textFill>
            </w:rPr>
            <w:t>3</w:t>
          </w:r>
          <w:r>
            <w:rPr>
              <w:rFonts w:ascii="Times New Roman"/>
              <w:color w:val="000000" w:themeColor="text1"/>
              <w:sz w:val="28"/>
              <w:szCs w:val="32"/>
              <w14:textFill>
                <w14:solidFill>
                  <w14:schemeClr w14:val="tx1"/>
                </w14:solidFill>
              </w14:textFill>
            </w:rPr>
            <w:t xml:space="preserve"> 标准中涉及专利</w:t>
          </w:r>
          <w:r>
            <w:rPr>
              <w:rFonts w:hint="eastAsia" w:ascii="Times New Roman"/>
              <w:color w:val="000000" w:themeColor="text1"/>
              <w:sz w:val="28"/>
              <w:szCs w:val="32"/>
              <w14:textFill>
                <w14:solidFill>
                  <w14:schemeClr w14:val="tx1"/>
                </w14:solidFill>
              </w14:textFill>
            </w:rPr>
            <w:t>、知识产权</w:t>
          </w:r>
          <w:r>
            <w:rPr>
              <w:rFonts w:ascii="Times New Roman"/>
              <w:color w:val="000000" w:themeColor="text1"/>
              <w:sz w:val="28"/>
              <w:szCs w:val="32"/>
              <w14:textFill>
                <w14:solidFill>
                  <w14:schemeClr w14:val="tx1"/>
                </w14:solidFill>
              </w14:textFill>
            </w:rPr>
            <w:t>情况说明</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_Toc6456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5</w:t>
          </w:r>
          <w:r>
            <w:rPr>
              <w:color w:val="000000" w:themeColor="text1"/>
              <w:sz w:val="28"/>
              <w:szCs w:val="28"/>
              <w14:textFill>
                <w14:solidFill>
                  <w14:schemeClr w14:val="tx1"/>
                </w14:solidFill>
              </w14:textFill>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4EAADD26">
          <w:pPr>
            <w:pStyle w:val="15"/>
            <w:tabs>
              <w:tab w:val="right" w:leader="dot" w:pos="9468"/>
            </w:tabs>
            <w:rPr>
              <w:color w:val="000000" w:themeColor="text1"/>
              <w:sz w:val="28"/>
              <w:szCs w:val="28"/>
              <w14:textFill>
                <w14:solidFill>
                  <w14:schemeClr w14:val="tx1"/>
                </w14:solidFill>
              </w14:textFill>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color w:val="000000" w:themeColor="text1"/>
              <w:sz w:val="28"/>
              <w:szCs w:val="28"/>
              <w:lang w:val="zh-CN"/>
              <w14:textFill>
                <w14:solidFill>
                  <w14:schemeClr w14:val="tx1"/>
                </w14:solidFill>
              </w14:textFill>
            </w:rPr>
            <w:instrText xml:space="preserve"> HYPERLINK \l _Toc12712 </w:instrText>
          </w:r>
          <w:r>
            <w:rPr>
              <w:rFonts w:asciiTheme="minorEastAsia" w:hAnsiTheme="minorEastAsia" w:eastAsiaTheme="minorEastAsia"/>
              <w:bCs/>
              <w:color w:val="000000" w:themeColor="text1"/>
              <w:sz w:val="28"/>
              <w:szCs w:val="28"/>
              <w:lang w:val="zh-CN"/>
              <w14:textFill>
                <w14:solidFill>
                  <w14:schemeClr w14:val="tx1"/>
                </w14:solidFill>
              </w14:textFill>
            </w:rPr>
            <w:fldChar w:fldCharType="separate"/>
          </w:r>
          <w:r>
            <w:rPr>
              <w:rFonts w:hint="eastAsia" w:ascii="Times New Roman"/>
              <w:color w:val="000000" w:themeColor="text1"/>
              <w:sz w:val="28"/>
              <w:szCs w:val="32"/>
              <w:lang w:val="en-US" w:eastAsia="zh-CN"/>
              <w14:textFill>
                <w14:solidFill>
                  <w14:schemeClr w14:val="tx1"/>
                </w14:solidFill>
              </w14:textFill>
            </w:rPr>
            <w:t>4</w:t>
          </w:r>
          <w:r>
            <w:rPr>
              <w:rFonts w:ascii="Times New Roman"/>
              <w:color w:val="000000" w:themeColor="text1"/>
              <w:sz w:val="28"/>
              <w:szCs w:val="32"/>
              <w14:textFill>
                <w14:solidFill>
                  <w14:schemeClr w14:val="tx1"/>
                </w14:solidFill>
              </w14:textFill>
            </w:rPr>
            <w:t xml:space="preserve"> </w:t>
          </w:r>
          <w:r>
            <w:rPr>
              <w:rFonts w:hint="eastAsia" w:ascii="Times New Roman"/>
              <w:color w:val="000000" w:themeColor="text1"/>
              <w:sz w:val="28"/>
              <w:szCs w:val="32"/>
              <w14:textFill>
                <w14:solidFill>
                  <w14:schemeClr w14:val="tx1"/>
                </w14:solidFill>
              </w14:textFill>
            </w:rPr>
            <w:t>产业化情况、推广应用论证和预期达到的经济效果等情况；</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_Toc12712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5</w:t>
          </w:r>
          <w:r>
            <w:rPr>
              <w:color w:val="000000" w:themeColor="text1"/>
              <w:sz w:val="28"/>
              <w:szCs w:val="28"/>
              <w14:textFill>
                <w14:solidFill>
                  <w14:schemeClr w14:val="tx1"/>
                </w14:solidFill>
              </w14:textFill>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3CCA6E93">
          <w:pPr>
            <w:pStyle w:val="15"/>
            <w:tabs>
              <w:tab w:val="right" w:leader="dot" w:pos="9468"/>
            </w:tabs>
            <w:rPr>
              <w:color w:val="000000" w:themeColor="text1"/>
              <w:sz w:val="28"/>
              <w:szCs w:val="28"/>
              <w14:textFill>
                <w14:solidFill>
                  <w14:schemeClr w14:val="tx1"/>
                </w14:solidFill>
              </w14:textFill>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color w:val="000000" w:themeColor="text1"/>
              <w:sz w:val="28"/>
              <w:szCs w:val="28"/>
              <w:lang w:val="zh-CN"/>
              <w14:textFill>
                <w14:solidFill>
                  <w14:schemeClr w14:val="tx1"/>
                </w14:solidFill>
              </w14:textFill>
            </w:rPr>
            <w:instrText xml:space="preserve"> HYPERLINK \l _Toc9552 </w:instrText>
          </w:r>
          <w:r>
            <w:rPr>
              <w:rFonts w:asciiTheme="minorEastAsia" w:hAnsiTheme="minorEastAsia" w:eastAsiaTheme="minorEastAsia"/>
              <w:bCs/>
              <w:color w:val="000000" w:themeColor="text1"/>
              <w:sz w:val="28"/>
              <w:szCs w:val="28"/>
              <w:lang w:val="zh-CN"/>
              <w14:textFill>
                <w14:solidFill>
                  <w14:schemeClr w14:val="tx1"/>
                </w14:solidFill>
              </w14:textFill>
            </w:rPr>
            <w:fldChar w:fldCharType="separate"/>
          </w:r>
          <w:r>
            <w:rPr>
              <w:rFonts w:hint="eastAsia" w:ascii="Times New Roman"/>
              <w:color w:val="000000" w:themeColor="text1"/>
              <w:sz w:val="28"/>
              <w:szCs w:val="32"/>
              <w:lang w:val="en-US" w:eastAsia="zh-CN"/>
              <w14:textFill>
                <w14:solidFill>
                  <w14:schemeClr w14:val="tx1"/>
                </w14:solidFill>
              </w14:textFill>
            </w:rPr>
            <w:t>5</w:t>
          </w:r>
          <w:r>
            <w:rPr>
              <w:rFonts w:ascii="Times New Roman"/>
              <w:color w:val="000000" w:themeColor="text1"/>
              <w:sz w:val="28"/>
              <w:szCs w:val="32"/>
              <w14:textFill>
                <w14:solidFill>
                  <w14:schemeClr w14:val="tx1"/>
                </w14:solidFill>
              </w14:textFill>
            </w:rPr>
            <w:t xml:space="preserve"> 采用国际标准</w:t>
          </w:r>
          <w:r>
            <w:rPr>
              <w:rFonts w:hint="eastAsia" w:ascii="Times New Roman"/>
              <w:color w:val="000000" w:themeColor="text1"/>
              <w:sz w:val="28"/>
              <w:szCs w:val="32"/>
              <w14:textFill>
                <w14:solidFill>
                  <w14:schemeClr w14:val="tx1"/>
                </w14:solidFill>
              </w14:textFill>
            </w:rPr>
            <w:t>，与国际、国外同类标准水平的对比情况，国内外关键指标对比分析或与测试的国外样品、样机的相关数据对比情况；</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_Toc9552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6</w:t>
          </w:r>
          <w:r>
            <w:rPr>
              <w:color w:val="000000" w:themeColor="text1"/>
              <w:sz w:val="28"/>
              <w:szCs w:val="28"/>
              <w14:textFill>
                <w14:solidFill>
                  <w14:schemeClr w14:val="tx1"/>
                </w14:solidFill>
              </w14:textFill>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7A682491">
          <w:pPr>
            <w:pStyle w:val="15"/>
            <w:tabs>
              <w:tab w:val="right" w:leader="dot" w:pos="9468"/>
            </w:tabs>
            <w:rPr>
              <w:color w:val="000000" w:themeColor="text1"/>
              <w:sz w:val="28"/>
              <w:szCs w:val="28"/>
              <w14:textFill>
                <w14:solidFill>
                  <w14:schemeClr w14:val="tx1"/>
                </w14:solidFill>
              </w14:textFill>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color w:val="000000" w:themeColor="text1"/>
              <w:sz w:val="28"/>
              <w:szCs w:val="28"/>
              <w:lang w:val="zh-CN"/>
              <w14:textFill>
                <w14:solidFill>
                  <w14:schemeClr w14:val="tx1"/>
                </w14:solidFill>
              </w14:textFill>
            </w:rPr>
            <w:instrText xml:space="preserve"> HYPERLINK \l _Toc28895 </w:instrText>
          </w:r>
          <w:r>
            <w:rPr>
              <w:rFonts w:asciiTheme="minorEastAsia" w:hAnsiTheme="minorEastAsia" w:eastAsiaTheme="minorEastAsia"/>
              <w:bCs/>
              <w:color w:val="000000" w:themeColor="text1"/>
              <w:sz w:val="28"/>
              <w:szCs w:val="28"/>
              <w:lang w:val="zh-CN"/>
              <w14:textFill>
                <w14:solidFill>
                  <w14:schemeClr w14:val="tx1"/>
                </w14:solidFill>
              </w14:textFill>
            </w:rPr>
            <w:fldChar w:fldCharType="separate"/>
          </w:r>
          <w:r>
            <w:rPr>
              <w:rFonts w:hint="eastAsia" w:ascii="Times New Roman"/>
              <w:color w:val="000000" w:themeColor="text1"/>
              <w:sz w:val="28"/>
              <w:szCs w:val="32"/>
              <w:lang w:val="en-US" w:eastAsia="zh-CN"/>
              <w14:textFill>
                <w14:solidFill>
                  <w14:schemeClr w14:val="tx1"/>
                </w14:solidFill>
              </w14:textFill>
            </w:rPr>
            <w:t>6</w:t>
          </w:r>
          <w:r>
            <w:rPr>
              <w:rFonts w:ascii="Times New Roman"/>
              <w:color w:val="000000" w:themeColor="text1"/>
              <w:sz w:val="28"/>
              <w:szCs w:val="32"/>
              <w14:textFill>
                <w14:solidFill>
                  <w14:schemeClr w14:val="tx1"/>
                </w14:solidFill>
              </w14:textFill>
            </w:rPr>
            <w:t xml:space="preserve"> 与现行相关法律、法规、规章及相关标准</w:t>
          </w:r>
          <w:r>
            <w:rPr>
              <w:rFonts w:hint="eastAsia" w:ascii="Times New Roman"/>
              <w:color w:val="000000" w:themeColor="text1"/>
              <w:sz w:val="28"/>
              <w:szCs w:val="32"/>
              <w14:textFill>
                <w14:solidFill>
                  <w14:schemeClr w14:val="tx1"/>
                </w14:solidFill>
              </w14:textFill>
            </w:rPr>
            <w:t>，特别是强制性标准</w:t>
          </w:r>
          <w:r>
            <w:rPr>
              <w:rFonts w:ascii="Times New Roman"/>
              <w:color w:val="000000" w:themeColor="text1"/>
              <w:sz w:val="28"/>
              <w:szCs w:val="32"/>
              <w14:textFill>
                <w14:solidFill>
                  <w14:schemeClr w14:val="tx1"/>
                </w14:solidFill>
              </w14:textFill>
            </w:rPr>
            <w:t>的协调</w:t>
          </w:r>
          <w:r>
            <w:rPr>
              <w:rFonts w:hint="eastAsia" w:ascii="Times New Roman"/>
              <w:color w:val="000000" w:themeColor="text1"/>
              <w:sz w:val="28"/>
              <w:szCs w:val="32"/>
              <w14:textFill>
                <w14:solidFill>
                  <w14:schemeClr w14:val="tx1"/>
                </w14:solidFill>
              </w14:textFill>
            </w:rPr>
            <w:t>性</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_Toc28895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6</w:t>
          </w:r>
          <w:r>
            <w:rPr>
              <w:color w:val="000000" w:themeColor="text1"/>
              <w:sz w:val="28"/>
              <w:szCs w:val="28"/>
              <w14:textFill>
                <w14:solidFill>
                  <w14:schemeClr w14:val="tx1"/>
                </w14:solidFill>
              </w14:textFill>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0122E9DA">
          <w:pPr>
            <w:pStyle w:val="15"/>
            <w:tabs>
              <w:tab w:val="right" w:leader="dot" w:pos="9468"/>
            </w:tabs>
            <w:rPr>
              <w:color w:val="000000" w:themeColor="text1"/>
              <w:sz w:val="28"/>
              <w:szCs w:val="28"/>
              <w14:textFill>
                <w14:solidFill>
                  <w14:schemeClr w14:val="tx1"/>
                </w14:solidFill>
              </w14:textFill>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color w:val="000000" w:themeColor="text1"/>
              <w:sz w:val="28"/>
              <w:szCs w:val="28"/>
              <w:lang w:val="zh-CN"/>
              <w14:textFill>
                <w14:solidFill>
                  <w14:schemeClr w14:val="tx1"/>
                </w14:solidFill>
              </w14:textFill>
            </w:rPr>
            <w:instrText xml:space="preserve"> HYPERLINK \l _Toc16975 </w:instrText>
          </w:r>
          <w:r>
            <w:rPr>
              <w:rFonts w:asciiTheme="minorEastAsia" w:hAnsiTheme="minorEastAsia" w:eastAsiaTheme="minorEastAsia"/>
              <w:bCs/>
              <w:color w:val="000000" w:themeColor="text1"/>
              <w:sz w:val="28"/>
              <w:szCs w:val="28"/>
              <w:lang w:val="zh-CN"/>
              <w14:textFill>
                <w14:solidFill>
                  <w14:schemeClr w14:val="tx1"/>
                </w14:solidFill>
              </w14:textFill>
            </w:rPr>
            <w:fldChar w:fldCharType="separate"/>
          </w:r>
          <w:r>
            <w:rPr>
              <w:rFonts w:hint="eastAsia" w:ascii="Times New Roman"/>
              <w:color w:val="000000" w:themeColor="text1"/>
              <w:sz w:val="28"/>
              <w:szCs w:val="32"/>
              <w:lang w:val="en-US" w:eastAsia="zh-CN"/>
              <w14:textFill>
                <w14:solidFill>
                  <w14:schemeClr w14:val="tx1"/>
                </w14:solidFill>
              </w14:textFill>
            </w:rPr>
            <w:t>7</w:t>
          </w:r>
          <w:r>
            <w:rPr>
              <w:rFonts w:ascii="Times New Roman"/>
              <w:color w:val="000000" w:themeColor="text1"/>
              <w:sz w:val="28"/>
              <w:szCs w:val="32"/>
              <w14:textFill>
                <w14:solidFill>
                  <w14:schemeClr w14:val="tx1"/>
                </w14:solidFill>
              </w14:textFill>
            </w:rPr>
            <w:t xml:space="preserve"> 重大意见分歧的处理依据和结果</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_Toc16975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6</w:t>
          </w:r>
          <w:r>
            <w:rPr>
              <w:color w:val="000000" w:themeColor="text1"/>
              <w:sz w:val="28"/>
              <w:szCs w:val="28"/>
              <w14:textFill>
                <w14:solidFill>
                  <w14:schemeClr w14:val="tx1"/>
                </w14:solidFill>
              </w14:textFill>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3F2E2CB1">
          <w:pPr>
            <w:pStyle w:val="15"/>
            <w:tabs>
              <w:tab w:val="right" w:leader="dot" w:pos="9468"/>
            </w:tabs>
            <w:rPr>
              <w:color w:val="000000" w:themeColor="text1"/>
              <w:sz w:val="28"/>
              <w:szCs w:val="28"/>
              <w14:textFill>
                <w14:solidFill>
                  <w14:schemeClr w14:val="tx1"/>
                </w14:solidFill>
              </w14:textFill>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color w:val="000000" w:themeColor="text1"/>
              <w:sz w:val="28"/>
              <w:szCs w:val="28"/>
              <w:lang w:val="zh-CN"/>
              <w14:textFill>
                <w14:solidFill>
                  <w14:schemeClr w14:val="tx1"/>
                </w14:solidFill>
              </w14:textFill>
            </w:rPr>
            <w:instrText xml:space="preserve"> HYPERLINK \l _Toc31382 </w:instrText>
          </w:r>
          <w:r>
            <w:rPr>
              <w:rFonts w:asciiTheme="minorEastAsia" w:hAnsiTheme="minorEastAsia" w:eastAsiaTheme="minorEastAsia"/>
              <w:bCs/>
              <w:color w:val="000000" w:themeColor="text1"/>
              <w:sz w:val="28"/>
              <w:szCs w:val="28"/>
              <w:lang w:val="zh-CN"/>
              <w14:textFill>
                <w14:solidFill>
                  <w14:schemeClr w14:val="tx1"/>
                </w14:solidFill>
              </w14:textFill>
            </w:rPr>
            <w:fldChar w:fldCharType="separate"/>
          </w:r>
          <w:r>
            <w:rPr>
              <w:rFonts w:hint="eastAsia" w:ascii="Times New Roman"/>
              <w:color w:val="000000" w:themeColor="text1"/>
              <w:sz w:val="28"/>
              <w:szCs w:val="32"/>
              <w:lang w:val="en-US" w:eastAsia="zh-CN"/>
              <w14:textFill>
                <w14:solidFill>
                  <w14:schemeClr w14:val="tx1"/>
                </w14:solidFill>
              </w14:textFill>
            </w:rPr>
            <w:t>8</w:t>
          </w:r>
          <w:r>
            <w:rPr>
              <w:rFonts w:ascii="Times New Roman"/>
              <w:color w:val="000000" w:themeColor="text1"/>
              <w:sz w:val="28"/>
              <w:szCs w:val="32"/>
              <w14:textFill>
                <w14:solidFill>
                  <w14:schemeClr w14:val="tx1"/>
                </w14:solidFill>
              </w14:textFill>
            </w:rPr>
            <w:t xml:space="preserve"> </w:t>
          </w:r>
          <w:r>
            <w:rPr>
              <w:rFonts w:hint="eastAsia" w:ascii="Times New Roman"/>
              <w:color w:val="000000" w:themeColor="text1"/>
              <w:sz w:val="28"/>
              <w:szCs w:val="32"/>
              <w14:textFill>
                <w14:solidFill>
                  <w14:schemeClr w14:val="tx1"/>
                </w14:solidFill>
              </w14:textFill>
            </w:rPr>
            <w:t>标准性质的建议说明</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_Toc31382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7</w:t>
          </w:r>
          <w:r>
            <w:rPr>
              <w:color w:val="000000" w:themeColor="text1"/>
              <w:sz w:val="28"/>
              <w:szCs w:val="28"/>
              <w14:textFill>
                <w14:solidFill>
                  <w14:schemeClr w14:val="tx1"/>
                </w14:solidFill>
              </w14:textFill>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7B37E9EB">
          <w:pPr>
            <w:pStyle w:val="15"/>
            <w:tabs>
              <w:tab w:val="right" w:leader="dot" w:pos="9468"/>
            </w:tabs>
            <w:rPr>
              <w:color w:val="000000" w:themeColor="text1"/>
              <w:sz w:val="28"/>
              <w:szCs w:val="28"/>
              <w14:textFill>
                <w14:solidFill>
                  <w14:schemeClr w14:val="tx1"/>
                </w14:solidFill>
              </w14:textFill>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color w:val="000000" w:themeColor="text1"/>
              <w:sz w:val="28"/>
              <w:szCs w:val="28"/>
              <w:lang w:val="zh-CN"/>
              <w14:textFill>
                <w14:solidFill>
                  <w14:schemeClr w14:val="tx1"/>
                </w14:solidFill>
              </w14:textFill>
            </w:rPr>
            <w:instrText xml:space="preserve"> HYPERLINK \l _Toc12587 </w:instrText>
          </w:r>
          <w:r>
            <w:rPr>
              <w:rFonts w:asciiTheme="minorEastAsia" w:hAnsiTheme="minorEastAsia" w:eastAsiaTheme="minorEastAsia"/>
              <w:bCs/>
              <w:color w:val="000000" w:themeColor="text1"/>
              <w:sz w:val="28"/>
              <w:szCs w:val="28"/>
              <w:lang w:val="zh-CN"/>
              <w14:textFill>
                <w14:solidFill>
                  <w14:schemeClr w14:val="tx1"/>
                </w14:solidFill>
              </w14:textFill>
            </w:rPr>
            <w:fldChar w:fldCharType="separate"/>
          </w:r>
          <w:r>
            <w:rPr>
              <w:rFonts w:hint="eastAsia" w:ascii="Times New Roman"/>
              <w:color w:val="000000" w:themeColor="text1"/>
              <w:sz w:val="28"/>
              <w:szCs w:val="32"/>
              <w:lang w:val="en-US" w:eastAsia="zh-CN"/>
              <w14:textFill>
                <w14:solidFill>
                  <w14:schemeClr w14:val="tx1"/>
                </w14:solidFill>
              </w14:textFill>
            </w:rPr>
            <w:t>9</w:t>
          </w:r>
          <w:r>
            <w:rPr>
              <w:rFonts w:ascii="Times New Roman"/>
              <w:color w:val="000000" w:themeColor="text1"/>
              <w:sz w:val="28"/>
              <w:szCs w:val="32"/>
              <w14:textFill>
                <w14:solidFill>
                  <w14:schemeClr w14:val="tx1"/>
                </w14:solidFill>
              </w14:textFill>
            </w:rPr>
            <w:t xml:space="preserve"> 贯彻标准的措施建议</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_Toc12587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7</w:t>
          </w:r>
          <w:r>
            <w:rPr>
              <w:color w:val="000000" w:themeColor="text1"/>
              <w:sz w:val="28"/>
              <w:szCs w:val="28"/>
              <w14:textFill>
                <w14:solidFill>
                  <w14:schemeClr w14:val="tx1"/>
                </w14:solidFill>
              </w14:textFill>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337D52C2">
          <w:pPr>
            <w:pStyle w:val="15"/>
            <w:tabs>
              <w:tab w:val="right" w:leader="dot" w:pos="9468"/>
            </w:tabs>
            <w:rPr>
              <w:color w:val="000000" w:themeColor="text1"/>
              <w:sz w:val="28"/>
              <w:szCs w:val="28"/>
              <w14:textFill>
                <w14:solidFill>
                  <w14:schemeClr w14:val="tx1"/>
                </w14:solidFill>
              </w14:textFill>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color w:val="000000" w:themeColor="text1"/>
              <w:sz w:val="28"/>
              <w:szCs w:val="28"/>
              <w:lang w:val="zh-CN"/>
              <w14:textFill>
                <w14:solidFill>
                  <w14:schemeClr w14:val="tx1"/>
                </w14:solidFill>
              </w14:textFill>
            </w:rPr>
            <w:instrText xml:space="preserve"> HYPERLINK \l _Toc32671 </w:instrText>
          </w:r>
          <w:r>
            <w:rPr>
              <w:rFonts w:asciiTheme="minorEastAsia" w:hAnsiTheme="minorEastAsia" w:eastAsiaTheme="minorEastAsia"/>
              <w:bCs/>
              <w:color w:val="000000" w:themeColor="text1"/>
              <w:sz w:val="28"/>
              <w:szCs w:val="28"/>
              <w:lang w:val="zh-CN"/>
              <w14:textFill>
                <w14:solidFill>
                  <w14:schemeClr w14:val="tx1"/>
                </w14:solidFill>
              </w14:textFill>
            </w:rPr>
            <w:fldChar w:fldCharType="separate"/>
          </w:r>
          <w:r>
            <w:rPr>
              <w:rFonts w:ascii="Times New Roman"/>
              <w:color w:val="000000" w:themeColor="text1"/>
              <w:sz w:val="28"/>
              <w:szCs w:val="32"/>
              <w14:textFill>
                <w14:solidFill>
                  <w14:schemeClr w14:val="tx1"/>
                </w14:solidFill>
              </w14:textFill>
            </w:rPr>
            <w:t>1</w:t>
          </w:r>
          <w:r>
            <w:rPr>
              <w:rFonts w:hint="eastAsia" w:ascii="Times New Roman"/>
              <w:color w:val="000000" w:themeColor="text1"/>
              <w:sz w:val="28"/>
              <w:szCs w:val="32"/>
              <w:lang w:val="en-US" w:eastAsia="zh-CN"/>
              <w14:textFill>
                <w14:solidFill>
                  <w14:schemeClr w14:val="tx1"/>
                </w14:solidFill>
              </w14:textFill>
            </w:rPr>
            <w:t>0</w:t>
          </w:r>
          <w:r>
            <w:rPr>
              <w:rFonts w:ascii="Times New Roman"/>
              <w:color w:val="000000" w:themeColor="text1"/>
              <w:sz w:val="28"/>
              <w:szCs w:val="32"/>
              <w14:textFill>
                <w14:solidFill>
                  <w14:schemeClr w14:val="tx1"/>
                </w14:solidFill>
              </w14:textFill>
            </w:rPr>
            <w:t xml:space="preserve"> 废止现行有关标准的建议</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_Toc32671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7</w:t>
          </w:r>
          <w:r>
            <w:rPr>
              <w:color w:val="000000" w:themeColor="text1"/>
              <w:sz w:val="28"/>
              <w:szCs w:val="28"/>
              <w14:textFill>
                <w14:solidFill>
                  <w14:schemeClr w14:val="tx1"/>
                </w14:solidFill>
              </w14:textFill>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3589688C">
          <w:pPr>
            <w:pStyle w:val="15"/>
            <w:tabs>
              <w:tab w:val="right" w:leader="dot" w:pos="9468"/>
            </w:tabs>
            <w:rPr>
              <w:color w:val="000000" w:themeColor="text1"/>
              <w14:textFill>
                <w14:solidFill>
                  <w14:schemeClr w14:val="tx1"/>
                </w14:solidFill>
              </w14:textFill>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color w:val="000000" w:themeColor="text1"/>
              <w:sz w:val="28"/>
              <w:szCs w:val="28"/>
              <w:lang w:val="zh-CN"/>
              <w14:textFill>
                <w14:solidFill>
                  <w14:schemeClr w14:val="tx1"/>
                </w14:solidFill>
              </w14:textFill>
            </w:rPr>
            <w:instrText xml:space="preserve"> HYPERLINK \l _Toc19543 </w:instrText>
          </w:r>
          <w:r>
            <w:rPr>
              <w:rFonts w:asciiTheme="minorEastAsia" w:hAnsiTheme="minorEastAsia" w:eastAsiaTheme="minorEastAsia"/>
              <w:bCs/>
              <w:color w:val="000000" w:themeColor="text1"/>
              <w:sz w:val="28"/>
              <w:szCs w:val="28"/>
              <w:lang w:val="zh-CN"/>
              <w14:textFill>
                <w14:solidFill>
                  <w14:schemeClr w14:val="tx1"/>
                </w14:solidFill>
              </w14:textFill>
            </w:rPr>
            <w:fldChar w:fldCharType="separate"/>
          </w:r>
          <w:r>
            <w:rPr>
              <w:rFonts w:ascii="Times New Roman"/>
              <w:color w:val="000000" w:themeColor="text1"/>
              <w:sz w:val="28"/>
              <w:szCs w:val="32"/>
              <w14:textFill>
                <w14:solidFill>
                  <w14:schemeClr w14:val="tx1"/>
                </w14:solidFill>
              </w14:textFill>
            </w:rPr>
            <w:t>1</w:t>
          </w:r>
          <w:r>
            <w:rPr>
              <w:rFonts w:hint="eastAsia" w:ascii="Times New Roman"/>
              <w:color w:val="000000" w:themeColor="text1"/>
              <w:sz w:val="28"/>
              <w:szCs w:val="32"/>
              <w:lang w:val="en-US" w:eastAsia="zh-CN"/>
              <w14:textFill>
                <w14:solidFill>
                  <w14:schemeClr w14:val="tx1"/>
                </w14:solidFill>
              </w14:textFill>
            </w:rPr>
            <w:t>1</w:t>
          </w:r>
          <w:r>
            <w:rPr>
              <w:rFonts w:ascii="Times New Roman"/>
              <w:color w:val="000000" w:themeColor="text1"/>
              <w:sz w:val="28"/>
              <w:szCs w:val="32"/>
              <w14:textFill>
                <w14:solidFill>
                  <w14:schemeClr w14:val="tx1"/>
                </w14:solidFill>
              </w14:textFill>
            </w:rPr>
            <w:t xml:space="preserve"> 其他应说明的事项</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_Toc19543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7</w:t>
          </w:r>
          <w:r>
            <w:rPr>
              <w:color w:val="000000" w:themeColor="text1"/>
              <w:sz w:val="28"/>
              <w:szCs w:val="28"/>
              <w14:textFill>
                <w14:solidFill>
                  <w14:schemeClr w14:val="tx1"/>
                </w14:solidFill>
              </w14:textFill>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6C6DCDB8">
          <w:pPr>
            <w:pStyle w:val="14"/>
            <w:tabs>
              <w:tab w:val="right" w:leader="dot" w:pos="9458"/>
            </w:tabs>
            <w:spacing w:line="360" w:lineRule="auto"/>
            <w:jc w:val="both"/>
            <w:rPr>
              <w:color w:val="000000" w:themeColor="text1"/>
              <w14:textFill>
                <w14:solidFill>
                  <w14:schemeClr w14:val="tx1"/>
                </w14:solidFill>
              </w14:textFill>
            </w:rPr>
          </w:pPr>
          <w:r>
            <w:rPr>
              <w:rFonts w:asciiTheme="minorEastAsia" w:hAnsiTheme="minorEastAsia" w:eastAsiaTheme="minorEastAsia"/>
              <w:bCs/>
              <w:color w:val="000000" w:themeColor="text1"/>
              <w:lang w:val="zh-CN"/>
              <w14:textFill>
                <w14:solidFill>
                  <w14:schemeClr w14:val="tx1"/>
                </w14:solidFill>
              </w14:textFill>
            </w:rPr>
            <w:fldChar w:fldCharType="end"/>
          </w:r>
        </w:p>
      </w:sdtContent>
    </w:sdt>
    <w:p w14:paraId="4B79F232">
      <w:pPr>
        <w:pStyle w:val="26"/>
        <w:framePr w:w="0" w:hRule="auto" w:wrap="auto" w:vAnchor="margin" w:hAnchor="text" w:xAlign="left" w:yAlign="inline"/>
        <w:spacing w:line="360" w:lineRule="auto"/>
        <w:rPr>
          <w:rFonts w:ascii="Times New Roman" w:eastAsia="宋体"/>
          <w:color w:val="000000" w:themeColor="text1"/>
          <w:sz w:val="32"/>
          <w:szCs w:val="32"/>
          <w14:textFill>
            <w14:solidFill>
              <w14:schemeClr w14:val="tx1"/>
            </w14:solidFill>
          </w14:textFill>
        </w:rPr>
      </w:pPr>
    </w:p>
    <w:p w14:paraId="204D46CD">
      <w:pPr>
        <w:jc w:val="center"/>
        <w:rPr>
          <w:rFonts w:ascii="方正小标宋简体" w:eastAsia="方正小标宋简体"/>
          <w:bCs/>
          <w:color w:val="000000" w:themeColor="text1"/>
          <w:sz w:val="48"/>
          <w:szCs w:val="44"/>
          <w14:textFill>
            <w14:solidFill>
              <w14:schemeClr w14:val="tx1"/>
            </w14:solidFill>
          </w14:textFill>
        </w:rPr>
      </w:pPr>
      <w:r>
        <w:rPr>
          <w:color w:val="000000" w:themeColor="text1"/>
          <w:sz w:val="48"/>
          <w:szCs w:val="48"/>
          <w14:textFill>
            <w14:solidFill>
              <w14:schemeClr w14:val="tx1"/>
            </w14:solidFill>
          </w14:textFill>
        </w:rPr>
        <w:br w:type="page"/>
      </w:r>
      <w:r>
        <w:rPr>
          <w:rFonts w:hint="eastAsia" w:ascii="方正小标宋简体" w:eastAsia="方正小标宋简体"/>
          <w:bCs/>
          <w:color w:val="000000" w:themeColor="text1"/>
          <w:sz w:val="32"/>
          <w:szCs w:val="32"/>
          <w14:textFill>
            <w14:solidFill>
              <w14:schemeClr w14:val="tx1"/>
            </w14:solidFill>
          </w14:textFill>
        </w:rPr>
        <w:t>JC/T XXXX-20XX《防腐木材及木材防腐剂取样方法》</w:t>
      </w:r>
    </w:p>
    <w:p w14:paraId="4FA1E9C2">
      <w:pPr>
        <w:jc w:val="center"/>
        <w:rPr>
          <w:rFonts w:ascii="方正小标宋简体" w:eastAsia="方正小标宋简体"/>
          <w:bCs/>
          <w:color w:val="000000" w:themeColor="text1"/>
          <w:sz w:val="32"/>
          <w:szCs w:val="32"/>
          <w14:textFill>
            <w14:solidFill>
              <w14:schemeClr w14:val="tx1"/>
            </w14:solidFill>
          </w14:textFill>
        </w:rPr>
      </w:pPr>
      <w:r>
        <w:rPr>
          <w:rFonts w:hint="eastAsia" w:ascii="方正小标宋简体" w:eastAsia="方正小标宋简体"/>
          <w:bCs/>
          <w:color w:val="000000" w:themeColor="text1"/>
          <w:sz w:val="32"/>
          <w:szCs w:val="32"/>
          <w14:textFill>
            <w14:solidFill>
              <w14:schemeClr w14:val="tx1"/>
            </w14:solidFill>
          </w14:textFill>
        </w:rPr>
        <w:t>行业标准编制说明</w:t>
      </w:r>
    </w:p>
    <w:p w14:paraId="119195AA">
      <w:pPr>
        <w:pStyle w:val="28"/>
        <w:spacing w:before="326" w:beforeLines="100" w:after="326" w:afterLines="100"/>
        <w:rPr>
          <w:rFonts w:ascii="Times New Roman"/>
          <w:color w:val="000000" w:themeColor="text1"/>
          <w:sz w:val="28"/>
          <w:szCs w:val="28"/>
          <w14:textFill>
            <w14:solidFill>
              <w14:schemeClr w14:val="tx1"/>
            </w14:solidFill>
          </w14:textFill>
        </w:rPr>
      </w:pPr>
      <w:bookmarkStart w:id="0" w:name="_Toc18231"/>
      <w:r>
        <w:rPr>
          <w:rFonts w:ascii="Times New Roman"/>
          <w:color w:val="000000" w:themeColor="text1"/>
          <w:sz w:val="28"/>
          <w:szCs w:val="28"/>
          <w14:textFill>
            <w14:solidFill>
              <w14:schemeClr w14:val="tx1"/>
            </w14:solidFill>
          </w14:textFill>
        </w:rPr>
        <w:t>1 标准编制工作简况</w:t>
      </w:r>
      <w:bookmarkEnd w:id="0"/>
    </w:p>
    <w:p w14:paraId="19275A99">
      <w:pPr>
        <w:pStyle w:val="29"/>
        <w:numPr>
          <w:ilvl w:val="1"/>
          <w:numId w:val="6"/>
        </w:numPr>
        <w:snapToGrid w:val="0"/>
        <w:spacing w:before="163" w:beforeLines="50" w:after="163" w:afterLines="50" w:line="500" w:lineRule="exact"/>
        <w:ind w:left="0"/>
        <w:rPr>
          <w:color w:val="000000" w:themeColor="text1"/>
          <w:sz w:val="24"/>
          <w:szCs w:val="24"/>
          <w14:textFill>
            <w14:solidFill>
              <w14:schemeClr w14:val="tx1"/>
            </w14:solidFill>
          </w14:textFill>
        </w:rPr>
      </w:pPr>
      <w:bookmarkStart w:id="1" w:name="_Toc31072"/>
      <w:r>
        <w:rPr>
          <w:color w:val="000000" w:themeColor="text1"/>
          <w:sz w:val="24"/>
          <w:szCs w:val="24"/>
          <w14:textFill>
            <w14:solidFill>
              <w14:schemeClr w14:val="tx1"/>
            </w14:solidFill>
          </w14:textFill>
        </w:rPr>
        <w:t>任务来源</w:t>
      </w:r>
      <w:bookmarkEnd w:id="1"/>
    </w:p>
    <w:p w14:paraId="15CB7022">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color w:val="000000" w:themeColor="text1"/>
          <w14:textFill>
            <w14:solidFill>
              <w14:schemeClr w14:val="tx1"/>
            </w14:solidFill>
          </w14:textFill>
        </w:rPr>
        <w:t>根据《工业和信息化部办公厅关于印发2024年第一批行业标准制修订计划的通知》（工信厅科〔2024〕18号）</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防腐木材及木材防腐剂取样方法</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行业</w:t>
      </w:r>
      <w:r>
        <w:rPr>
          <w:color w:val="000000" w:themeColor="text1"/>
          <w14:textFill>
            <w14:solidFill>
              <w14:schemeClr w14:val="tx1"/>
            </w14:solidFill>
          </w14:textFill>
        </w:rPr>
        <w:t>标准已列入标准项目计划（计划编号：</w:t>
      </w:r>
      <w:r>
        <w:rPr>
          <w:rFonts w:hint="eastAsia"/>
          <w:color w:val="000000" w:themeColor="text1"/>
          <w14:textFill>
            <w14:solidFill>
              <w14:schemeClr w14:val="tx1"/>
            </w14:solidFill>
          </w14:textFill>
        </w:rPr>
        <w:t>2024-0408T-JC</w:t>
      </w:r>
      <w:r>
        <w:rPr>
          <w:color w:val="000000" w:themeColor="text1"/>
          <w14:textFill>
            <w14:solidFill>
              <w14:schemeClr w14:val="tx1"/>
            </w14:solidFill>
          </w14:textFill>
        </w:rPr>
        <w:t>），标准技术归口单位为</w:t>
      </w:r>
      <w:r>
        <w:rPr>
          <w:rFonts w:hint="eastAsia"/>
          <w:color w:val="000000" w:themeColor="text1"/>
          <w14:textFill>
            <w14:solidFill>
              <w14:schemeClr w14:val="tx1"/>
            </w14:solidFill>
          </w14:textFill>
        </w:rPr>
        <w:t>建材工业综合标准化技术委员会</w:t>
      </w:r>
      <w:r>
        <w:rPr>
          <w:color w:val="000000" w:themeColor="text1"/>
          <w14:textFill>
            <w14:solidFill>
              <w14:schemeClr w14:val="tx1"/>
            </w14:solidFill>
          </w14:textFill>
        </w:rPr>
        <w:t>，该标准的起草工作由</w:t>
      </w:r>
      <w:r>
        <w:rPr>
          <w:rFonts w:hint="eastAsia"/>
          <w:color w:val="000000" w:themeColor="text1"/>
          <w14:textFill>
            <w14:solidFill>
              <w14:schemeClr w14:val="tx1"/>
            </w14:solidFill>
          </w14:textFill>
        </w:rPr>
        <w:t>木材节约发展中心</w:t>
      </w:r>
      <w:r>
        <w:rPr>
          <w:color w:val="000000" w:themeColor="text1"/>
          <w14:textFill>
            <w14:solidFill>
              <w14:schemeClr w14:val="tx1"/>
            </w14:solidFill>
          </w14:textFill>
        </w:rPr>
        <w:t>负责。</w:t>
      </w:r>
    </w:p>
    <w:p w14:paraId="74B4543A">
      <w:pPr>
        <w:pStyle w:val="29"/>
        <w:numPr>
          <w:ilvl w:val="1"/>
          <w:numId w:val="6"/>
        </w:numPr>
        <w:snapToGrid w:val="0"/>
        <w:spacing w:before="163" w:beforeLines="50" w:after="163" w:afterLines="50" w:line="500" w:lineRule="exact"/>
        <w:ind w:left="0"/>
        <w:rPr>
          <w:color w:val="000000" w:themeColor="text1"/>
          <w:sz w:val="24"/>
          <w:szCs w:val="24"/>
          <w14:textFill>
            <w14:solidFill>
              <w14:schemeClr w14:val="tx1"/>
            </w14:solidFill>
          </w14:textFill>
        </w:rPr>
      </w:pPr>
      <w:bookmarkStart w:id="2" w:name="_Toc17910"/>
      <w:bookmarkStart w:id="3" w:name="_Toc44068192"/>
      <w:r>
        <w:rPr>
          <w:color w:val="000000" w:themeColor="text1"/>
          <w:sz w:val="24"/>
          <w:szCs w:val="24"/>
          <w14:textFill>
            <w14:solidFill>
              <w14:schemeClr w14:val="tx1"/>
            </w14:solidFill>
          </w14:textFill>
        </w:rPr>
        <w:t>起草单位</w:t>
      </w:r>
      <w:bookmarkEnd w:id="2"/>
      <w:bookmarkEnd w:id="3"/>
    </w:p>
    <w:p w14:paraId="550EFC41">
      <w:pPr>
        <w:spacing w:line="360" w:lineRule="auto"/>
        <w:ind w:firstLine="480" w:firstLineChars="200"/>
        <w:jc w:val="both"/>
        <w:rPr>
          <w:rFonts w:eastAsiaTheme="majorEastAsia"/>
          <w:color w:val="000000" w:themeColor="text1"/>
          <w14:textFill>
            <w14:solidFill>
              <w14:schemeClr w14:val="tx1"/>
            </w14:solidFill>
          </w14:textFill>
        </w:rPr>
      </w:pPr>
      <w:r>
        <w:rPr>
          <w:rFonts w:hint="eastAsia" w:eastAsiaTheme="majorEastAsia"/>
          <w:color w:val="000000" w:themeColor="text1"/>
          <w14:textFill>
            <w14:solidFill>
              <w14:schemeClr w14:val="tx1"/>
            </w14:solidFill>
          </w14:textFill>
        </w:rPr>
        <w:t>本标准由</w:t>
      </w:r>
      <w:r>
        <w:rPr>
          <w:rFonts w:hint="eastAsia"/>
          <w:color w:val="000000" w:themeColor="text1"/>
          <w14:textFill>
            <w14:solidFill>
              <w14:schemeClr w14:val="tx1"/>
            </w14:solidFill>
          </w14:textFill>
        </w:rPr>
        <w:t>木材节约发展中心，国家木材与木制品性能质量检验检测中心</w:t>
      </w:r>
      <w:r>
        <w:rPr>
          <w:rFonts w:hint="eastAsia" w:eastAsiaTheme="majorEastAsia"/>
          <w:color w:val="000000" w:themeColor="text1"/>
          <w14:textFill>
            <w14:solidFill>
              <w14:schemeClr w14:val="tx1"/>
            </w14:solidFill>
          </w14:textFill>
        </w:rPr>
        <w:t>等单位共同起草，形成《</w:t>
      </w:r>
      <w:r>
        <w:rPr>
          <w:rFonts w:hint="eastAsia"/>
          <w:color w:val="000000" w:themeColor="text1"/>
          <w14:textFill>
            <w14:solidFill>
              <w14:schemeClr w14:val="tx1"/>
            </w14:solidFill>
          </w14:textFill>
        </w:rPr>
        <w:t>防腐木材及木材防腐剂取样方法</w:t>
      </w:r>
      <w:r>
        <w:rPr>
          <w:rFonts w:hint="eastAsia" w:eastAsiaTheme="majorEastAsia"/>
          <w:color w:val="000000" w:themeColor="text1"/>
          <w14:textFill>
            <w14:solidFill>
              <w14:schemeClr w14:val="tx1"/>
            </w14:solidFill>
          </w14:textFill>
        </w:rPr>
        <w:t>》标准的编制组。标准编制组分工如下：</w:t>
      </w:r>
    </w:p>
    <w:p w14:paraId="3AF028FF">
      <w:pPr>
        <w:spacing w:line="360" w:lineRule="auto"/>
        <w:ind w:firstLine="480" w:firstLineChars="200"/>
        <w:jc w:val="both"/>
        <w:rPr>
          <w:rFonts w:hint="eastAsia" w:eastAsiaTheme="majorEastAsia"/>
          <w:color w:val="000000" w:themeColor="text1"/>
          <w:lang w:eastAsia="zh-CN"/>
          <w14:textFill>
            <w14:solidFill>
              <w14:schemeClr w14:val="tx1"/>
            </w14:solidFill>
          </w14:textFill>
        </w:rPr>
      </w:pPr>
      <w:r>
        <w:rPr>
          <w:rFonts w:hint="eastAsia" w:eastAsiaTheme="majorEastAsia"/>
          <w:color w:val="000000" w:themeColor="text1"/>
          <w14:textFill>
            <w14:solidFill>
              <w14:schemeClr w14:val="tx1"/>
            </w14:solidFill>
          </w14:textFill>
        </w:rPr>
        <w:t>（</w:t>
      </w:r>
      <w:r>
        <w:rPr>
          <w:rFonts w:eastAsiaTheme="majorEastAsia"/>
          <w:color w:val="000000" w:themeColor="text1"/>
          <w14:textFill>
            <w14:solidFill>
              <w14:schemeClr w14:val="tx1"/>
            </w14:solidFill>
          </w14:textFill>
        </w:rPr>
        <w:t>1）</w:t>
      </w:r>
      <w:r>
        <w:rPr>
          <w:rFonts w:hint="eastAsia"/>
          <w:color w:val="000000" w:themeColor="text1"/>
          <w14:textFill>
            <w14:solidFill>
              <w14:schemeClr w14:val="tx1"/>
            </w14:solidFill>
          </w14:textFill>
        </w:rPr>
        <w:t>木材节约发展中心</w:t>
      </w:r>
      <w:r>
        <w:rPr>
          <w:rFonts w:eastAsiaTheme="majorEastAsia"/>
          <w:color w:val="000000" w:themeColor="text1"/>
          <w14:textFill>
            <w14:solidFill>
              <w14:schemeClr w14:val="tx1"/>
            </w14:solidFill>
          </w14:textFill>
        </w:rPr>
        <w:t>：主要负责标准立项、标准讨论会组织及筹备。</w:t>
      </w:r>
      <w:r>
        <w:rPr>
          <w:rFonts w:hint="eastAsia" w:eastAsiaTheme="majorEastAsia"/>
          <w:color w:val="000000" w:themeColor="text1"/>
          <w14:textFill>
            <w14:solidFill>
              <w14:schemeClr w14:val="tx1"/>
            </w14:solidFill>
          </w14:textFill>
        </w:rPr>
        <w:t>主要负责标准立项、标准讨论会组织及筹备、行业征求意见汇总</w:t>
      </w:r>
      <w:r>
        <w:rPr>
          <w:rFonts w:hint="eastAsia" w:eastAsiaTheme="majorEastAsia"/>
          <w:color w:val="000000" w:themeColor="text1"/>
          <w:lang w:val="en-US" w:eastAsia="zh-CN"/>
          <w14:textFill>
            <w14:solidFill>
              <w14:schemeClr w14:val="tx1"/>
            </w14:solidFill>
          </w14:textFill>
        </w:rPr>
        <w:t>等。</w:t>
      </w:r>
    </w:p>
    <w:p w14:paraId="6AB88B2B">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eastAsiaTheme="majorEastAsia"/>
          <w:color w:val="000000" w:themeColor="text1"/>
          <w14:textFill>
            <w14:solidFill>
              <w14:schemeClr w14:val="tx1"/>
            </w14:solidFill>
          </w14:textFill>
        </w:rPr>
        <w:t>（</w:t>
      </w:r>
      <w:r>
        <w:rPr>
          <w:rFonts w:eastAsiaTheme="majorEastAsia"/>
          <w:color w:val="000000" w:themeColor="text1"/>
          <w14:textFill>
            <w14:solidFill>
              <w14:schemeClr w14:val="tx1"/>
            </w14:solidFill>
          </w14:textFill>
        </w:rPr>
        <w:t>2）</w:t>
      </w:r>
      <w:r>
        <w:rPr>
          <w:rFonts w:hint="eastAsia" w:eastAsiaTheme="majorEastAsia"/>
          <w:color w:val="000000" w:themeColor="text1"/>
          <w:lang w:val="en-US" w:eastAsia="zh-CN"/>
          <w14:textFill>
            <w14:solidFill>
              <w14:schemeClr w14:val="tx1"/>
            </w14:solidFill>
          </w14:textFill>
        </w:rPr>
        <w:t>木材节约发展中心所属实验室（</w:t>
      </w:r>
      <w:r>
        <w:rPr>
          <w:rFonts w:hint="eastAsia"/>
          <w:color w:val="000000" w:themeColor="text1"/>
          <w14:textFill>
            <w14:solidFill>
              <w14:schemeClr w14:val="tx1"/>
            </w14:solidFill>
          </w14:textFill>
        </w:rPr>
        <w:t>国家木材与木制品性能质量检验检测中心</w:t>
      </w:r>
      <w:r>
        <w:rPr>
          <w:rFonts w:hint="eastAsia"/>
          <w:color w:val="000000" w:themeColor="text1"/>
          <w:lang w:eastAsia="zh-CN"/>
          <w14:textFill>
            <w14:solidFill>
              <w14:schemeClr w14:val="tx1"/>
            </w14:solidFill>
          </w14:textFill>
        </w:rPr>
        <w:t>）</w:t>
      </w:r>
      <w:r>
        <w:rPr>
          <w:rFonts w:eastAsiaTheme="majorEastAsia"/>
          <w:color w:val="000000" w:themeColor="text1"/>
          <w14:textFill>
            <w14:solidFill>
              <w14:schemeClr w14:val="tx1"/>
            </w14:solidFill>
          </w14:textFill>
        </w:rPr>
        <w:t>：</w:t>
      </w:r>
      <w:r>
        <w:rPr>
          <w:rFonts w:hint="eastAsia" w:eastAsiaTheme="majorEastAsia"/>
          <w:color w:val="000000" w:themeColor="text1"/>
          <w:lang w:val="en-US" w:eastAsia="zh-CN"/>
          <w14:textFill>
            <w14:solidFill>
              <w14:schemeClr w14:val="tx1"/>
            </w14:solidFill>
          </w14:textFill>
        </w:rPr>
        <w:t>负责</w:t>
      </w:r>
      <w:r>
        <w:rPr>
          <w:rFonts w:eastAsiaTheme="majorEastAsia"/>
          <w:color w:val="000000" w:themeColor="text1"/>
          <w14:textFill>
            <w14:solidFill>
              <w14:schemeClr w14:val="tx1"/>
            </w14:solidFill>
          </w14:textFill>
        </w:rPr>
        <w:t>开展相关调研、验证工作</w:t>
      </w:r>
      <w:r>
        <w:rPr>
          <w:rFonts w:hint="eastAsia" w:eastAsiaTheme="majorEastAsia"/>
          <w:color w:val="000000" w:themeColor="text1"/>
          <w:lang w:eastAsia="zh-CN"/>
          <w14:textFill>
            <w14:solidFill>
              <w14:schemeClr w14:val="tx1"/>
            </w14:solidFill>
          </w14:textFill>
        </w:rPr>
        <w:t>，</w:t>
      </w:r>
      <w:r>
        <w:rPr>
          <w:rFonts w:eastAsiaTheme="majorEastAsia"/>
          <w:color w:val="000000" w:themeColor="text1"/>
          <w14:textFill>
            <w14:solidFill>
              <w14:schemeClr w14:val="tx1"/>
            </w14:solidFill>
          </w14:textFill>
        </w:rPr>
        <w:t>标准相关文献搜集</w:t>
      </w:r>
      <w:r>
        <w:rPr>
          <w:rFonts w:hint="eastAsia" w:eastAsiaTheme="majorEastAsia"/>
          <w:color w:val="000000" w:themeColor="text1"/>
          <w:lang w:eastAsia="zh-CN"/>
          <w14:textFill>
            <w14:solidFill>
              <w14:schemeClr w14:val="tx1"/>
            </w14:solidFill>
          </w14:textFill>
        </w:rPr>
        <w:t>，</w:t>
      </w:r>
      <w:r>
        <w:rPr>
          <w:rFonts w:eastAsiaTheme="majorEastAsia"/>
          <w:color w:val="000000" w:themeColor="text1"/>
          <w14:textFill>
            <w14:solidFill>
              <w14:schemeClr w14:val="tx1"/>
            </w14:solidFill>
          </w14:textFill>
        </w:rPr>
        <w:t>标准正文的编写及修改，</w:t>
      </w:r>
      <w:r>
        <w:rPr>
          <w:rFonts w:hint="eastAsia" w:eastAsiaTheme="majorEastAsia"/>
          <w:color w:val="000000" w:themeColor="text1"/>
          <w:lang w:val="en-US" w:eastAsia="zh-CN"/>
          <w14:textFill>
            <w14:solidFill>
              <w14:schemeClr w14:val="tx1"/>
            </w14:solidFill>
          </w14:textFill>
        </w:rPr>
        <w:t>为</w:t>
      </w:r>
      <w:r>
        <w:rPr>
          <w:rFonts w:eastAsiaTheme="majorEastAsia"/>
          <w:color w:val="000000" w:themeColor="text1"/>
          <w14:textFill>
            <w14:solidFill>
              <w14:schemeClr w14:val="tx1"/>
            </w14:solidFill>
          </w14:textFill>
        </w:rPr>
        <w:t>本标准</w:t>
      </w:r>
      <w:r>
        <w:rPr>
          <w:rFonts w:hint="eastAsia" w:eastAsiaTheme="majorEastAsia"/>
          <w:color w:val="000000" w:themeColor="text1"/>
          <w:lang w:val="en-US" w:eastAsia="zh-CN"/>
          <w14:textFill>
            <w14:solidFill>
              <w14:schemeClr w14:val="tx1"/>
            </w14:solidFill>
          </w14:textFill>
        </w:rPr>
        <w:t>修订提供技术支持</w:t>
      </w:r>
      <w:r>
        <w:rPr>
          <w:rFonts w:eastAsiaTheme="minorEastAsia"/>
          <w:color w:val="000000" w:themeColor="text1"/>
          <w:szCs w:val="28"/>
          <w14:textFill>
            <w14:solidFill>
              <w14:schemeClr w14:val="tx1"/>
            </w14:solidFill>
          </w14:textFill>
        </w:rPr>
        <w:t>。</w:t>
      </w:r>
    </w:p>
    <w:p w14:paraId="4F01F26A">
      <w:pPr>
        <w:pStyle w:val="29"/>
        <w:numPr>
          <w:ilvl w:val="1"/>
          <w:numId w:val="6"/>
        </w:numPr>
        <w:spacing w:before="163" w:beforeLines="50" w:after="163" w:afterLines="50" w:line="500" w:lineRule="exact"/>
        <w:ind w:left="0"/>
        <w:rPr>
          <w:color w:val="000000" w:themeColor="text1"/>
          <w:sz w:val="24"/>
          <w:szCs w:val="24"/>
          <w14:textFill>
            <w14:solidFill>
              <w14:schemeClr w14:val="tx1"/>
            </w14:solidFill>
          </w14:textFill>
        </w:rPr>
      </w:pPr>
      <w:bookmarkStart w:id="4" w:name="_Toc44068193"/>
      <w:bookmarkStart w:id="5" w:name="_Toc8376"/>
      <w:r>
        <w:rPr>
          <w:color w:val="000000" w:themeColor="text1"/>
          <w:sz w:val="24"/>
          <w:szCs w:val="24"/>
          <w14:textFill>
            <w14:solidFill>
              <w14:schemeClr w14:val="tx1"/>
            </w14:solidFill>
          </w14:textFill>
        </w:rPr>
        <w:t>标准编制背景及必要性</w:t>
      </w:r>
      <w:bookmarkEnd w:id="4"/>
      <w:bookmarkEnd w:id="5"/>
    </w:p>
    <w:p w14:paraId="18BDB376">
      <w:pPr>
        <w:pStyle w:val="42"/>
        <w:spacing w:line="480" w:lineRule="auto"/>
        <w:ind w:firstLine="0" w:firstLineChars="0"/>
        <w:rPr>
          <w:rFonts w:ascii="Times New Roman" w:eastAsia="黑体"/>
          <w:color w:val="000000" w:themeColor="text1"/>
          <w:sz w:val="24"/>
          <w:szCs w:val="24"/>
          <w14:textFill>
            <w14:solidFill>
              <w14:schemeClr w14:val="tx1"/>
            </w14:solidFill>
          </w14:textFill>
        </w:rPr>
      </w:pPr>
      <w:r>
        <w:rPr>
          <w:rFonts w:ascii="Times New Roman" w:eastAsia="黑体"/>
          <w:color w:val="000000" w:themeColor="text1"/>
          <w:sz w:val="24"/>
          <w:szCs w:val="24"/>
          <w14:textFill>
            <w14:solidFill>
              <w14:schemeClr w14:val="tx1"/>
            </w14:solidFill>
          </w14:textFill>
        </w:rPr>
        <w:t>1.3.1 编制背景</w:t>
      </w:r>
    </w:p>
    <w:p w14:paraId="2EE1FE86">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随着木材防腐行业的不断发展和技术进步，现行的《防腐木材及木材防腐剂取样方法》（SB/T 10558—2009）已无法完全满足当前行业发展的需求。为了更好地适应行业变化，提高标准的科学性、实用性和前瞻性，确保防腐木材及木材防腐剂的质量检测更加准确、可靠，特对原标准进行修订。</w:t>
      </w:r>
    </w:p>
    <w:p w14:paraId="409A7F5F">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近年来，木材防腐行业在应用技术、检测手段以及环保要求等方面都发生了显著变化。一方面，新型木材防腐剂不断涌现，其化学成分、物理性质和作用机理与传统防腐剂存在差异，这就需要对取样方法进行相应的调整以适应新的检测需求；另一方面，随着环保意识的增强，对防腐木材及防腐剂的环境影响评估也日益严格，取样方法需要更加精准地反映产品在实际使用中的环境释放情况。</w:t>
      </w:r>
    </w:p>
    <w:p w14:paraId="327E2505">
      <w:pPr>
        <w:pStyle w:val="42"/>
        <w:spacing w:line="480" w:lineRule="auto"/>
        <w:ind w:firstLine="0" w:firstLineChars="0"/>
        <w:rPr>
          <w:rFonts w:ascii="Times New Roman" w:eastAsia="黑体"/>
          <w:color w:val="000000" w:themeColor="text1"/>
          <w:sz w:val="24"/>
          <w:szCs w:val="24"/>
          <w14:textFill>
            <w14:solidFill>
              <w14:schemeClr w14:val="tx1"/>
            </w14:solidFill>
          </w14:textFill>
        </w:rPr>
      </w:pPr>
      <w:r>
        <w:rPr>
          <w:rFonts w:hint="eastAsia" w:ascii="Times New Roman" w:eastAsia="黑体"/>
          <w:color w:val="000000" w:themeColor="text1"/>
          <w:sz w:val="24"/>
          <w:szCs w:val="24"/>
          <w14:textFill>
            <w14:solidFill>
              <w14:schemeClr w14:val="tx1"/>
            </w14:solidFill>
          </w14:textFill>
        </w:rPr>
        <w:t>1.3.2</w:t>
      </w:r>
      <w:r>
        <w:rPr>
          <w:rFonts w:ascii="Times New Roman" w:eastAsia="黑体"/>
          <w:color w:val="000000" w:themeColor="text1"/>
          <w:sz w:val="24"/>
          <w:szCs w:val="24"/>
          <w14:textFill>
            <w14:solidFill>
              <w14:schemeClr w14:val="tx1"/>
            </w14:solidFill>
          </w14:textFill>
        </w:rPr>
        <w:t>主要工作过程</w:t>
      </w:r>
    </w:p>
    <w:p w14:paraId="58D97192">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为贯彻中央经济工作会议和全国工业和信息化工作会议精神，落实《关于促进制造业产品和服务质量提升的实施意见》要求，推进工业质量品牌建设工作，支持制造业高质量发展以《中共中央 国务院关于开展质量提升行动的指导意见》，</w:t>
      </w:r>
      <w:r>
        <w:rPr>
          <w:rFonts w:eastAsiaTheme="minorEastAsia"/>
          <w:color w:val="000000" w:themeColor="text1"/>
          <w:szCs w:val="28"/>
          <w14:textFill>
            <w14:solidFill>
              <w14:schemeClr w14:val="tx1"/>
            </w14:solidFill>
          </w14:textFill>
        </w:rPr>
        <w:t>开展本标准的制定工作</w:t>
      </w:r>
      <w:r>
        <w:rPr>
          <w:rFonts w:hint="eastAsia" w:eastAsiaTheme="minorEastAsia"/>
          <w:color w:val="000000" w:themeColor="text1"/>
          <w:szCs w:val="28"/>
          <w14:textFill>
            <w14:solidFill>
              <w14:schemeClr w14:val="tx1"/>
            </w14:solidFill>
          </w14:textFill>
        </w:rPr>
        <w:t>。</w:t>
      </w:r>
    </w:p>
    <w:p w14:paraId="23C48217">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标准起草组组织行业专家和企业代表对现行标准的实施情况进行广泛调研，收集各方意见和建议，并对国内外相关标准进行对比分析，为标准修订提供参考依据。该标准给出了防腐木材（包括锯材、圆木、木制品）和木材防腐剂的</w:t>
      </w:r>
      <w:r>
        <w:rPr>
          <w:rFonts w:hint="eastAsia" w:eastAsiaTheme="minorEastAsia"/>
          <w:color w:val="000000" w:themeColor="text1"/>
          <w:szCs w:val="28"/>
          <w:lang w:val="en-US" w:eastAsia="zh-CN"/>
          <w14:textFill>
            <w14:solidFill>
              <w14:schemeClr w14:val="tx1"/>
            </w14:solidFill>
          </w14:textFill>
        </w:rPr>
        <w:t>样本</w:t>
      </w:r>
      <w:r>
        <w:rPr>
          <w:rFonts w:hint="eastAsia" w:eastAsiaTheme="minorEastAsia"/>
          <w:color w:val="000000" w:themeColor="text1"/>
          <w:szCs w:val="28"/>
          <w14:textFill>
            <w14:solidFill>
              <w14:schemeClr w14:val="tx1"/>
            </w14:solidFill>
          </w14:textFill>
        </w:rPr>
        <w:t>的选择、取样、取样前的准备、取样方法、取样记录的要求以及安全注意事项。具体编制过程如下：</w:t>
      </w:r>
    </w:p>
    <w:p w14:paraId="6A3FB6B1">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202</w:t>
      </w:r>
      <w:r>
        <w:rPr>
          <w:rFonts w:hint="eastAsia" w:eastAsiaTheme="minorEastAsia"/>
          <w:color w:val="000000" w:themeColor="text1"/>
          <w:szCs w:val="28"/>
          <w:lang w:val="en-US" w:eastAsia="zh-CN"/>
          <w14:textFill>
            <w14:solidFill>
              <w14:schemeClr w14:val="tx1"/>
            </w14:solidFill>
          </w14:textFill>
        </w:rPr>
        <w:t>4</w:t>
      </w:r>
      <w:r>
        <w:rPr>
          <w:rFonts w:hint="eastAsia" w:eastAsiaTheme="minorEastAsia"/>
          <w:color w:val="000000" w:themeColor="text1"/>
          <w:szCs w:val="28"/>
          <w14:textFill>
            <w14:solidFill>
              <w14:schemeClr w14:val="tx1"/>
            </w14:solidFill>
          </w14:textFill>
        </w:rPr>
        <w:t>年</w:t>
      </w:r>
      <w:r>
        <w:rPr>
          <w:rFonts w:hint="eastAsia" w:eastAsiaTheme="minorEastAsia"/>
          <w:color w:val="000000" w:themeColor="text1"/>
          <w:szCs w:val="28"/>
          <w:lang w:val="en-US" w:eastAsia="zh-CN"/>
          <w14:textFill>
            <w14:solidFill>
              <w14:schemeClr w14:val="tx1"/>
            </w14:solidFill>
          </w14:textFill>
        </w:rPr>
        <w:t>3</w:t>
      </w:r>
      <w:r>
        <w:rPr>
          <w:rFonts w:hint="eastAsia" w:eastAsiaTheme="minorEastAsia"/>
          <w:color w:val="000000" w:themeColor="text1"/>
          <w:szCs w:val="28"/>
          <w14:textFill>
            <w14:solidFill>
              <w14:schemeClr w14:val="tx1"/>
            </w14:solidFill>
          </w14:textFill>
        </w:rPr>
        <w:t>月，工业和信息化部下达</w:t>
      </w:r>
      <w:r>
        <w:rPr>
          <w:rFonts w:eastAsiaTheme="minorEastAsia"/>
          <w:color w:val="000000" w:themeColor="text1"/>
          <w:szCs w:val="28"/>
          <w14:textFill>
            <w14:solidFill>
              <w14:schemeClr w14:val="tx1"/>
            </w14:solidFill>
          </w14:textFill>
        </w:rPr>
        <w:t>了</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防腐木材及木材防腐剂取样方法</w:t>
      </w:r>
      <w:r>
        <w:rPr>
          <w:color w:val="000000" w:themeColor="text1"/>
          <w14:textFill>
            <w14:solidFill>
              <w14:schemeClr w14:val="tx1"/>
            </w14:solidFill>
          </w14:textFill>
        </w:rPr>
        <w:t>》</w:t>
      </w:r>
      <w:r>
        <w:rPr>
          <w:rFonts w:hint="eastAsia" w:eastAsiaTheme="minorEastAsia"/>
          <w:color w:val="000000" w:themeColor="text1"/>
          <w:szCs w:val="28"/>
          <w14:textFill>
            <w14:solidFill>
              <w14:schemeClr w14:val="tx1"/>
            </w14:solidFill>
          </w14:textFill>
        </w:rPr>
        <w:t>行业</w:t>
      </w:r>
      <w:r>
        <w:rPr>
          <w:rFonts w:eastAsiaTheme="minorEastAsia"/>
          <w:color w:val="000000" w:themeColor="text1"/>
          <w:szCs w:val="28"/>
          <w14:textFill>
            <w14:solidFill>
              <w14:schemeClr w14:val="tx1"/>
            </w14:solidFill>
          </w14:textFill>
        </w:rPr>
        <w:t>标准</w:t>
      </w:r>
      <w:r>
        <w:rPr>
          <w:rFonts w:hint="eastAsia"/>
          <w:color w:val="000000" w:themeColor="text1"/>
          <w14:textFill>
            <w14:solidFill>
              <w14:schemeClr w14:val="tx1"/>
            </w14:solidFill>
          </w14:textFill>
        </w:rPr>
        <w:t>项目计划</w:t>
      </w:r>
      <w:r>
        <w:rPr>
          <w:color w:val="000000" w:themeColor="text1"/>
          <w14:textFill>
            <w14:solidFill>
              <w14:schemeClr w14:val="tx1"/>
            </w14:solidFill>
          </w14:textFill>
        </w:rPr>
        <w:t>，计划编号</w:t>
      </w:r>
      <w:r>
        <w:rPr>
          <w:rFonts w:hint="eastAsia"/>
          <w:color w:val="000000" w:themeColor="text1"/>
          <w14:textFill>
            <w14:solidFill>
              <w14:schemeClr w14:val="tx1"/>
            </w14:solidFill>
          </w14:textFill>
        </w:rPr>
        <w:t>为2024-0408T-JC</w:t>
      </w:r>
      <w:r>
        <w:rPr>
          <w:rFonts w:hint="eastAsia" w:eastAsiaTheme="minorEastAsia"/>
          <w:color w:val="000000" w:themeColor="text1"/>
          <w:szCs w:val="28"/>
          <w14:textFill>
            <w14:solidFill>
              <w14:schemeClr w14:val="tx1"/>
            </w14:solidFill>
          </w14:textFill>
        </w:rPr>
        <w:t>。</w:t>
      </w:r>
    </w:p>
    <w:p w14:paraId="0940FDA5">
      <w:pPr>
        <w:spacing w:line="360" w:lineRule="auto"/>
        <w:ind w:firstLine="480" w:firstLineChars="20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14:textFill>
            <w14:solidFill>
              <w14:schemeClr w14:val="tx1"/>
            </w14:solidFill>
          </w14:textFill>
        </w:rPr>
        <w:t>202</w:t>
      </w:r>
      <w:r>
        <w:rPr>
          <w:rFonts w:hint="eastAsia" w:eastAsiaTheme="minorEastAsia"/>
          <w:color w:val="000000" w:themeColor="text1"/>
          <w:szCs w:val="28"/>
          <w:lang w:val="en-US" w:eastAsia="zh-CN"/>
          <w14:textFill>
            <w14:solidFill>
              <w14:schemeClr w14:val="tx1"/>
            </w14:solidFill>
          </w14:textFill>
        </w:rPr>
        <w:t>4</w:t>
      </w:r>
      <w:r>
        <w:rPr>
          <w:rFonts w:hint="eastAsia" w:eastAsiaTheme="minorEastAsia"/>
          <w:color w:val="000000" w:themeColor="text1"/>
          <w:szCs w:val="28"/>
          <w14:textFill>
            <w14:solidFill>
              <w14:schemeClr w14:val="tx1"/>
            </w14:solidFill>
          </w14:textFill>
        </w:rPr>
        <w:t>年</w:t>
      </w:r>
      <w:r>
        <w:rPr>
          <w:rFonts w:hint="eastAsia" w:eastAsiaTheme="minorEastAsia"/>
          <w:color w:val="000000" w:themeColor="text1"/>
          <w:szCs w:val="28"/>
          <w:lang w:val="en-US" w:eastAsia="zh-CN"/>
          <w14:textFill>
            <w14:solidFill>
              <w14:schemeClr w14:val="tx1"/>
            </w14:solidFill>
          </w14:textFill>
        </w:rPr>
        <w:t>4</w:t>
      </w:r>
      <w:r>
        <w:rPr>
          <w:rFonts w:hint="eastAsia" w:eastAsiaTheme="minorEastAsia"/>
          <w:color w:val="000000" w:themeColor="text1"/>
          <w:szCs w:val="28"/>
          <w14:textFill>
            <w14:solidFill>
              <w14:schemeClr w14:val="tx1"/>
            </w14:solidFill>
          </w14:textFill>
        </w:rPr>
        <w:t>月-</w:t>
      </w:r>
      <w:r>
        <w:rPr>
          <w:rFonts w:hint="eastAsia" w:eastAsiaTheme="minorEastAsia"/>
          <w:color w:val="000000" w:themeColor="text1"/>
          <w:szCs w:val="28"/>
          <w:lang w:val="en-US" w:eastAsia="zh-CN"/>
          <w14:textFill>
            <w14:solidFill>
              <w14:schemeClr w14:val="tx1"/>
            </w14:solidFill>
          </w14:textFill>
        </w:rPr>
        <w:t>2025年7</w:t>
      </w:r>
      <w:r>
        <w:rPr>
          <w:rFonts w:hint="eastAsia" w:eastAsiaTheme="minorEastAsia"/>
          <w:color w:val="000000" w:themeColor="text1"/>
          <w:szCs w:val="28"/>
          <w14:textFill>
            <w14:solidFill>
              <w14:schemeClr w14:val="tx1"/>
            </w14:solidFill>
          </w14:textFill>
        </w:rPr>
        <w:t>月</w:t>
      </w:r>
      <w:r>
        <w:rPr>
          <w:rFonts w:eastAsiaTheme="minorEastAsia"/>
          <w:color w:val="000000" w:themeColor="text1"/>
          <w:szCs w:val="28"/>
          <w14:textFill>
            <w14:solidFill>
              <w14:schemeClr w14:val="tx1"/>
            </w14:solidFill>
          </w14:textFill>
        </w:rPr>
        <w:t>，</w:t>
      </w:r>
      <w:r>
        <w:rPr>
          <w:rFonts w:hint="eastAsia" w:eastAsiaTheme="minorEastAsia"/>
          <w:color w:val="000000" w:themeColor="text1"/>
          <w:szCs w:val="28"/>
          <w14:textFill>
            <w14:solidFill>
              <w14:schemeClr w14:val="tx1"/>
            </w14:solidFill>
          </w14:textFill>
        </w:rPr>
        <w:t>编制组</w:t>
      </w:r>
      <w:r>
        <w:rPr>
          <w:rFonts w:eastAsiaTheme="minorEastAsia"/>
          <w:color w:val="000000" w:themeColor="text1"/>
          <w:szCs w:val="28"/>
          <w14:textFill>
            <w14:solidFill>
              <w14:schemeClr w14:val="tx1"/>
            </w14:solidFill>
          </w14:textFill>
        </w:rPr>
        <w:t>对</w:t>
      </w:r>
      <w:r>
        <w:rPr>
          <w:rFonts w:hint="eastAsia" w:eastAsiaTheme="minorEastAsia"/>
          <w:color w:val="000000" w:themeColor="text1"/>
          <w:szCs w:val="28"/>
          <w14:textFill>
            <w14:solidFill>
              <w14:schemeClr w14:val="tx1"/>
            </w14:solidFill>
          </w14:textFill>
        </w:rPr>
        <w:t>建材</w:t>
      </w:r>
      <w:r>
        <w:rPr>
          <w:rFonts w:eastAsiaTheme="minorEastAsia"/>
          <w:color w:val="000000" w:themeColor="text1"/>
          <w:szCs w:val="28"/>
          <w14:textFill>
            <w14:solidFill>
              <w14:schemeClr w14:val="tx1"/>
            </w14:solidFill>
          </w14:textFill>
        </w:rPr>
        <w:t>企业进行</w:t>
      </w:r>
      <w:r>
        <w:rPr>
          <w:rFonts w:hint="eastAsia" w:eastAsiaTheme="minorEastAsia"/>
          <w:color w:val="000000" w:themeColor="text1"/>
          <w:szCs w:val="28"/>
          <w14:textFill>
            <w14:solidFill>
              <w14:schemeClr w14:val="tx1"/>
            </w14:solidFill>
          </w14:textFill>
        </w:rPr>
        <w:t>实地调研</w:t>
      </w:r>
      <w:r>
        <w:rPr>
          <w:rFonts w:eastAsiaTheme="minorEastAsia"/>
          <w:color w:val="000000" w:themeColor="text1"/>
          <w:szCs w:val="28"/>
          <w14:textFill>
            <w14:solidFill>
              <w14:schemeClr w14:val="tx1"/>
            </w14:solidFill>
          </w14:textFill>
        </w:rPr>
        <w:t>，</w:t>
      </w:r>
      <w:r>
        <w:rPr>
          <w:rFonts w:hint="eastAsia" w:eastAsiaTheme="minorEastAsia"/>
          <w:color w:val="000000" w:themeColor="text1"/>
          <w:szCs w:val="28"/>
          <w14:textFill>
            <w14:solidFill>
              <w14:schemeClr w14:val="tx1"/>
            </w14:solidFill>
          </w14:textFill>
        </w:rPr>
        <w:t>搜集并分析了相关信息，编制完成标准草案。</w:t>
      </w:r>
    </w:p>
    <w:p w14:paraId="5B66CDAB">
      <w:pPr>
        <w:spacing w:line="360" w:lineRule="auto"/>
        <w:ind w:firstLine="480" w:firstLineChars="200"/>
        <w:jc w:val="both"/>
        <w:rPr>
          <w:rFonts w:hint="default"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2025年8月，</w:t>
      </w:r>
      <w:r>
        <w:rPr>
          <w:rFonts w:hint="default" w:eastAsiaTheme="minorEastAsia"/>
          <w:color w:val="000000" w:themeColor="text1"/>
          <w:szCs w:val="28"/>
          <w14:textFill>
            <w14:solidFill>
              <w14:schemeClr w14:val="tx1"/>
            </w14:solidFill>
          </w14:textFill>
        </w:rPr>
        <w:t>编制组组织以线上视频会形式组织召开标准工作研讨会，编制组向与会专家和企业介绍了本标准的起草背景、过程和主要内容。会后</w:t>
      </w:r>
      <w:r>
        <w:rPr>
          <w:rFonts w:hint="eastAsia" w:eastAsiaTheme="minorEastAsia"/>
          <w:color w:val="000000" w:themeColor="text1"/>
          <w:szCs w:val="28"/>
          <w:lang w:eastAsia="zh-CN"/>
          <w14:textFill>
            <w14:solidFill>
              <w14:schemeClr w14:val="tx1"/>
            </w14:solidFill>
          </w14:textFill>
        </w:rPr>
        <w:t>，根</w:t>
      </w:r>
      <w:r>
        <w:rPr>
          <w:rFonts w:hint="default" w:eastAsiaTheme="minorEastAsia"/>
          <w:color w:val="000000" w:themeColor="text1"/>
          <w:szCs w:val="28"/>
          <w14:textFill>
            <w14:solidFill>
              <w14:schemeClr w14:val="tx1"/>
            </w14:solidFill>
          </w14:textFill>
        </w:rPr>
        <w:t>据与会代表的意见，标准编制组会后结合</w:t>
      </w:r>
      <w:r>
        <w:rPr>
          <w:rFonts w:hint="eastAsia" w:eastAsiaTheme="minorEastAsia"/>
          <w:color w:val="000000" w:themeColor="text1"/>
          <w:szCs w:val="28"/>
          <w:lang w:val="en-US" w:eastAsia="zh-CN"/>
          <w14:textFill>
            <w14:solidFill>
              <w14:schemeClr w14:val="tx1"/>
            </w14:solidFill>
          </w14:textFill>
        </w:rPr>
        <w:t>行业内新产品、新工艺对标准实施的影响，</w:t>
      </w:r>
      <w:r>
        <w:rPr>
          <w:rFonts w:hint="default" w:eastAsiaTheme="minorEastAsia"/>
          <w:color w:val="000000" w:themeColor="text1"/>
          <w:szCs w:val="28"/>
          <w14:textFill>
            <w14:solidFill>
              <w14:schemeClr w14:val="tx1"/>
            </w14:solidFill>
          </w14:textFill>
        </w:rPr>
        <w:t>对标准草案中有关条文进行了修改和完善，完成了建材行业标准《</w:t>
      </w:r>
      <w:r>
        <w:rPr>
          <w:rFonts w:hint="eastAsia"/>
          <w:color w:val="000000" w:themeColor="text1"/>
          <w14:textFill>
            <w14:solidFill>
              <w14:schemeClr w14:val="tx1"/>
            </w14:solidFill>
          </w14:textFill>
        </w:rPr>
        <w:t>防腐木材及木材防腐剂取样方法</w:t>
      </w:r>
      <w:r>
        <w:rPr>
          <w:rFonts w:hint="default" w:eastAsiaTheme="minorEastAsia"/>
          <w:color w:val="000000" w:themeColor="text1"/>
          <w:szCs w:val="28"/>
          <w14:textFill>
            <w14:solidFill>
              <w14:schemeClr w14:val="tx1"/>
            </w14:solidFill>
          </w14:textFill>
        </w:rPr>
        <w:t>》征求意见稿，并向有关单位定向征求意见。</w:t>
      </w:r>
    </w:p>
    <w:p w14:paraId="2D191A60">
      <w:pPr>
        <w:pStyle w:val="28"/>
        <w:spacing w:before="326" w:beforeLines="100" w:after="326" w:afterLines="100"/>
        <w:rPr>
          <w:rFonts w:ascii="Times New Roman"/>
          <w:color w:val="000000" w:themeColor="text1"/>
          <w:sz w:val="28"/>
          <w:szCs w:val="28"/>
          <w14:textFill>
            <w14:solidFill>
              <w14:schemeClr w14:val="tx1"/>
            </w14:solidFill>
          </w14:textFill>
        </w:rPr>
      </w:pPr>
      <w:bookmarkStart w:id="6" w:name="_Toc20950"/>
      <w:r>
        <w:rPr>
          <w:rFonts w:ascii="Times New Roman"/>
          <w:color w:val="000000" w:themeColor="text1"/>
          <w:sz w:val="28"/>
          <w:szCs w:val="28"/>
          <w14:textFill>
            <w14:solidFill>
              <w14:schemeClr w14:val="tx1"/>
            </w14:solidFill>
          </w14:textFill>
        </w:rPr>
        <w:t>2 标准</w:t>
      </w:r>
      <w:r>
        <w:rPr>
          <w:rFonts w:hint="eastAsia" w:ascii="Times New Roman"/>
          <w:color w:val="000000" w:themeColor="text1"/>
          <w:sz w:val="28"/>
          <w:szCs w:val="28"/>
          <w:lang w:val="en-US" w:eastAsia="zh-CN"/>
          <w14:textFill>
            <w14:solidFill>
              <w14:schemeClr w14:val="tx1"/>
            </w14:solidFill>
          </w14:textFill>
        </w:rPr>
        <w:t>修订</w:t>
      </w:r>
      <w:r>
        <w:rPr>
          <w:rFonts w:ascii="Times New Roman"/>
          <w:color w:val="000000" w:themeColor="text1"/>
          <w:sz w:val="28"/>
          <w:szCs w:val="28"/>
          <w14:textFill>
            <w14:solidFill>
              <w14:schemeClr w14:val="tx1"/>
            </w14:solidFill>
          </w14:textFill>
        </w:rPr>
        <w:t>的原则和主要内容</w:t>
      </w:r>
      <w:bookmarkEnd w:id="6"/>
    </w:p>
    <w:p w14:paraId="3715AB58">
      <w:pPr>
        <w:pStyle w:val="29"/>
        <w:spacing w:before="163" w:beforeLines="50" w:after="163" w:afterLines="50" w:line="500" w:lineRule="exact"/>
        <w:rPr>
          <w:color w:val="000000" w:themeColor="text1"/>
          <w:sz w:val="24"/>
          <w:szCs w:val="24"/>
          <w14:textFill>
            <w14:solidFill>
              <w14:schemeClr w14:val="tx1"/>
            </w14:solidFill>
          </w14:textFill>
        </w:rPr>
      </w:pPr>
      <w:bookmarkStart w:id="7" w:name="_Toc12672"/>
      <w:r>
        <w:rPr>
          <w:color w:val="000000" w:themeColor="text1"/>
          <w:sz w:val="24"/>
          <w:szCs w:val="24"/>
          <w14:textFill>
            <w14:solidFill>
              <w14:schemeClr w14:val="tx1"/>
            </w14:solidFill>
          </w14:textFill>
        </w:rPr>
        <w:t>2.1 标准</w:t>
      </w:r>
      <w:r>
        <w:rPr>
          <w:rFonts w:hint="eastAsia"/>
          <w:color w:val="000000" w:themeColor="text1"/>
          <w:sz w:val="24"/>
          <w:szCs w:val="24"/>
          <w:lang w:val="en-US" w:eastAsia="zh-CN"/>
          <w14:textFill>
            <w14:solidFill>
              <w14:schemeClr w14:val="tx1"/>
            </w14:solidFill>
          </w14:textFill>
        </w:rPr>
        <w:t>修订</w:t>
      </w:r>
      <w:r>
        <w:rPr>
          <w:color w:val="000000" w:themeColor="text1"/>
          <w:sz w:val="24"/>
          <w:szCs w:val="24"/>
          <w14:textFill>
            <w14:solidFill>
              <w14:schemeClr w14:val="tx1"/>
            </w14:solidFill>
          </w14:textFill>
        </w:rPr>
        <w:t>的原则</w:t>
      </w:r>
      <w:bookmarkEnd w:id="7"/>
    </w:p>
    <w:p w14:paraId="3CD490FD">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w:t>
      </w:r>
      <w:r>
        <w:rPr>
          <w:color w:val="000000" w:themeColor="text1"/>
          <w14:textFill>
            <w14:solidFill>
              <w14:schemeClr w14:val="tx1"/>
            </w14:solidFill>
          </w14:textFill>
        </w:rPr>
        <w:t>标准</w:t>
      </w:r>
      <w:r>
        <w:rPr>
          <w:rFonts w:hint="eastAsia"/>
          <w:color w:val="000000" w:themeColor="text1"/>
          <w14:textFill>
            <w14:solidFill>
              <w14:schemeClr w14:val="tx1"/>
            </w14:solidFill>
          </w14:textFill>
        </w:rPr>
        <w:t>按GB</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T</w:t>
      </w:r>
      <w:r>
        <w:rPr>
          <w:color w:val="000000" w:themeColor="text1"/>
          <w14:textFill>
            <w14:solidFill>
              <w14:schemeClr w14:val="tx1"/>
            </w14:solidFill>
          </w14:textFill>
        </w:rPr>
        <w:t xml:space="preserve"> 1.1-2020</w:t>
      </w:r>
      <w:r>
        <w:rPr>
          <w:rFonts w:hint="eastAsia"/>
          <w:color w:val="000000" w:themeColor="text1"/>
          <w14:textFill>
            <w14:solidFill>
              <w14:schemeClr w14:val="tx1"/>
            </w14:solidFill>
          </w14:textFill>
        </w:rPr>
        <w:t>《标准化工作导则 第1部分：标准化文件的结构和起草规则》编制</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符合国家现行法律、法规政策文件要求。</w:t>
      </w:r>
    </w:p>
    <w:p w14:paraId="26D04F2F">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修订</w:t>
      </w:r>
      <w:r>
        <w:rPr>
          <w:rFonts w:hint="eastAsia"/>
          <w:color w:val="000000" w:themeColor="text1"/>
          <w14:textFill>
            <w14:solidFill>
              <w14:schemeClr w14:val="tx1"/>
            </w14:solidFill>
          </w14:textFill>
        </w:rPr>
        <w:t>过程中遵循以下原则：</w:t>
      </w:r>
    </w:p>
    <w:p w14:paraId="6DA51594">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科学性与先进性：结合当前木材防腐领域的最新研究成果和技术发展，对标准内容进行更新和完善，确保标准的技术水平处于行业领先地位。</w:t>
      </w:r>
    </w:p>
    <w:p w14:paraId="73B99D46">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实用性与可操作性：充分考虑行业实际应用需求，确保标准中的各项条款清晰明确、易于理解和执行，便于企业和检测机构在实际操作中应用。</w:t>
      </w:r>
    </w:p>
    <w:p w14:paraId="45C82AB5">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协调性与一致性：与相关国家标准和行业标准保持协调一致，避免出现冲突或重复，确保整个标准体系的完整性和统一性。</w:t>
      </w:r>
    </w:p>
    <w:p w14:paraId="2300387B">
      <w:pPr>
        <w:pStyle w:val="29"/>
        <w:spacing w:before="163" w:beforeLines="50" w:after="163" w:afterLines="50" w:line="500" w:lineRule="exact"/>
        <w:rPr>
          <w:rFonts w:hint="eastAsia"/>
          <w:color w:val="000000" w:themeColor="text1"/>
          <w:sz w:val="24"/>
          <w:szCs w:val="24"/>
          <w14:textFill>
            <w14:solidFill>
              <w14:schemeClr w14:val="tx1"/>
            </w14:solidFill>
          </w14:textFill>
        </w:rPr>
      </w:pPr>
      <w:bookmarkStart w:id="8" w:name="_Toc21477"/>
      <w:r>
        <w:rPr>
          <w:rFonts w:hint="eastAsia"/>
          <w:color w:val="000000" w:themeColor="text1"/>
          <w:sz w:val="24"/>
          <w:szCs w:val="24"/>
          <w14:textFill>
            <w14:solidFill>
              <w14:schemeClr w14:val="tx1"/>
            </w14:solidFill>
          </w14:textFill>
        </w:rPr>
        <w:t>2.2 标准</w:t>
      </w:r>
      <w:r>
        <w:rPr>
          <w:rFonts w:hint="eastAsia"/>
          <w:color w:val="000000" w:themeColor="text1"/>
          <w:sz w:val="24"/>
          <w:szCs w:val="24"/>
          <w:lang w:val="en-US" w:eastAsia="zh-CN"/>
          <w14:textFill>
            <w14:solidFill>
              <w14:schemeClr w14:val="tx1"/>
            </w14:solidFill>
          </w14:textFill>
        </w:rPr>
        <w:t>修订</w:t>
      </w:r>
      <w:r>
        <w:rPr>
          <w:rFonts w:hint="eastAsia"/>
          <w:color w:val="000000" w:themeColor="text1"/>
          <w:sz w:val="24"/>
          <w:szCs w:val="24"/>
          <w14:textFill>
            <w14:solidFill>
              <w14:schemeClr w14:val="tx1"/>
            </w14:solidFill>
          </w14:textFill>
        </w:rPr>
        <w:t>的主要内容</w:t>
      </w:r>
      <w:bookmarkEnd w:id="8"/>
    </w:p>
    <w:p w14:paraId="42DE8AFD">
      <w:pPr>
        <w:outlineLvl w:val="3"/>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（一）删除内容</w:t>
      </w:r>
    </w:p>
    <w:p w14:paraId="7468CC39">
      <w:pPr>
        <w:spacing w:line="360" w:lineRule="auto"/>
        <w:ind w:firstLine="48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删除了原标准中附录2“防腐木材含水率测定方法”。该方法在实际应用中存在一定的局限性，且行业内已有更先进、更准确的测定方法可供选择，因此不再保留。</w:t>
      </w:r>
    </w:p>
    <w:p w14:paraId="3457F884">
      <w:pPr>
        <w:outlineLvl w:val="3"/>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（二）新增内容</w:t>
      </w:r>
    </w:p>
    <w:p w14:paraId="320AEC4C">
      <w:pPr>
        <w:spacing w:line="360" w:lineRule="auto"/>
        <w:ind w:firstLine="48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增加条款7.2：在对木材防腐剂取样时，应重点关注取样点的温度和压力情况，根据实际情况确定取样方法，并采取相应的安全防护措施</w:t>
      </w:r>
      <w:r>
        <w:rPr>
          <w:rFonts w:hint="eastAsia" w:eastAsiaTheme="minorEastAsia"/>
          <w:color w:val="000000" w:themeColor="text1"/>
          <w:szCs w:val="28"/>
          <w:lang w:eastAsia="zh-CN"/>
          <w14:textFill>
            <w14:solidFill>
              <w14:schemeClr w14:val="tx1"/>
            </w14:solidFill>
          </w14:textFill>
        </w:rPr>
        <w:t>，</w:t>
      </w:r>
      <w:r>
        <w:rPr>
          <w:rFonts w:hint="eastAsia" w:eastAsiaTheme="minorEastAsia"/>
          <w:color w:val="000000" w:themeColor="text1"/>
          <w:szCs w:val="28"/>
          <w14:textFill>
            <w14:solidFill>
              <w14:schemeClr w14:val="tx1"/>
            </w14:solidFill>
          </w14:textFill>
        </w:rPr>
        <w:t>选择合适的取样容器、工具以及防护用品。这一新增条款有助于提高取样过程的安全性和准确性，确保取样人员的人身安全和样品的代表性。</w:t>
      </w:r>
    </w:p>
    <w:p w14:paraId="401778AA">
      <w:pPr>
        <w:outlineLvl w:val="3"/>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（三）技术更新</w:t>
      </w:r>
    </w:p>
    <w:p w14:paraId="6BE789A6">
      <w:pPr>
        <w:spacing w:line="360" w:lineRule="auto"/>
        <w:ind w:firstLine="48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规范性引用文件更新：将原标准中引用的“GB/T 2828.1—2003 计数抽样检验程序 第1部分：按接收质量限（AQL）检索的逐批检验抽样计划”更新为“GB/T 2828.1—2012 计数抽样程序 第一部分：按接收质量限（AQL）检索的逐批检验抽样计划”。这一更新反映了计数抽样程序的最新技术发展，使标准与现行的抽样检验方法保持一致。</w:t>
      </w:r>
    </w:p>
    <w:p w14:paraId="3D077CA6">
      <w:pPr>
        <w:pStyle w:val="28"/>
        <w:spacing w:before="326" w:beforeLines="100" w:after="326" w:afterLines="100"/>
        <w:rPr>
          <w:rFonts w:ascii="Times New Roman"/>
          <w:color w:val="000000" w:themeColor="text1"/>
          <w:sz w:val="28"/>
          <w:szCs w:val="28"/>
          <w14:textFill>
            <w14:solidFill>
              <w14:schemeClr w14:val="tx1"/>
            </w14:solidFill>
          </w14:textFill>
        </w:rPr>
      </w:pPr>
      <w:bookmarkStart w:id="9" w:name="_Toc6456"/>
      <w:r>
        <w:rPr>
          <w:rFonts w:hint="eastAsia" w:ascii="Times New Roman"/>
          <w:color w:val="000000" w:themeColor="text1"/>
          <w:sz w:val="28"/>
          <w:szCs w:val="28"/>
          <w:lang w:val="en-US" w:eastAsia="zh-CN"/>
          <w14:textFill>
            <w14:solidFill>
              <w14:schemeClr w14:val="tx1"/>
            </w14:solidFill>
          </w14:textFill>
        </w:rPr>
        <w:t>3</w:t>
      </w:r>
      <w:r>
        <w:rPr>
          <w:rFonts w:ascii="Times New Roman"/>
          <w:color w:val="000000" w:themeColor="text1"/>
          <w:sz w:val="28"/>
          <w:szCs w:val="28"/>
          <w14:textFill>
            <w14:solidFill>
              <w14:schemeClr w14:val="tx1"/>
            </w14:solidFill>
          </w14:textFill>
        </w:rPr>
        <w:t xml:space="preserve"> 标准中涉及专利</w:t>
      </w:r>
      <w:r>
        <w:rPr>
          <w:rFonts w:hint="eastAsia" w:ascii="Times New Roman"/>
          <w:color w:val="000000" w:themeColor="text1"/>
          <w:sz w:val="28"/>
          <w:szCs w:val="28"/>
          <w14:textFill>
            <w14:solidFill>
              <w14:schemeClr w14:val="tx1"/>
            </w14:solidFill>
          </w14:textFill>
        </w:rPr>
        <w:t>、知识产权</w:t>
      </w:r>
      <w:r>
        <w:rPr>
          <w:rFonts w:ascii="Times New Roman"/>
          <w:color w:val="000000" w:themeColor="text1"/>
          <w:sz w:val="28"/>
          <w:szCs w:val="28"/>
          <w14:textFill>
            <w14:solidFill>
              <w14:schemeClr w14:val="tx1"/>
            </w14:solidFill>
          </w14:textFill>
        </w:rPr>
        <w:t>情况说明</w:t>
      </w:r>
      <w:bookmarkEnd w:id="9"/>
    </w:p>
    <w:p w14:paraId="6345C7CA">
      <w:pPr>
        <w:spacing w:line="360" w:lineRule="auto"/>
        <w:ind w:firstLine="480"/>
        <w:jc w:val="both"/>
        <w:rPr>
          <w:rFonts w:eastAsiaTheme="minorEastAsia"/>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经检索，本标准所列技术内容没有涉及专利和知识产权的情况。</w:t>
      </w:r>
    </w:p>
    <w:p w14:paraId="04CAECBA">
      <w:pPr>
        <w:pStyle w:val="28"/>
        <w:spacing w:before="326" w:beforeLines="100" w:after="326" w:afterLines="100"/>
        <w:rPr>
          <w:rFonts w:ascii="Times New Roman"/>
          <w:color w:val="000000" w:themeColor="text1"/>
          <w:sz w:val="28"/>
          <w:szCs w:val="28"/>
          <w14:textFill>
            <w14:solidFill>
              <w14:schemeClr w14:val="tx1"/>
            </w14:solidFill>
          </w14:textFill>
        </w:rPr>
      </w:pPr>
      <w:bookmarkStart w:id="10" w:name="_Toc12712"/>
      <w:r>
        <w:rPr>
          <w:rFonts w:hint="eastAsia" w:ascii="Times New Roman"/>
          <w:color w:val="000000" w:themeColor="text1"/>
          <w:sz w:val="28"/>
          <w:szCs w:val="28"/>
          <w:lang w:val="en-US" w:eastAsia="zh-CN"/>
          <w14:textFill>
            <w14:solidFill>
              <w14:schemeClr w14:val="tx1"/>
            </w14:solidFill>
          </w14:textFill>
        </w:rPr>
        <w:t>4</w:t>
      </w:r>
      <w:r>
        <w:rPr>
          <w:rFonts w:ascii="Times New Roman"/>
          <w:color w:val="000000" w:themeColor="text1"/>
          <w:sz w:val="28"/>
          <w:szCs w:val="28"/>
          <w14:textFill>
            <w14:solidFill>
              <w14:schemeClr w14:val="tx1"/>
            </w14:solidFill>
          </w14:textFill>
        </w:rPr>
        <w:t xml:space="preserve"> </w:t>
      </w:r>
      <w:r>
        <w:rPr>
          <w:rFonts w:hint="eastAsia" w:ascii="Times New Roman"/>
          <w:color w:val="000000" w:themeColor="text1"/>
          <w:sz w:val="28"/>
          <w:szCs w:val="28"/>
          <w14:textFill>
            <w14:solidFill>
              <w14:schemeClr w14:val="tx1"/>
            </w14:solidFill>
          </w14:textFill>
        </w:rPr>
        <w:t>产业化情况、推广应用论证和预期达到的经济效果等情况；</w:t>
      </w:r>
      <w:bookmarkEnd w:id="10"/>
    </w:p>
    <w:p w14:paraId="2EC03C24">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本标准的修订将对防腐木材及木材防腐剂行业产生积极影响：</w:t>
      </w:r>
    </w:p>
    <w:p w14:paraId="42B03687">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提高产品质量：通过更加科学、规范的取样方法，能够更准确地检测防腐木材的透入率、载药量以及防腐剂的质量，从而为产品质量控制提供有力保障。</w:t>
      </w:r>
    </w:p>
    <w:p w14:paraId="31B61DBC">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保障人身安全：新增的安全防护措施条款将有效降低取样过程中的安全风险，保护取样人员的人身健康和安全。</w:t>
      </w:r>
    </w:p>
    <w:p w14:paraId="5E0E9AF6">
      <w:pPr>
        <w:spacing w:line="360" w:lineRule="auto"/>
        <w:ind w:firstLine="495"/>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促进行业发展：标准的修订将推动行业技术进步，提升行业整体水平，增强我国防腐木材及木材防腐剂产品在国际市场上的竞争力。</w:t>
      </w:r>
    </w:p>
    <w:p w14:paraId="4D675133">
      <w:pPr>
        <w:pStyle w:val="28"/>
        <w:spacing w:before="326" w:beforeLines="100" w:after="326" w:afterLines="100"/>
        <w:rPr>
          <w:rFonts w:ascii="Times New Roman"/>
          <w:color w:val="000000" w:themeColor="text1"/>
          <w:sz w:val="28"/>
          <w:szCs w:val="28"/>
          <w14:textFill>
            <w14:solidFill>
              <w14:schemeClr w14:val="tx1"/>
            </w14:solidFill>
          </w14:textFill>
        </w:rPr>
      </w:pPr>
      <w:bookmarkStart w:id="11" w:name="_Toc9552"/>
      <w:r>
        <w:rPr>
          <w:rFonts w:hint="eastAsia" w:ascii="Times New Roman"/>
          <w:color w:val="000000" w:themeColor="text1"/>
          <w:sz w:val="28"/>
          <w:szCs w:val="28"/>
          <w:lang w:val="en-US" w:eastAsia="zh-CN"/>
          <w14:textFill>
            <w14:solidFill>
              <w14:schemeClr w14:val="tx1"/>
            </w14:solidFill>
          </w14:textFill>
        </w:rPr>
        <w:t>5</w:t>
      </w:r>
      <w:r>
        <w:rPr>
          <w:rFonts w:ascii="Times New Roman"/>
          <w:color w:val="000000" w:themeColor="text1"/>
          <w:sz w:val="28"/>
          <w:szCs w:val="28"/>
          <w14:textFill>
            <w14:solidFill>
              <w14:schemeClr w14:val="tx1"/>
            </w14:solidFill>
          </w14:textFill>
        </w:rPr>
        <w:t xml:space="preserve"> 采用国际标准</w:t>
      </w:r>
      <w:r>
        <w:rPr>
          <w:rFonts w:hint="eastAsia" w:ascii="Times New Roman"/>
          <w:color w:val="000000" w:themeColor="text1"/>
          <w:sz w:val="28"/>
          <w:szCs w:val="28"/>
          <w14:textFill>
            <w14:solidFill>
              <w14:schemeClr w14:val="tx1"/>
            </w14:solidFill>
          </w14:textFill>
        </w:rPr>
        <w:t>，与国际、国外同类标准水平的对比情况，国内外关键指标对比分析或与测试的国外样品、样机的相关数据对比情况；</w:t>
      </w:r>
      <w:bookmarkEnd w:id="11"/>
    </w:p>
    <w:p w14:paraId="0FA2F543">
      <w:pPr>
        <w:ind w:firstLine="480" w:firstLineChars="200"/>
        <w:jc w:val="both"/>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在标准修订过程中对比了相关国际标准，未发现同类标准</w:t>
      </w:r>
      <w:r>
        <w:rPr>
          <w:rFonts w:hint="eastAsia"/>
          <w:color w:val="000000" w:themeColor="text1"/>
          <w14:textFill>
            <w14:solidFill>
              <w14:schemeClr w14:val="tx1"/>
            </w14:solidFill>
          </w14:textFill>
        </w:rPr>
        <w:t>。主要</w:t>
      </w:r>
      <w:r>
        <w:rPr>
          <w:rFonts w:hint="eastAsia"/>
          <w:color w:val="000000" w:themeColor="text1"/>
          <w:lang w:val="en-US" w:eastAsia="zh-CN"/>
          <w14:textFill>
            <w14:solidFill>
              <w14:schemeClr w14:val="tx1"/>
            </w14:solidFill>
          </w14:textFill>
        </w:rPr>
        <w:t>检索对比</w:t>
      </w:r>
      <w:r>
        <w:rPr>
          <w:rFonts w:hint="eastAsia"/>
          <w:color w:val="000000" w:themeColor="text1"/>
          <w14:textFill>
            <w14:solidFill>
              <w14:schemeClr w14:val="tx1"/>
            </w14:solidFill>
          </w14:textFill>
        </w:rPr>
        <w:t>标准如下：</w:t>
      </w:r>
    </w:p>
    <w:p w14:paraId="473D1345">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1.ISO 28781:2018《木材防腐——防腐剂的取样和检验方法》</w:t>
      </w:r>
    </w:p>
    <w:p w14:paraId="60FA7C23">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2.ISO 20439:2018《木材防腐——防腐木材的性能要求和检验方法》</w:t>
      </w:r>
    </w:p>
    <w:p w14:paraId="5781A7B8">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3.ISO 12578:2019《木材防腐——防腐处理木材的载药量测定》</w:t>
      </w:r>
    </w:p>
    <w:p w14:paraId="266161DB">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4.EN 351-1:2016《木材防腐——防腐剂的分类和要求 第1部分：防腐剂》</w:t>
      </w:r>
    </w:p>
    <w:p w14:paraId="45AACA1E">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5.ASTM D1413-2018《木材防腐剂的取样和检验方法》</w:t>
      </w:r>
    </w:p>
    <w:p w14:paraId="79A7B5BF">
      <w:pPr>
        <w:pStyle w:val="28"/>
        <w:spacing w:before="326" w:beforeLines="100" w:after="326" w:afterLines="100"/>
        <w:rPr>
          <w:rFonts w:ascii="Times New Roman"/>
          <w:color w:val="000000" w:themeColor="text1"/>
          <w:sz w:val="28"/>
          <w:szCs w:val="28"/>
          <w14:textFill>
            <w14:solidFill>
              <w14:schemeClr w14:val="tx1"/>
            </w14:solidFill>
          </w14:textFill>
        </w:rPr>
      </w:pPr>
      <w:bookmarkStart w:id="12" w:name="_Toc28895"/>
      <w:r>
        <w:rPr>
          <w:rFonts w:hint="eastAsia" w:ascii="Times New Roman"/>
          <w:color w:val="000000" w:themeColor="text1"/>
          <w:sz w:val="28"/>
          <w:szCs w:val="28"/>
          <w:lang w:val="en-US" w:eastAsia="zh-CN"/>
          <w14:textFill>
            <w14:solidFill>
              <w14:schemeClr w14:val="tx1"/>
            </w14:solidFill>
          </w14:textFill>
        </w:rPr>
        <w:t>6</w:t>
      </w:r>
      <w:r>
        <w:rPr>
          <w:rFonts w:ascii="Times New Roman"/>
          <w:color w:val="000000" w:themeColor="text1"/>
          <w:sz w:val="28"/>
          <w:szCs w:val="28"/>
          <w14:textFill>
            <w14:solidFill>
              <w14:schemeClr w14:val="tx1"/>
            </w14:solidFill>
          </w14:textFill>
        </w:rPr>
        <w:t xml:space="preserve"> 与现行相关法律、法规、规章及相关标准</w:t>
      </w:r>
      <w:r>
        <w:rPr>
          <w:rFonts w:hint="eastAsia" w:ascii="Times New Roman"/>
          <w:color w:val="000000" w:themeColor="text1"/>
          <w:sz w:val="28"/>
          <w:szCs w:val="28"/>
          <w14:textFill>
            <w14:solidFill>
              <w14:schemeClr w14:val="tx1"/>
            </w14:solidFill>
          </w14:textFill>
        </w:rPr>
        <w:t>，特别</w:t>
      </w:r>
      <w:bookmarkStart w:id="18" w:name="_GoBack"/>
      <w:bookmarkEnd w:id="18"/>
      <w:r>
        <w:rPr>
          <w:rFonts w:hint="eastAsia" w:ascii="Times New Roman"/>
          <w:color w:val="000000" w:themeColor="text1"/>
          <w:sz w:val="28"/>
          <w:szCs w:val="28"/>
          <w14:textFill>
            <w14:solidFill>
              <w14:schemeClr w14:val="tx1"/>
            </w14:solidFill>
          </w14:textFill>
        </w:rPr>
        <w:t>是强制性标准</w:t>
      </w:r>
      <w:r>
        <w:rPr>
          <w:rFonts w:ascii="Times New Roman"/>
          <w:color w:val="000000" w:themeColor="text1"/>
          <w:sz w:val="28"/>
          <w:szCs w:val="28"/>
          <w14:textFill>
            <w14:solidFill>
              <w14:schemeClr w14:val="tx1"/>
            </w14:solidFill>
          </w14:textFill>
        </w:rPr>
        <w:t>的协调</w:t>
      </w:r>
      <w:r>
        <w:rPr>
          <w:rFonts w:hint="eastAsia" w:ascii="Times New Roman"/>
          <w:color w:val="000000" w:themeColor="text1"/>
          <w:sz w:val="28"/>
          <w:szCs w:val="28"/>
          <w14:textFill>
            <w14:solidFill>
              <w14:schemeClr w14:val="tx1"/>
            </w14:solidFill>
          </w14:textFill>
        </w:rPr>
        <w:t>性</w:t>
      </w:r>
      <w:bookmarkEnd w:id="12"/>
    </w:p>
    <w:p w14:paraId="473490C2">
      <w:pPr>
        <w:spacing w:line="360" w:lineRule="auto"/>
        <w:ind w:firstLine="495"/>
        <w:jc w:val="both"/>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目前</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我国</w:t>
      </w:r>
      <w:r>
        <w:rPr>
          <w:rFonts w:hint="eastAsia"/>
          <w:color w:val="000000" w:themeColor="text1"/>
          <w:highlight w:val="none"/>
          <w:lang w:val="en-US" w:eastAsia="zh-CN"/>
          <w14:textFill>
            <w14:solidFill>
              <w14:schemeClr w14:val="tx1"/>
            </w14:solidFill>
          </w14:textFill>
        </w:rPr>
        <w:t>标准</w:t>
      </w:r>
      <w:r>
        <w:rPr>
          <w:rFonts w:hint="eastAsia"/>
          <w:color w:val="000000" w:themeColor="text1"/>
          <w:highlight w:val="none"/>
          <w:lang w:val="en-US" w:eastAsia="zh-CN"/>
          <w14:textFill>
            <w14:solidFill>
              <w14:schemeClr w14:val="tx1"/>
            </w14:solidFill>
          </w14:textFill>
        </w:rPr>
        <w:t>防腐木材</w:t>
      </w:r>
      <w:r>
        <w:rPr>
          <w:color w:val="000000" w:themeColor="text1"/>
          <w:highlight w:val="none"/>
          <w14:textFill>
            <w14:solidFill>
              <w14:schemeClr w14:val="tx1"/>
            </w14:solidFill>
          </w14:textFill>
        </w:rPr>
        <w:t>提出了相关要求</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但未对</w:t>
      </w:r>
      <w:r>
        <w:rPr>
          <w:rFonts w:hint="eastAsia"/>
          <w:color w:val="000000" w:themeColor="text1"/>
          <w:highlight w:val="none"/>
          <w:lang w:val="en-US" w:eastAsia="zh-CN"/>
          <w14:textFill>
            <w14:solidFill>
              <w14:schemeClr w14:val="tx1"/>
            </w14:solidFill>
          </w14:textFill>
        </w:rPr>
        <w:t>取样方法</w:t>
      </w:r>
      <w:r>
        <w:rPr>
          <w:rFonts w:hint="eastAsia"/>
          <w:color w:val="000000" w:themeColor="text1"/>
          <w:highlight w:val="none"/>
          <w:lang w:val="en-US" w:eastAsia="zh-CN"/>
          <w14:textFill>
            <w14:solidFill>
              <w14:schemeClr w14:val="tx1"/>
            </w14:solidFill>
          </w14:textFill>
        </w:rPr>
        <w:t>提出</w:t>
      </w:r>
      <w:r>
        <w:rPr>
          <w:rFonts w:hint="eastAsia"/>
          <w:color w:val="000000" w:themeColor="text1"/>
          <w:highlight w:val="none"/>
          <w:lang w:val="en-US" w:eastAsia="zh-CN"/>
          <w14:textFill>
            <w14:solidFill>
              <w14:schemeClr w14:val="tx1"/>
            </w14:solidFill>
          </w14:textFill>
        </w:rPr>
        <w:t>新的要求。</w:t>
      </w:r>
      <w:r>
        <w:rPr>
          <w:rFonts w:hint="eastAsia"/>
          <w:color w:val="000000" w:themeColor="text1"/>
          <w:highlight w:val="none"/>
          <w14:textFill>
            <w14:solidFill>
              <w14:schemeClr w14:val="tx1"/>
            </w14:solidFill>
          </w14:textFill>
        </w:rPr>
        <w:t>主要</w:t>
      </w:r>
      <w:r>
        <w:rPr>
          <w:rFonts w:hint="eastAsia"/>
          <w:color w:val="000000" w:themeColor="text1"/>
          <w:highlight w:val="none"/>
          <w:lang w:val="en-US" w:eastAsia="zh-CN"/>
          <w14:textFill>
            <w14:solidFill>
              <w14:schemeClr w14:val="tx1"/>
            </w14:solidFill>
          </w14:textFill>
        </w:rPr>
        <w:t>检索对比</w:t>
      </w:r>
      <w:r>
        <w:rPr>
          <w:rFonts w:hint="eastAsia"/>
          <w:color w:val="000000" w:themeColor="text1"/>
          <w:highlight w:val="none"/>
          <w14:textFill>
            <w14:solidFill>
              <w14:schemeClr w14:val="tx1"/>
            </w14:solidFill>
          </w14:textFill>
        </w:rPr>
        <w:t>标准如下：</w:t>
      </w:r>
    </w:p>
    <w:p w14:paraId="24887C94">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1.GB/T 2828.1-2012《计数抽样程序 第1部分：按接收质量限（AQL）检索的逐批检验抽样计划》</w:t>
      </w:r>
    </w:p>
    <w:p w14:paraId="365420DF">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2.GB/T 18261-2013《木材防腐剂》</w:t>
      </w:r>
    </w:p>
    <w:p w14:paraId="3C3B7026">
      <w:pPr>
        <w:spacing w:line="360" w:lineRule="auto"/>
        <w:ind w:firstLine="480" w:firstLineChars="200"/>
        <w:jc w:val="both"/>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3.GB/T 18262-2013《防腐木材》</w:t>
      </w:r>
    </w:p>
    <w:p w14:paraId="41ED8E2C">
      <w:pPr>
        <w:spacing w:line="360" w:lineRule="auto"/>
        <w:ind w:firstLine="480" w:firstLineChars="200"/>
        <w:jc w:val="both"/>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.JC/T 2399-2016《木材防腐处理工艺技术规范》</w:t>
      </w:r>
    </w:p>
    <w:p w14:paraId="06109F48">
      <w:pPr>
        <w:pStyle w:val="28"/>
        <w:spacing w:before="326" w:beforeLines="100" w:after="326" w:afterLines="100"/>
        <w:rPr>
          <w:rFonts w:ascii="Times New Roman"/>
          <w:color w:val="000000" w:themeColor="text1"/>
          <w:sz w:val="28"/>
          <w:szCs w:val="28"/>
          <w14:textFill>
            <w14:solidFill>
              <w14:schemeClr w14:val="tx1"/>
            </w14:solidFill>
          </w14:textFill>
        </w:rPr>
      </w:pPr>
      <w:bookmarkStart w:id="13" w:name="_Toc16975"/>
      <w:r>
        <w:rPr>
          <w:rFonts w:hint="eastAsia" w:ascii="Times New Roman"/>
          <w:color w:val="000000" w:themeColor="text1"/>
          <w:sz w:val="28"/>
          <w:szCs w:val="28"/>
          <w:lang w:val="en-US" w:eastAsia="zh-CN"/>
          <w14:textFill>
            <w14:solidFill>
              <w14:schemeClr w14:val="tx1"/>
            </w14:solidFill>
          </w14:textFill>
        </w:rPr>
        <w:t>7</w:t>
      </w:r>
      <w:r>
        <w:rPr>
          <w:rFonts w:ascii="Times New Roman"/>
          <w:color w:val="000000" w:themeColor="text1"/>
          <w:sz w:val="28"/>
          <w:szCs w:val="28"/>
          <w14:textFill>
            <w14:solidFill>
              <w14:schemeClr w14:val="tx1"/>
            </w14:solidFill>
          </w14:textFill>
        </w:rPr>
        <w:t xml:space="preserve"> 重大意见分歧的处理依据和结果</w:t>
      </w:r>
      <w:bookmarkEnd w:id="13"/>
    </w:p>
    <w:p w14:paraId="46BB3505">
      <w:pPr>
        <w:spacing w:line="360" w:lineRule="auto"/>
        <w:ind w:firstLine="480" w:firstLineChars="200"/>
        <w:jc w:val="both"/>
        <w:rPr>
          <w:rFonts w:eastAsiaTheme="minorEastAsia"/>
          <w:b/>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在标准的编制过程中，</w:t>
      </w:r>
      <w:r>
        <w:rPr>
          <w:rFonts w:hint="eastAsia" w:eastAsiaTheme="minorEastAsia"/>
          <w:color w:val="000000" w:themeColor="text1"/>
          <w:szCs w:val="28"/>
          <w14:textFill>
            <w14:solidFill>
              <w14:schemeClr w14:val="tx1"/>
            </w14:solidFill>
          </w14:textFill>
        </w:rPr>
        <w:t>标准编制组在学习相关法律法规的基础上，结合建材行业实际情况，开展了本标准的制定工作，并在研究过程中征求了</w:t>
      </w:r>
      <w:r>
        <w:rPr>
          <w:rFonts w:eastAsiaTheme="minorEastAsia"/>
          <w:color w:val="000000" w:themeColor="text1"/>
          <w:szCs w:val="28"/>
          <w14:textFill>
            <w14:solidFill>
              <w14:schemeClr w14:val="tx1"/>
            </w14:solidFill>
          </w14:textFill>
        </w:rPr>
        <w:t>行业相关单位和业内专家的意见和建议，主要针对标准</w:t>
      </w:r>
      <w:r>
        <w:rPr>
          <w:rFonts w:hint="eastAsia" w:eastAsiaTheme="minorEastAsia"/>
          <w:color w:val="000000" w:themeColor="text1"/>
          <w:szCs w:val="28"/>
          <w14:textFill>
            <w14:solidFill>
              <w14:schemeClr w14:val="tx1"/>
            </w14:solidFill>
          </w14:textFill>
        </w:rPr>
        <w:t>中对产品使用说明书的内容和适用</w:t>
      </w:r>
      <w:r>
        <w:rPr>
          <w:rFonts w:eastAsiaTheme="minorEastAsia"/>
          <w:color w:val="000000" w:themeColor="text1"/>
          <w:szCs w:val="28"/>
          <w14:textFill>
            <w14:solidFill>
              <w14:schemeClr w14:val="tx1"/>
            </w14:solidFill>
          </w14:textFill>
        </w:rPr>
        <w:t>范围做了深入研讨，各家单位和行业专家结合自身的工作经验和</w:t>
      </w:r>
      <w:r>
        <w:rPr>
          <w:rFonts w:hint="eastAsia" w:eastAsiaTheme="minorEastAsia"/>
          <w:color w:val="000000" w:themeColor="text1"/>
          <w:szCs w:val="28"/>
          <w14:textFill>
            <w14:solidFill>
              <w14:schemeClr w14:val="tx1"/>
            </w14:solidFill>
          </w14:textFill>
        </w:rPr>
        <w:t>实际调研</w:t>
      </w:r>
      <w:r>
        <w:rPr>
          <w:rFonts w:eastAsiaTheme="minorEastAsia"/>
          <w:color w:val="000000" w:themeColor="text1"/>
          <w:szCs w:val="28"/>
          <w14:textFill>
            <w14:solidFill>
              <w14:schemeClr w14:val="tx1"/>
            </w14:solidFill>
          </w14:textFill>
        </w:rPr>
        <w:t>作为</w:t>
      </w:r>
      <w:r>
        <w:rPr>
          <w:rFonts w:hint="eastAsia" w:eastAsiaTheme="minorEastAsia"/>
          <w:color w:val="000000" w:themeColor="text1"/>
          <w:szCs w:val="28"/>
          <w14:textFill>
            <w14:solidFill>
              <w14:schemeClr w14:val="tx1"/>
            </w14:solidFill>
          </w14:textFill>
        </w:rPr>
        <w:t>标准内容</w:t>
      </w:r>
      <w:r>
        <w:rPr>
          <w:rFonts w:eastAsiaTheme="minorEastAsia"/>
          <w:color w:val="000000" w:themeColor="text1"/>
          <w:szCs w:val="28"/>
          <w14:textFill>
            <w14:solidFill>
              <w14:schemeClr w14:val="tx1"/>
            </w14:solidFill>
          </w14:textFill>
        </w:rPr>
        <w:t>支撑的有力依据，最终对标准要求达成一致。编制过程中对标准的主要内容并未产生重大意见分歧。</w:t>
      </w:r>
    </w:p>
    <w:p w14:paraId="5A54F6B1">
      <w:pPr>
        <w:pStyle w:val="28"/>
        <w:spacing w:before="326" w:beforeLines="100" w:after="326" w:afterLines="100"/>
        <w:rPr>
          <w:rFonts w:ascii="Times New Roman"/>
          <w:color w:val="000000" w:themeColor="text1"/>
          <w:sz w:val="28"/>
          <w:szCs w:val="28"/>
          <w14:textFill>
            <w14:solidFill>
              <w14:schemeClr w14:val="tx1"/>
            </w14:solidFill>
          </w14:textFill>
        </w:rPr>
      </w:pPr>
      <w:bookmarkStart w:id="14" w:name="_Toc31382"/>
      <w:r>
        <w:rPr>
          <w:rFonts w:hint="eastAsia" w:ascii="Times New Roman"/>
          <w:color w:val="000000" w:themeColor="text1"/>
          <w:sz w:val="28"/>
          <w:szCs w:val="28"/>
          <w:lang w:val="en-US" w:eastAsia="zh-CN"/>
          <w14:textFill>
            <w14:solidFill>
              <w14:schemeClr w14:val="tx1"/>
            </w14:solidFill>
          </w14:textFill>
        </w:rPr>
        <w:t>8</w:t>
      </w:r>
      <w:r>
        <w:rPr>
          <w:rFonts w:ascii="Times New Roman"/>
          <w:color w:val="000000" w:themeColor="text1"/>
          <w:sz w:val="28"/>
          <w:szCs w:val="28"/>
          <w14:textFill>
            <w14:solidFill>
              <w14:schemeClr w14:val="tx1"/>
            </w14:solidFill>
          </w14:textFill>
        </w:rPr>
        <w:t xml:space="preserve"> </w:t>
      </w:r>
      <w:r>
        <w:rPr>
          <w:rFonts w:hint="eastAsia" w:ascii="Times New Roman"/>
          <w:color w:val="000000" w:themeColor="text1"/>
          <w:sz w:val="28"/>
          <w:szCs w:val="28"/>
          <w14:textFill>
            <w14:solidFill>
              <w14:schemeClr w14:val="tx1"/>
            </w14:solidFill>
          </w14:textFill>
        </w:rPr>
        <w:t>标准性质的建议说明</w:t>
      </w:r>
      <w:bookmarkEnd w:id="14"/>
    </w:p>
    <w:p w14:paraId="1C409677">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建议本标准为推荐性，发布后立即实施。</w:t>
      </w:r>
    </w:p>
    <w:p w14:paraId="60A57F55">
      <w:pPr>
        <w:pStyle w:val="28"/>
        <w:spacing w:before="326" w:beforeLines="100" w:after="326" w:afterLines="100"/>
        <w:rPr>
          <w:rFonts w:ascii="Times New Roman"/>
          <w:color w:val="000000" w:themeColor="text1"/>
          <w:sz w:val="28"/>
          <w:szCs w:val="28"/>
          <w14:textFill>
            <w14:solidFill>
              <w14:schemeClr w14:val="tx1"/>
            </w14:solidFill>
          </w14:textFill>
        </w:rPr>
      </w:pPr>
      <w:bookmarkStart w:id="15" w:name="_Toc12587"/>
      <w:r>
        <w:rPr>
          <w:rFonts w:hint="eastAsia" w:ascii="Times New Roman"/>
          <w:color w:val="000000" w:themeColor="text1"/>
          <w:sz w:val="28"/>
          <w:szCs w:val="28"/>
          <w:lang w:val="en-US" w:eastAsia="zh-CN"/>
          <w14:textFill>
            <w14:solidFill>
              <w14:schemeClr w14:val="tx1"/>
            </w14:solidFill>
          </w14:textFill>
        </w:rPr>
        <w:t>9</w:t>
      </w:r>
      <w:r>
        <w:rPr>
          <w:rFonts w:ascii="Times New Roman"/>
          <w:color w:val="000000" w:themeColor="text1"/>
          <w:sz w:val="28"/>
          <w:szCs w:val="28"/>
          <w14:textFill>
            <w14:solidFill>
              <w14:schemeClr w14:val="tx1"/>
            </w14:solidFill>
          </w14:textFill>
        </w:rPr>
        <w:t xml:space="preserve"> 贯彻标准的措施建议</w:t>
      </w:r>
      <w:bookmarkEnd w:id="15"/>
    </w:p>
    <w:p w14:paraId="165F407C">
      <w:pPr>
        <w:spacing w:line="360" w:lineRule="auto"/>
        <w:ind w:firstLine="480"/>
        <w:jc w:val="both"/>
        <w:rPr>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建议在本标准</w:t>
      </w:r>
      <w:r>
        <w:rPr>
          <w:rFonts w:hint="eastAsia" w:eastAsiaTheme="minorEastAsia"/>
          <w:color w:val="000000" w:themeColor="text1"/>
          <w:szCs w:val="28"/>
          <w:lang w:val="en-US" w:eastAsia="zh-CN"/>
          <w14:textFill>
            <w14:solidFill>
              <w14:schemeClr w14:val="tx1"/>
            </w14:solidFill>
          </w14:textFill>
        </w:rPr>
        <w:t>修订</w:t>
      </w:r>
      <w:r>
        <w:rPr>
          <w:rFonts w:eastAsiaTheme="minorEastAsia"/>
          <w:color w:val="000000" w:themeColor="text1"/>
          <w:szCs w:val="28"/>
          <w14:textFill>
            <w14:solidFill>
              <w14:schemeClr w14:val="tx1"/>
            </w14:solidFill>
          </w14:textFill>
        </w:rPr>
        <w:t>后，各</w:t>
      </w:r>
      <w:r>
        <w:rPr>
          <w:rFonts w:hint="eastAsia" w:eastAsiaTheme="minorEastAsia"/>
          <w:color w:val="000000" w:themeColor="text1"/>
          <w:szCs w:val="28"/>
          <w:lang w:val="en-US" w:eastAsia="zh-CN"/>
          <w14:textFill>
            <w14:solidFill>
              <w14:schemeClr w14:val="tx1"/>
            </w14:solidFill>
          </w14:textFill>
        </w:rPr>
        <w:t>防腐木材及防腐剂</w:t>
      </w:r>
      <w:r>
        <w:rPr>
          <w:rFonts w:hint="eastAsia" w:eastAsiaTheme="minorEastAsia"/>
          <w:color w:val="000000" w:themeColor="text1"/>
          <w:szCs w:val="28"/>
          <w14:textFill>
            <w14:solidFill>
              <w14:schemeClr w14:val="tx1"/>
            </w14:solidFill>
          </w14:textFill>
        </w:rPr>
        <w:t>生产企业</w:t>
      </w:r>
      <w:r>
        <w:rPr>
          <w:rFonts w:hint="eastAsia" w:eastAsiaTheme="minorEastAsia"/>
          <w:color w:val="000000" w:themeColor="text1"/>
          <w:szCs w:val="28"/>
          <w:lang w:eastAsia="zh-CN"/>
          <w14:textFill>
            <w14:solidFill>
              <w14:schemeClr w14:val="tx1"/>
            </w14:solidFill>
          </w14:textFill>
        </w:rPr>
        <w:t>、</w:t>
      </w:r>
      <w:r>
        <w:rPr>
          <w:rFonts w:eastAsiaTheme="minorEastAsia"/>
          <w:color w:val="000000" w:themeColor="text1"/>
          <w:szCs w:val="28"/>
          <w14:textFill>
            <w14:solidFill>
              <w14:schemeClr w14:val="tx1"/>
            </w14:solidFill>
          </w14:textFill>
        </w:rPr>
        <w:t>科研单位、检测机构以及地方管理部门能够依据本标准中的相关规定</w:t>
      </w:r>
      <w:r>
        <w:rPr>
          <w:rFonts w:hint="eastAsia" w:eastAsiaTheme="minorEastAsia"/>
          <w:color w:val="000000" w:themeColor="text1"/>
          <w:szCs w:val="28"/>
          <w14:textFill>
            <w14:solidFill>
              <w14:schemeClr w14:val="tx1"/>
            </w14:solidFill>
          </w14:textFill>
        </w:rPr>
        <w:t>对</w:t>
      </w:r>
      <w:r>
        <w:rPr>
          <w:rFonts w:hint="eastAsia" w:eastAsiaTheme="minorEastAsia"/>
          <w:color w:val="000000" w:themeColor="text1"/>
          <w:szCs w:val="28"/>
          <w:lang w:val="en-US" w:eastAsia="zh-CN"/>
          <w14:textFill>
            <w14:solidFill>
              <w14:schemeClr w14:val="tx1"/>
            </w14:solidFill>
          </w14:textFill>
        </w:rPr>
        <w:t>防腐木材及防腐剂</w:t>
      </w:r>
      <w:r>
        <w:rPr>
          <w:rFonts w:hint="eastAsia" w:eastAsiaTheme="minorEastAsia"/>
          <w:color w:val="000000" w:themeColor="text1"/>
          <w:szCs w:val="28"/>
          <w14:textFill>
            <w14:solidFill>
              <w14:schemeClr w14:val="tx1"/>
            </w14:solidFill>
          </w14:textFill>
        </w:rPr>
        <w:t>产品</w:t>
      </w:r>
      <w:r>
        <w:rPr>
          <w:rFonts w:hint="eastAsia" w:eastAsiaTheme="minorEastAsia"/>
          <w:color w:val="000000" w:themeColor="text1"/>
          <w:szCs w:val="28"/>
          <w:lang w:val="en-US" w:eastAsia="zh-CN"/>
          <w14:textFill>
            <w14:solidFill>
              <w14:schemeClr w14:val="tx1"/>
            </w14:solidFill>
          </w14:textFill>
        </w:rPr>
        <w:t>进行取样</w:t>
      </w:r>
      <w:r>
        <w:rPr>
          <w:rFonts w:eastAsiaTheme="minorEastAsia"/>
          <w:color w:val="000000" w:themeColor="text1"/>
          <w:szCs w:val="28"/>
          <w14:textFill>
            <w14:solidFill>
              <w14:schemeClr w14:val="tx1"/>
            </w14:solidFill>
          </w14:textFill>
        </w:rPr>
        <w:t>。</w:t>
      </w:r>
      <w:r>
        <w:rPr>
          <w:color w:val="000000" w:themeColor="text1"/>
          <w:szCs w:val="28"/>
          <w14:textFill>
            <w14:solidFill>
              <w14:schemeClr w14:val="tx1"/>
            </w14:solidFill>
          </w14:textFill>
        </w:rPr>
        <w:t>具体实施措施建议如下：</w:t>
      </w:r>
    </w:p>
    <w:p w14:paraId="40C0C59D">
      <w:pPr>
        <w:spacing w:line="360" w:lineRule="auto"/>
        <w:ind w:firstLine="480"/>
        <w:jc w:val="both"/>
        <w:rPr>
          <w:color w:val="000000" w:themeColor="text1"/>
          <w:szCs w:val="28"/>
          <w14:textFill>
            <w14:solidFill>
              <w14:schemeClr w14:val="tx1"/>
            </w14:solidFill>
          </w14:textFill>
        </w:rPr>
      </w:pPr>
      <w:r>
        <w:rPr>
          <w:color w:val="000000" w:themeColor="text1"/>
          <w:szCs w:val="28"/>
          <w14:textFill>
            <w14:solidFill>
              <w14:schemeClr w14:val="tx1"/>
            </w14:solidFill>
          </w14:textFill>
        </w:rPr>
        <w:t>（1）标准归口单位进行贯标指导，组织标准宣贯培训班，由标准制定人员主讲。设立专门的答疑或咨询部门或网站，为贯标企业排忧解难，组织有关人员积极参加行业协会组织的各项活动，培训班等。及时了解标准制、修订信息。</w:t>
      </w:r>
    </w:p>
    <w:p w14:paraId="3E69F7A5">
      <w:pPr>
        <w:spacing w:line="360" w:lineRule="auto"/>
        <w:ind w:firstLine="480"/>
        <w:jc w:val="both"/>
        <w:rPr>
          <w:color w:val="000000" w:themeColor="text1"/>
          <w:szCs w:val="28"/>
          <w14:textFill>
            <w14:solidFill>
              <w14:schemeClr w14:val="tx1"/>
            </w14:solidFill>
          </w14:textFill>
        </w:rPr>
      </w:pPr>
      <w:r>
        <w:rPr>
          <w:color w:val="000000" w:themeColor="text1"/>
          <w:szCs w:val="28"/>
          <w14:textFill>
            <w14:solidFill>
              <w14:schemeClr w14:val="tx1"/>
            </w14:solidFill>
          </w14:textFill>
        </w:rPr>
        <w:t>（3）鼓励行业相关企业</w:t>
      </w:r>
      <w:r>
        <w:rPr>
          <w:rFonts w:hint="eastAsia"/>
          <w:color w:val="000000" w:themeColor="text1"/>
          <w:szCs w:val="28"/>
          <w:lang w:eastAsia="zh-CN"/>
          <w14:textFill>
            <w14:solidFill>
              <w14:schemeClr w14:val="tx1"/>
            </w14:solidFill>
          </w14:textFill>
        </w:rPr>
        <w:t>、</w:t>
      </w:r>
      <w:r>
        <w:rPr>
          <w:rFonts w:hint="eastAsia"/>
          <w:color w:val="000000" w:themeColor="text1"/>
          <w:szCs w:val="28"/>
          <w:lang w:val="en-US" w:eastAsia="zh-CN"/>
          <w14:textFill>
            <w14:solidFill>
              <w14:schemeClr w14:val="tx1"/>
            </w14:solidFill>
          </w14:textFill>
        </w:rPr>
        <w:t>科研单位和检测机构</w:t>
      </w:r>
      <w:r>
        <w:rPr>
          <w:color w:val="000000" w:themeColor="text1"/>
          <w:szCs w:val="28"/>
          <w14:textFill>
            <w14:solidFill>
              <w14:schemeClr w14:val="tx1"/>
            </w14:solidFill>
          </w14:textFill>
        </w:rPr>
        <w:t>成立标准贯彻实施小组，组员由标准化技术人员、产品主管设计人员、工艺主管设计人员、检验人员、车间技术人员等工作人员组成，进行明确的分工合作，适时组织标准宣贯会，使</w:t>
      </w:r>
      <w:r>
        <w:rPr>
          <w:rFonts w:hint="eastAsia"/>
          <w:color w:val="000000" w:themeColor="text1"/>
          <w:szCs w:val="28"/>
          <w14:textFill>
            <w14:solidFill>
              <w14:schemeClr w14:val="tx1"/>
            </w14:solidFill>
          </w14:textFill>
        </w:rPr>
        <w:t>企业能够顺利</w:t>
      </w:r>
      <w:r>
        <w:rPr>
          <w:color w:val="000000" w:themeColor="text1"/>
          <w:szCs w:val="28"/>
          <w14:textFill>
            <w14:solidFill>
              <w14:schemeClr w14:val="tx1"/>
            </w14:solidFill>
          </w14:textFill>
        </w:rPr>
        <w:t>执行标准</w:t>
      </w:r>
      <w:r>
        <w:rPr>
          <w:rFonts w:hint="eastAsia"/>
          <w:color w:val="000000" w:themeColor="text1"/>
          <w:szCs w:val="28"/>
          <w14:textFill>
            <w14:solidFill>
              <w14:schemeClr w14:val="tx1"/>
            </w14:solidFill>
          </w14:textFill>
        </w:rPr>
        <w:t>，科学开展</w:t>
      </w:r>
      <w:r>
        <w:rPr>
          <w:rFonts w:hint="eastAsia"/>
          <w:color w:val="000000" w:themeColor="text1"/>
          <w:szCs w:val="28"/>
          <w:lang w:val="en-US" w:eastAsia="zh-CN"/>
          <w14:textFill>
            <w14:solidFill>
              <w14:schemeClr w14:val="tx1"/>
            </w14:solidFill>
          </w14:textFill>
        </w:rPr>
        <w:t>产品质检前的取样工作</w:t>
      </w:r>
      <w:r>
        <w:rPr>
          <w:color w:val="000000" w:themeColor="text1"/>
          <w:szCs w:val="28"/>
          <w14:textFill>
            <w14:solidFill>
              <w14:schemeClr w14:val="tx1"/>
            </w14:solidFill>
          </w14:textFill>
        </w:rPr>
        <w:t>。</w:t>
      </w:r>
    </w:p>
    <w:p w14:paraId="024E4618">
      <w:pPr>
        <w:spacing w:line="360" w:lineRule="auto"/>
        <w:ind w:firstLine="480"/>
        <w:jc w:val="both"/>
        <w:rPr>
          <w:rFonts w:eastAsiaTheme="minorEastAsia"/>
          <w:b/>
          <w:color w:val="000000" w:themeColor="text1"/>
          <w:szCs w:val="28"/>
          <w14:textFill>
            <w14:solidFill>
              <w14:schemeClr w14:val="tx1"/>
            </w14:solidFill>
          </w14:textFill>
        </w:rPr>
      </w:pPr>
      <w:r>
        <w:rPr>
          <w:color w:val="000000" w:themeColor="text1"/>
          <w:szCs w:val="28"/>
          <w14:textFill>
            <w14:solidFill>
              <w14:schemeClr w14:val="tx1"/>
            </w14:solidFill>
          </w14:textFill>
        </w:rPr>
        <w:t>（4）标准化技术人员全面负责贯标实施工作，跟踪服务对贯标中出现的技术问题进行协调处理</w:t>
      </w:r>
      <w:r>
        <w:rPr>
          <w:rFonts w:hint="eastAsia"/>
          <w:color w:val="000000" w:themeColor="text1"/>
          <w:szCs w:val="28"/>
          <w14:textFill>
            <w14:solidFill>
              <w14:schemeClr w14:val="tx1"/>
            </w14:solidFill>
          </w14:textFill>
        </w:rPr>
        <w:t>并</w:t>
      </w:r>
      <w:r>
        <w:rPr>
          <w:rFonts w:hint="eastAsia"/>
          <w:color w:val="000000" w:themeColor="text1"/>
          <w:szCs w:val="28"/>
          <w:lang w:eastAsia="zh-CN"/>
          <w14:textFill>
            <w14:solidFill>
              <w14:schemeClr w14:val="tx1"/>
            </w14:solidFill>
          </w14:textFill>
        </w:rPr>
        <w:t>做好</w:t>
      </w:r>
      <w:r>
        <w:rPr>
          <w:color w:val="000000" w:themeColor="text1"/>
          <w:szCs w:val="28"/>
          <w14:textFill>
            <w14:solidFill>
              <w14:schemeClr w14:val="tx1"/>
            </w14:solidFill>
          </w14:textFill>
        </w:rPr>
        <w:t>贯标记录，并进行长期监督检查工作。</w:t>
      </w:r>
    </w:p>
    <w:p w14:paraId="0FE3AF55">
      <w:pPr>
        <w:pStyle w:val="28"/>
        <w:spacing w:before="326" w:beforeLines="100" w:after="326" w:afterLines="100"/>
        <w:rPr>
          <w:rFonts w:ascii="Times New Roman"/>
          <w:color w:val="000000" w:themeColor="text1"/>
          <w:sz w:val="28"/>
          <w:szCs w:val="28"/>
          <w14:textFill>
            <w14:solidFill>
              <w14:schemeClr w14:val="tx1"/>
            </w14:solidFill>
          </w14:textFill>
        </w:rPr>
      </w:pPr>
      <w:bookmarkStart w:id="16" w:name="_Toc32671"/>
      <w:r>
        <w:rPr>
          <w:rFonts w:ascii="Times New Roman"/>
          <w:color w:val="000000" w:themeColor="text1"/>
          <w:sz w:val="28"/>
          <w:szCs w:val="28"/>
          <w14:textFill>
            <w14:solidFill>
              <w14:schemeClr w14:val="tx1"/>
            </w14:solidFill>
          </w14:textFill>
        </w:rPr>
        <w:t>1</w:t>
      </w:r>
      <w:r>
        <w:rPr>
          <w:rFonts w:hint="eastAsia" w:ascii="Times New Roman"/>
          <w:color w:val="000000" w:themeColor="text1"/>
          <w:sz w:val="28"/>
          <w:szCs w:val="28"/>
          <w:lang w:val="en-US" w:eastAsia="zh-CN"/>
          <w14:textFill>
            <w14:solidFill>
              <w14:schemeClr w14:val="tx1"/>
            </w14:solidFill>
          </w14:textFill>
        </w:rPr>
        <w:t>0</w:t>
      </w:r>
      <w:r>
        <w:rPr>
          <w:rFonts w:ascii="Times New Roman"/>
          <w:color w:val="000000" w:themeColor="text1"/>
          <w:sz w:val="28"/>
          <w:szCs w:val="28"/>
          <w14:textFill>
            <w14:solidFill>
              <w14:schemeClr w14:val="tx1"/>
            </w14:solidFill>
          </w14:textFill>
        </w:rPr>
        <w:t xml:space="preserve"> 废止现行有关标准的建议</w:t>
      </w:r>
      <w:bookmarkEnd w:id="16"/>
    </w:p>
    <w:p w14:paraId="2CCA1498">
      <w:pPr>
        <w:spacing w:line="360" w:lineRule="auto"/>
        <w:ind w:firstLine="480"/>
        <w:jc w:val="both"/>
        <w:rPr>
          <w:rFonts w:eastAsiaTheme="minorEastAsia"/>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无。</w:t>
      </w:r>
    </w:p>
    <w:p w14:paraId="5F84C4FD">
      <w:pPr>
        <w:pStyle w:val="28"/>
        <w:spacing w:before="326" w:beforeLines="100" w:after="326" w:afterLines="100"/>
        <w:rPr>
          <w:rFonts w:ascii="Times New Roman"/>
          <w:color w:val="000000" w:themeColor="text1"/>
          <w:sz w:val="28"/>
          <w:szCs w:val="28"/>
          <w14:textFill>
            <w14:solidFill>
              <w14:schemeClr w14:val="tx1"/>
            </w14:solidFill>
          </w14:textFill>
        </w:rPr>
      </w:pPr>
      <w:bookmarkStart w:id="17" w:name="_Toc19543"/>
      <w:r>
        <w:rPr>
          <w:rFonts w:ascii="Times New Roman"/>
          <w:color w:val="000000" w:themeColor="text1"/>
          <w:sz w:val="28"/>
          <w:szCs w:val="28"/>
          <w14:textFill>
            <w14:solidFill>
              <w14:schemeClr w14:val="tx1"/>
            </w14:solidFill>
          </w14:textFill>
        </w:rPr>
        <w:t>1</w:t>
      </w:r>
      <w:r>
        <w:rPr>
          <w:rFonts w:hint="eastAsia" w:ascii="Times New Roman"/>
          <w:color w:val="000000" w:themeColor="text1"/>
          <w:sz w:val="28"/>
          <w:szCs w:val="28"/>
          <w:lang w:val="en-US" w:eastAsia="zh-CN"/>
          <w14:textFill>
            <w14:solidFill>
              <w14:schemeClr w14:val="tx1"/>
            </w14:solidFill>
          </w14:textFill>
        </w:rPr>
        <w:t>1</w:t>
      </w:r>
      <w:r>
        <w:rPr>
          <w:rFonts w:ascii="Times New Roman"/>
          <w:color w:val="000000" w:themeColor="text1"/>
          <w:sz w:val="28"/>
          <w:szCs w:val="28"/>
          <w14:textFill>
            <w14:solidFill>
              <w14:schemeClr w14:val="tx1"/>
            </w14:solidFill>
          </w14:textFill>
        </w:rPr>
        <w:t xml:space="preserve"> 其他应说明的事项</w:t>
      </w:r>
      <w:bookmarkEnd w:id="17"/>
    </w:p>
    <w:p w14:paraId="0385F97A">
      <w:pPr>
        <w:spacing w:line="360" w:lineRule="auto"/>
        <w:ind w:firstLine="495"/>
        <w:jc w:val="both"/>
        <w:rPr>
          <w:rFonts w:eastAsiaTheme="minorEastAsia"/>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无。</w:t>
      </w:r>
    </w:p>
    <w:sectPr>
      <w:footerReference r:id="rId3" w:type="default"/>
      <w:pgSz w:w="11906" w:h="16838"/>
      <w:pgMar w:top="1134" w:right="1134" w:bottom="1134" w:left="1304"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2000019F" w:csb1="00000000"/>
  </w:font>
  <w:font w:name="Verdana">
    <w:panose1 w:val="020B0804030504040204"/>
    <w:charset w:val="00"/>
    <w:family w:val="swiss"/>
    <w:pitch w:val="default"/>
    <w:sig w:usb0="A10006FF" w:usb1="4000205B" w:usb2="00000010" w:usb3="00000000" w:csb0="2000019F" w:csb1="00000000"/>
  </w:font>
  <w:font w:name="等线">
    <w:altName w:val="汉仪中等线KW"/>
    <w:panose1 w:val="02010600030101010101"/>
    <w:charset w:val="86"/>
    <w:family w:val="auto"/>
    <w:pitch w:val="default"/>
    <w:sig w:usb0="00000000" w:usb1="00000000" w:usb2="00000016"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02AC2">
    <w:pPr>
      <w:pStyle w:val="12"/>
      <w:jc w:val="right"/>
    </w:pPr>
    <w:r>
      <w:fldChar w:fldCharType="begin"/>
    </w:r>
    <w:r>
      <w:instrText xml:space="preserve"> PAGE   \* MERGEFORMAT </w:instrText>
    </w:r>
    <w:r>
      <w:fldChar w:fldCharType="separate"/>
    </w:r>
    <w:r>
      <w:rPr>
        <w:lang w:val="zh-CN"/>
      </w:rPr>
      <w:t>29</w:t>
    </w:r>
    <w:r>
      <w:rPr>
        <w:lang w:val="zh-CN"/>
      </w:rPr>
      <w:fldChar w:fldCharType="end"/>
    </w:r>
  </w:p>
  <w:p w14:paraId="6335100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E367E9"/>
    <w:multiLevelType w:val="multilevel"/>
    <w:tmpl w:val="0AE367E9"/>
    <w:lvl w:ilvl="0" w:tentative="0">
      <w:start w:val="1"/>
      <w:numFmt w:val="none"/>
      <w:pStyle w:val="44"/>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
    <w:nsid w:val="1DCB3BFD"/>
    <w:multiLevelType w:val="multilevel"/>
    <w:tmpl w:val="1DCB3BFD"/>
    <w:lvl w:ilvl="0" w:tentative="0">
      <w:start w:val="1"/>
      <w:numFmt w:val="lowerLetter"/>
      <w:pStyle w:val="10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06"/>
      <w:lvlText w:val="%2)"/>
      <w:lvlJc w:val="left"/>
      <w:pPr>
        <w:tabs>
          <w:tab w:val="left" w:pos="1260"/>
        </w:tabs>
        <w:ind w:left="1259" w:hanging="419"/>
      </w:pPr>
      <w:rPr>
        <w:rFonts w:hint="eastAsia"/>
      </w:rPr>
    </w:lvl>
    <w:lvl w:ilvl="2" w:tentative="0">
      <w:start w:val="1"/>
      <w:numFmt w:val="decimal"/>
      <w:pStyle w:val="108"/>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1FC91163"/>
    <w:multiLevelType w:val="multilevel"/>
    <w:tmpl w:val="1FC91163"/>
    <w:lvl w:ilvl="0" w:tentative="0">
      <w:start w:val="1"/>
      <w:numFmt w:val="decimal"/>
      <w:suff w:val="nothing"/>
      <w:lvlText w:val="%1　"/>
      <w:lvlJc w:val="left"/>
      <w:pPr>
        <w:ind w:left="710" w:firstLine="0"/>
      </w:pPr>
      <w:rPr>
        <w:rFonts w:hint="eastAsia" w:ascii="黑体" w:hAnsi="Times New Roman" w:eastAsia="黑体"/>
        <w:b w:val="0"/>
        <w:i w:val="0"/>
        <w:sz w:val="21"/>
        <w:szCs w:val="21"/>
      </w:rPr>
    </w:lvl>
    <w:lvl w:ilvl="1" w:tentative="0">
      <w:start w:val="1"/>
      <w:numFmt w:val="decimal"/>
      <w:suff w:val="nothing"/>
      <w:lvlText w:val="%1.%2　"/>
      <w:lvlJc w:val="left"/>
      <w:pPr>
        <w:ind w:left="1135"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142"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557C2AF5"/>
    <w:multiLevelType w:val="multilevel"/>
    <w:tmpl w:val="557C2AF5"/>
    <w:lvl w:ilvl="0" w:tentative="0">
      <w:start w:val="1"/>
      <w:numFmt w:val="decimal"/>
      <w:pStyle w:val="4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46260FA"/>
    <w:multiLevelType w:val="multilevel"/>
    <w:tmpl w:val="646260FA"/>
    <w:lvl w:ilvl="0" w:tentative="0">
      <w:start w:val="1"/>
      <w:numFmt w:val="decimal"/>
      <w:pStyle w:val="4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657D3FBC"/>
    <w:multiLevelType w:val="multilevel"/>
    <w:tmpl w:val="657D3FBC"/>
    <w:lvl w:ilvl="0" w:tentative="0">
      <w:start w:val="1"/>
      <w:numFmt w:val="upperLetter"/>
      <w:pStyle w:val="109"/>
      <w:suff w:val="nothing"/>
      <w:lvlText w:val="附录%1"/>
      <w:lvlJc w:val="left"/>
      <w:pPr>
        <w:ind w:left="0" w:firstLine="0"/>
      </w:pPr>
      <w:rPr>
        <w:rFonts w:hint="eastAsia"/>
        <w:spacing w:val="100"/>
      </w:rPr>
    </w:lvl>
    <w:lvl w:ilvl="1" w:tentative="0">
      <w:start w:val="1"/>
      <w:numFmt w:val="decimal"/>
      <w:pStyle w:val="110"/>
      <w:suff w:val="nothing"/>
      <w:lvlText w:val="%1.%2　"/>
      <w:lvlJc w:val="left"/>
      <w:pPr>
        <w:ind w:left="0" w:firstLine="0"/>
      </w:pPr>
      <w:rPr>
        <w:rFonts w:hint="eastAsia" w:ascii="黑体" w:eastAsia="黑体"/>
        <w:b w:val="0"/>
        <w:i w:val="0"/>
        <w:sz w:val="21"/>
      </w:rPr>
    </w:lvl>
    <w:lvl w:ilvl="2" w:tentative="0">
      <w:start w:val="1"/>
      <w:numFmt w:val="decimal"/>
      <w:pStyle w:val="111"/>
      <w:suff w:val="nothing"/>
      <w:lvlText w:val="%1.%2.%3　"/>
      <w:lvlJc w:val="left"/>
      <w:pPr>
        <w:ind w:left="0" w:firstLine="0"/>
      </w:pPr>
      <w:rPr>
        <w:rFonts w:hint="eastAsia" w:ascii="黑体" w:eastAsia="黑体"/>
        <w:b w:val="0"/>
        <w:i w:val="0"/>
        <w:sz w:val="21"/>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pStyle w:val="113"/>
      <w:suff w:val="nothing"/>
      <w:lvlText w:val="%1.%2.%3.%4.%5　"/>
      <w:lvlJc w:val="left"/>
      <w:pPr>
        <w:ind w:left="0" w:firstLine="0"/>
      </w:pPr>
      <w:rPr>
        <w:rFonts w:hint="eastAsia" w:ascii="黑体" w:eastAsia="黑体"/>
        <w:b w:val="0"/>
        <w:i w:val="0"/>
        <w:sz w:val="21"/>
      </w:rPr>
    </w:lvl>
    <w:lvl w:ilvl="5" w:tentative="0">
      <w:start w:val="1"/>
      <w:numFmt w:val="decimal"/>
      <w:pStyle w:val="11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 w:numId="2">
    <w:abstractNumId w:val="4"/>
  </w:num>
  <w:num w:numId="3">
    <w:abstractNumId w:val="3"/>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Nzg1OTE0YTY4N2E5ZGU5OWVjZWE5YTdkMDI3ODIifQ=="/>
  </w:docVars>
  <w:rsids>
    <w:rsidRoot w:val="00172A27"/>
    <w:rsid w:val="000001E5"/>
    <w:rsid w:val="000007AC"/>
    <w:rsid w:val="00000A35"/>
    <w:rsid w:val="0000141D"/>
    <w:rsid w:val="000022B1"/>
    <w:rsid w:val="00003AFF"/>
    <w:rsid w:val="0001042F"/>
    <w:rsid w:val="00010A8B"/>
    <w:rsid w:val="000129F4"/>
    <w:rsid w:val="00013B79"/>
    <w:rsid w:val="00015A6C"/>
    <w:rsid w:val="000166C4"/>
    <w:rsid w:val="00017084"/>
    <w:rsid w:val="00017C80"/>
    <w:rsid w:val="00020415"/>
    <w:rsid w:val="00024525"/>
    <w:rsid w:val="00025B48"/>
    <w:rsid w:val="000269F6"/>
    <w:rsid w:val="00027763"/>
    <w:rsid w:val="00030247"/>
    <w:rsid w:val="0003190D"/>
    <w:rsid w:val="00031DAF"/>
    <w:rsid w:val="00033768"/>
    <w:rsid w:val="00033ECC"/>
    <w:rsid w:val="00034BDB"/>
    <w:rsid w:val="000354EE"/>
    <w:rsid w:val="00037C38"/>
    <w:rsid w:val="0004092A"/>
    <w:rsid w:val="00040A03"/>
    <w:rsid w:val="000434B8"/>
    <w:rsid w:val="000455BE"/>
    <w:rsid w:val="00045870"/>
    <w:rsid w:val="00045E4A"/>
    <w:rsid w:val="0005158F"/>
    <w:rsid w:val="0005301A"/>
    <w:rsid w:val="00056209"/>
    <w:rsid w:val="00056E5B"/>
    <w:rsid w:val="00056E94"/>
    <w:rsid w:val="000618F5"/>
    <w:rsid w:val="00062D78"/>
    <w:rsid w:val="00062F18"/>
    <w:rsid w:val="00063AB8"/>
    <w:rsid w:val="000658C5"/>
    <w:rsid w:val="00071468"/>
    <w:rsid w:val="00071497"/>
    <w:rsid w:val="00072999"/>
    <w:rsid w:val="00076334"/>
    <w:rsid w:val="00076DC9"/>
    <w:rsid w:val="00076E00"/>
    <w:rsid w:val="00077386"/>
    <w:rsid w:val="0008016C"/>
    <w:rsid w:val="000819C0"/>
    <w:rsid w:val="00081DC3"/>
    <w:rsid w:val="000821A1"/>
    <w:rsid w:val="00082BD1"/>
    <w:rsid w:val="00083D72"/>
    <w:rsid w:val="000844C5"/>
    <w:rsid w:val="00084FF3"/>
    <w:rsid w:val="00085FD8"/>
    <w:rsid w:val="0008622A"/>
    <w:rsid w:val="00090AAF"/>
    <w:rsid w:val="00090BB7"/>
    <w:rsid w:val="00091EC0"/>
    <w:rsid w:val="00092504"/>
    <w:rsid w:val="00092B00"/>
    <w:rsid w:val="00092C34"/>
    <w:rsid w:val="000973F8"/>
    <w:rsid w:val="000A2A34"/>
    <w:rsid w:val="000A3998"/>
    <w:rsid w:val="000A4C17"/>
    <w:rsid w:val="000A61FC"/>
    <w:rsid w:val="000A61FE"/>
    <w:rsid w:val="000A7210"/>
    <w:rsid w:val="000B051F"/>
    <w:rsid w:val="000B0A70"/>
    <w:rsid w:val="000B1507"/>
    <w:rsid w:val="000B226A"/>
    <w:rsid w:val="000B4363"/>
    <w:rsid w:val="000B593F"/>
    <w:rsid w:val="000B5D25"/>
    <w:rsid w:val="000C3198"/>
    <w:rsid w:val="000C32D4"/>
    <w:rsid w:val="000C35B5"/>
    <w:rsid w:val="000C53E0"/>
    <w:rsid w:val="000C5E7B"/>
    <w:rsid w:val="000C7B3C"/>
    <w:rsid w:val="000D29F4"/>
    <w:rsid w:val="000D6CF5"/>
    <w:rsid w:val="000E023D"/>
    <w:rsid w:val="000E0AB2"/>
    <w:rsid w:val="000E1B6C"/>
    <w:rsid w:val="000E4AE2"/>
    <w:rsid w:val="000E577F"/>
    <w:rsid w:val="000E6630"/>
    <w:rsid w:val="000F19D8"/>
    <w:rsid w:val="000F1B97"/>
    <w:rsid w:val="000F3C33"/>
    <w:rsid w:val="000F4A3B"/>
    <w:rsid w:val="000F4CE8"/>
    <w:rsid w:val="001018E2"/>
    <w:rsid w:val="0010305D"/>
    <w:rsid w:val="001036AD"/>
    <w:rsid w:val="001040D5"/>
    <w:rsid w:val="001050DA"/>
    <w:rsid w:val="001064D7"/>
    <w:rsid w:val="00111084"/>
    <w:rsid w:val="001117AF"/>
    <w:rsid w:val="00113794"/>
    <w:rsid w:val="00115B5E"/>
    <w:rsid w:val="00117C75"/>
    <w:rsid w:val="00122E38"/>
    <w:rsid w:val="00123381"/>
    <w:rsid w:val="00124C46"/>
    <w:rsid w:val="0012660A"/>
    <w:rsid w:val="00126D94"/>
    <w:rsid w:val="00131914"/>
    <w:rsid w:val="0013245B"/>
    <w:rsid w:val="00134A81"/>
    <w:rsid w:val="00135688"/>
    <w:rsid w:val="00136191"/>
    <w:rsid w:val="00141391"/>
    <w:rsid w:val="00142FAD"/>
    <w:rsid w:val="0014686E"/>
    <w:rsid w:val="00147B81"/>
    <w:rsid w:val="00150ABB"/>
    <w:rsid w:val="001532ED"/>
    <w:rsid w:val="001602C5"/>
    <w:rsid w:val="0016215B"/>
    <w:rsid w:val="001622C0"/>
    <w:rsid w:val="00162784"/>
    <w:rsid w:val="001647BB"/>
    <w:rsid w:val="0016491D"/>
    <w:rsid w:val="00167CE9"/>
    <w:rsid w:val="00173530"/>
    <w:rsid w:val="0017400A"/>
    <w:rsid w:val="00176EFD"/>
    <w:rsid w:val="00177FA6"/>
    <w:rsid w:val="001809AD"/>
    <w:rsid w:val="001818CE"/>
    <w:rsid w:val="00181DCA"/>
    <w:rsid w:val="00182654"/>
    <w:rsid w:val="00182FBA"/>
    <w:rsid w:val="001844FC"/>
    <w:rsid w:val="00184AF2"/>
    <w:rsid w:val="00190A45"/>
    <w:rsid w:val="001922C3"/>
    <w:rsid w:val="00192A5B"/>
    <w:rsid w:val="001966BA"/>
    <w:rsid w:val="001A05C7"/>
    <w:rsid w:val="001A1D91"/>
    <w:rsid w:val="001A344D"/>
    <w:rsid w:val="001A36A9"/>
    <w:rsid w:val="001A7E28"/>
    <w:rsid w:val="001B03ED"/>
    <w:rsid w:val="001B0B72"/>
    <w:rsid w:val="001B145A"/>
    <w:rsid w:val="001B2B09"/>
    <w:rsid w:val="001B3029"/>
    <w:rsid w:val="001B47CF"/>
    <w:rsid w:val="001B6249"/>
    <w:rsid w:val="001B7FB5"/>
    <w:rsid w:val="001C19B4"/>
    <w:rsid w:val="001C209D"/>
    <w:rsid w:val="001C49C9"/>
    <w:rsid w:val="001C5350"/>
    <w:rsid w:val="001C7E50"/>
    <w:rsid w:val="001D0624"/>
    <w:rsid w:val="001D2C4D"/>
    <w:rsid w:val="001D3388"/>
    <w:rsid w:val="001D421B"/>
    <w:rsid w:val="001D466C"/>
    <w:rsid w:val="001D5FEA"/>
    <w:rsid w:val="001D7791"/>
    <w:rsid w:val="001E216C"/>
    <w:rsid w:val="001E2A4B"/>
    <w:rsid w:val="001E2D15"/>
    <w:rsid w:val="001E3871"/>
    <w:rsid w:val="001E56A7"/>
    <w:rsid w:val="001E7665"/>
    <w:rsid w:val="001E7CEE"/>
    <w:rsid w:val="001F0376"/>
    <w:rsid w:val="001F4B34"/>
    <w:rsid w:val="001F7A32"/>
    <w:rsid w:val="00201456"/>
    <w:rsid w:val="00201C5F"/>
    <w:rsid w:val="00205CEE"/>
    <w:rsid w:val="00210503"/>
    <w:rsid w:val="002118AB"/>
    <w:rsid w:val="002126D9"/>
    <w:rsid w:val="00213E30"/>
    <w:rsid w:val="0021604E"/>
    <w:rsid w:val="00217B16"/>
    <w:rsid w:val="002211F8"/>
    <w:rsid w:val="002306B0"/>
    <w:rsid w:val="00233834"/>
    <w:rsid w:val="00234126"/>
    <w:rsid w:val="002348A6"/>
    <w:rsid w:val="00236B80"/>
    <w:rsid w:val="00240F1D"/>
    <w:rsid w:val="002431FA"/>
    <w:rsid w:val="002446E2"/>
    <w:rsid w:val="00247197"/>
    <w:rsid w:val="0025034B"/>
    <w:rsid w:val="00250A16"/>
    <w:rsid w:val="0025217B"/>
    <w:rsid w:val="00254E39"/>
    <w:rsid w:val="00255F9C"/>
    <w:rsid w:val="0026107B"/>
    <w:rsid w:val="00261162"/>
    <w:rsid w:val="00262D99"/>
    <w:rsid w:val="00263789"/>
    <w:rsid w:val="002666A7"/>
    <w:rsid w:val="00266E7D"/>
    <w:rsid w:val="0026725F"/>
    <w:rsid w:val="00275782"/>
    <w:rsid w:val="00275CE1"/>
    <w:rsid w:val="002768F3"/>
    <w:rsid w:val="00277890"/>
    <w:rsid w:val="002813D0"/>
    <w:rsid w:val="00284FE2"/>
    <w:rsid w:val="00285718"/>
    <w:rsid w:val="002863DE"/>
    <w:rsid w:val="00290007"/>
    <w:rsid w:val="00294C50"/>
    <w:rsid w:val="00295D04"/>
    <w:rsid w:val="00296ECE"/>
    <w:rsid w:val="0029709E"/>
    <w:rsid w:val="002978CE"/>
    <w:rsid w:val="002A2585"/>
    <w:rsid w:val="002A2C84"/>
    <w:rsid w:val="002A3520"/>
    <w:rsid w:val="002A7256"/>
    <w:rsid w:val="002A7C01"/>
    <w:rsid w:val="002B0727"/>
    <w:rsid w:val="002B1FD6"/>
    <w:rsid w:val="002B5424"/>
    <w:rsid w:val="002B7008"/>
    <w:rsid w:val="002B77A1"/>
    <w:rsid w:val="002B7DB0"/>
    <w:rsid w:val="002C022E"/>
    <w:rsid w:val="002C18D7"/>
    <w:rsid w:val="002C40F4"/>
    <w:rsid w:val="002C721D"/>
    <w:rsid w:val="002C7925"/>
    <w:rsid w:val="002D044E"/>
    <w:rsid w:val="002D07F4"/>
    <w:rsid w:val="002D3ADD"/>
    <w:rsid w:val="002D4561"/>
    <w:rsid w:val="002D49FE"/>
    <w:rsid w:val="002D6251"/>
    <w:rsid w:val="002D7368"/>
    <w:rsid w:val="002D7540"/>
    <w:rsid w:val="002D7A4E"/>
    <w:rsid w:val="002D7D6F"/>
    <w:rsid w:val="002E08A7"/>
    <w:rsid w:val="002E0A53"/>
    <w:rsid w:val="002E1F62"/>
    <w:rsid w:val="002E3251"/>
    <w:rsid w:val="002E356B"/>
    <w:rsid w:val="002E671D"/>
    <w:rsid w:val="002F14E0"/>
    <w:rsid w:val="002F386B"/>
    <w:rsid w:val="002F413E"/>
    <w:rsid w:val="002F67EC"/>
    <w:rsid w:val="0030029E"/>
    <w:rsid w:val="00301041"/>
    <w:rsid w:val="0030478F"/>
    <w:rsid w:val="00312323"/>
    <w:rsid w:val="003128B6"/>
    <w:rsid w:val="00313B99"/>
    <w:rsid w:val="00316883"/>
    <w:rsid w:val="003202CC"/>
    <w:rsid w:val="00321B9B"/>
    <w:rsid w:val="00321BEA"/>
    <w:rsid w:val="00321FE1"/>
    <w:rsid w:val="0032377D"/>
    <w:rsid w:val="003250AF"/>
    <w:rsid w:val="003264DB"/>
    <w:rsid w:val="00326842"/>
    <w:rsid w:val="00330850"/>
    <w:rsid w:val="003321EA"/>
    <w:rsid w:val="00334FB8"/>
    <w:rsid w:val="00335A26"/>
    <w:rsid w:val="003367E3"/>
    <w:rsid w:val="00336AC0"/>
    <w:rsid w:val="00336C0A"/>
    <w:rsid w:val="0033700A"/>
    <w:rsid w:val="003374DF"/>
    <w:rsid w:val="00337AD1"/>
    <w:rsid w:val="00340627"/>
    <w:rsid w:val="003433EC"/>
    <w:rsid w:val="00345970"/>
    <w:rsid w:val="00345F55"/>
    <w:rsid w:val="0034684B"/>
    <w:rsid w:val="00346E04"/>
    <w:rsid w:val="00347457"/>
    <w:rsid w:val="00347BCC"/>
    <w:rsid w:val="003513CB"/>
    <w:rsid w:val="00351F4C"/>
    <w:rsid w:val="00357490"/>
    <w:rsid w:val="00357CB3"/>
    <w:rsid w:val="003615D2"/>
    <w:rsid w:val="00363070"/>
    <w:rsid w:val="003638A8"/>
    <w:rsid w:val="003645D5"/>
    <w:rsid w:val="00365D8A"/>
    <w:rsid w:val="00366F63"/>
    <w:rsid w:val="00367A5B"/>
    <w:rsid w:val="003726C8"/>
    <w:rsid w:val="00372853"/>
    <w:rsid w:val="00372BB9"/>
    <w:rsid w:val="003745BC"/>
    <w:rsid w:val="00374772"/>
    <w:rsid w:val="003758EE"/>
    <w:rsid w:val="00376523"/>
    <w:rsid w:val="00380E2E"/>
    <w:rsid w:val="003837E1"/>
    <w:rsid w:val="00383FE7"/>
    <w:rsid w:val="00387411"/>
    <w:rsid w:val="00387991"/>
    <w:rsid w:val="003901E8"/>
    <w:rsid w:val="00390880"/>
    <w:rsid w:val="003910F4"/>
    <w:rsid w:val="00391D3A"/>
    <w:rsid w:val="00393DA0"/>
    <w:rsid w:val="003A17BE"/>
    <w:rsid w:val="003A3A72"/>
    <w:rsid w:val="003A468C"/>
    <w:rsid w:val="003A7036"/>
    <w:rsid w:val="003A7848"/>
    <w:rsid w:val="003B129E"/>
    <w:rsid w:val="003B22E2"/>
    <w:rsid w:val="003B25C9"/>
    <w:rsid w:val="003B3C6C"/>
    <w:rsid w:val="003B620B"/>
    <w:rsid w:val="003B7B55"/>
    <w:rsid w:val="003C6534"/>
    <w:rsid w:val="003D06C9"/>
    <w:rsid w:val="003D23D7"/>
    <w:rsid w:val="003D4694"/>
    <w:rsid w:val="003D6024"/>
    <w:rsid w:val="003D65BA"/>
    <w:rsid w:val="003E108D"/>
    <w:rsid w:val="003E52E9"/>
    <w:rsid w:val="003E62CC"/>
    <w:rsid w:val="003E7C10"/>
    <w:rsid w:val="003E7DE2"/>
    <w:rsid w:val="003F0454"/>
    <w:rsid w:val="003F66A1"/>
    <w:rsid w:val="003F6747"/>
    <w:rsid w:val="00401447"/>
    <w:rsid w:val="00401E4A"/>
    <w:rsid w:val="00402A56"/>
    <w:rsid w:val="0040720D"/>
    <w:rsid w:val="0040776A"/>
    <w:rsid w:val="004109A2"/>
    <w:rsid w:val="0041214A"/>
    <w:rsid w:val="00412D5F"/>
    <w:rsid w:val="00413BB6"/>
    <w:rsid w:val="00414311"/>
    <w:rsid w:val="00414C25"/>
    <w:rsid w:val="00415A15"/>
    <w:rsid w:val="004176B3"/>
    <w:rsid w:val="00420C4C"/>
    <w:rsid w:val="00425546"/>
    <w:rsid w:val="00427964"/>
    <w:rsid w:val="004310FF"/>
    <w:rsid w:val="00433341"/>
    <w:rsid w:val="004342B0"/>
    <w:rsid w:val="00434840"/>
    <w:rsid w:val="00435360"/>
    <w:rsid w:val="0043602C"/>
    <w:rsid w:val="00437997"/>
    <w:rsid w:val="00437FCF"/>
    <w:rsid w:val="00440D57"/>
    <w:rsid w:val="004415B9"/>
    <w:rsid w:val="00444E74"/>
    <w:rsid w:val="00447ABD"/>
    <w:rsid w:val="004505BD"/>
    <w:rsid w:val="0045116D"/>
    <w:rsid w:val="004556EE"/>
    <w:rsid w:val="00455C25"/>
    <w:rsid w:val="00456060"/>
    <w:rsid w:val="004560DD"/>
    <w:rsid w:val="00461871"/>
    <w:rsid w:val="00462578"/>
    <w:rsid w:val="00464A9D"/>
    <w:rsid w:val="00464D2C"/>
    <w:rsid w:val="00464FF0"/>
    <w:rsid w:val="004739BF"/>
    <w:rsid w:val="004739D2"/>
    <w:rsid w:val="00474C1E"/>
    <w:rsid w:val="004839FB"/>
    <w:rsid w:val="004853A4"/>
    <w:rsid w:val="0048610A"/>
    <w:rsid w:val="00490D61"/>
    <w:rsid w:val="004942F7"/>
    <w:rsid w:val="00494B76"/>
    <w:rsid w:val="00496551"/>
    <w:rsid w:val="004967CF"/>
    <w:rsid w:val="004967D1"/>
    <w:rsid w:val="004A21C9"/>
    <w:rsid w:val="004A2993"/>
    <w:rsid w:val="004A4A7E"/>
    <w:rsid w:val="004A4DBF"/>
    <w:rsid w:val="004A7234"/>
    <w:rsid w:val="004B25C3"/>
    <w:rsid w:val="004B331A"/>
    <w:rsid w:val="004B59C7"/>
    <w:rsid w:val="004B6F2A"/>
    <w:rsid w:val="004C1B3E"/>
    <w:rsid w:val="004C45E0"/>
    <w:rsid w:val="004C7666"/>
    <w:rsid w:val="004D40CB"/>
    <w:rsid w:val="004D5542"/>
    <w:rsid w:val="004D6A87"/>
    <w:rsid w:val="004E0392"/>
    <w:rsid w:val="004E1727"/>
    <w:rsid w:val="004E579D"/>
    <w:rsid w:val="004E7D76"/>
    <w:rsid w:val="004F00E7"/>
    <w:rsid w:val="004F0210"/>
    <w:rsid w:val="004F62DD"/>
    <w:rsid w:val="005009A8"/>
    <w:rsid w:val="005023E7"/>
    <w:rsid w:val="00503AC4"/>
    <w:rsid w:val="0050522F"/>
    <w:rsid w:val="00505D34"/>
    <w:rsid w:val="005066E8"/>
    <w:rsid w:val="00506F09"/>
    <w:rsid w:val="00512597"/>
    <w:rsid w:val="00515722"/>
    <w:rsid w:val="00516975"/>
    <w:rsid w:val="0051719F"/>
    <w:rsid w:val="00517A06"/>
    <w:rsid w:val="00521073"/>
    <w:rsid w:val="00521F0B"/>
    <w:rsid w:val="005226C9"/>
    <w:rsid w:val="005228C8"/>
    <w:rsid w:val="00523C5C"/>
    <w:rsid w:val="005242CB"/>
    <w:rsid w:val="00524432"/>
    <w:rsid w:val="0053100D"/>
    <w:rsid w:val="005313F0"/>
    <w:rsid w:val="00531E1D"/>
    <w:rsid w:val="00532434"/>
    <w:rsid w:val="00532A53"/>
    <w:rsid w:val="00534132"/>
    <w:rsid w:val="00535F4E"/>
    <w:rsid w:val="00540407"/>
    <w:rsid w:val="00541C96"/>
    <w:rsid w:val="00541D12"/>
    <w:rsid w:val="005459C6"/>
    <w:rsid w:val="00546FEB"/>
    <w:rsid w:val="00554789"/>
    <w:rsid w:val="00554F4C"/>
    <w:rsid w:val="00556516"/>
    <w:rsid w:val="0055716C"/>
    <w:rsid w:val="005600B6"/>
    <w:rsid w:val="005621B1"/>
    <w:rsid w:val="00564076"/>
    <w:rsid w:val="00566323"/>
    <w:rsid w:val="00566B2F"/>
    <w:rsid w:val="005673F4"/>
    <w:rsid w:val="00567442"/>
    <w:rsid w:val="005704A4"/>
    <w:rsid w:val="00571D46"/>
    <w:rsid w:val="005725DE"/>
    <w:rsid w:val="00575BEE"/>
    <w:rsid w:val="00575CE9"/>
    <w:rsid w:val="00576D4F"/>
    <w:rsid w:val="0058175D"/>
    <w:rsid w:val="005857CF"/>
    <w:rsid w:val="00587046"/>
    <w:rsid w:val="005874F9"/>
    <w:rsid w:val="00587A76"/>
    <w:rsid w:val="00590114"/>
    <w:rsid w:val="00590D83"/>
    <w:rsid w:val="00590ED0"/>
    <w:rsid w:val="00591858"/>
    <w:rsid w:val="00594A81"/>
    <w:rsid w:val="005960AC"/>
    <w:rsid w:val="005A1423"/>
    <w:rsid w:val="005A2EA0"/>
    <w:rsid w:val="005A3D56"/>
    <w:rsid w:val="005A435D"/>
    <w:rsid w:val="005A43EE"/>
    <w:rsid w:val="005A4490"/>
    <w:rsid w:val="005A5C60"/>
    <w:rsid w:val="005B015E"/>
    <w:rsid w:val="005B1264"/>
    <w:rsid w:val="005B1B5F"/>
    <w:rsid w:val="005B3BCC"/>
    <w:rsid w:val="005B528A"/>
    <w:rsid w:val="005B5717"/>
    <w:rsid w:val="005B65EE"/>
    <w:rsid w:val="005B680C"/>
    <w:rsid w:val="005B68B3"/>
    <w:rsid w:val="005B6C02"/>
    <w:rsid w:val="005C2487"/>
    <w:rsid w:val="005C2E11"/>
    <w:rsid w:val="005C3AA3"/>
    <w:rsid w:val="005C5325"/>
    <w:rsid w:val="005C583E"/>
    <w:rsid w:val="005C5D4C"/>
    <w:rsid w:val="005C67E4"/>
    <w:rsid w:val="005C7698"/>
    <w:rsid w:val="005C7B04"/>
    <w:rsid w:val="005D4460"/>
    <w:rsid w:val="005D62F5"/>
    <w:rsid w:val="005D67F8"/>
    <w:rsid w:val="005D6C00"/>
    <w:rsid w:val="005D6F38"/>
    <w:rsid w:val="005D79A5"/>
    <w:rsid w:val="005D7AFF"/>
    <w:rsid w:val="005E084F"/>
    <w:rsid w:val="005E1E91"/>
    <w:rsid w:val="005E30F1"/>
    <w:rsid w:val="005E68A3"/>
    <w:rsid w:val="005F07D4"/>
    <w:rsid w:val="005F1052"/>
    <w:rsid w:val="005F4209"/>
    <w:rsid w:val="005F45C6"/>
    <w:rsid w:val="005F4696"/>
    <w:rsid w:val="005F4A8C"/>
    <w:rsid w:val="00601AA4"/>
    <w:rsid w:val="00601CCA"/>
    <w:rsid w:val="00602C6C"/>
    <w:rsid w:val="0060368B"/>
    <w:rsid w:val="0060518B"/>
    <w:rsid w:val="00605963"/>
    <w:rsid w:val="00605E0D"/>
    <w:rsid w:val="00605F1B"/>
    <w:rsid w:val="00607D3A"/>
    <w:rsid w:val="00611B18"/>
    <w:rsid w:val="00611DAB"/>
    <w:rsid w:val="00612D27"/>
    <w:rsid w:val="006132C6"/>
    <w:rsid w:val="006215E2"/>
    <w:rsid w:val="0062193C"/>
    <w:rsid w:val="00622989"/>
    <w:rsid w:val="00624E89"/>
    <w:rsid w:val="00625477"/>
    <w:rsid w:val="00625A6C"/>
    <w:rsid w:val="00627038"/>
    <w:rsid w:val="006308E0"/>
    <w:rsid w:val="00632EA4"/>
    <w:rsid w:val="0063367C"/>
    <w:rsid w:val="006342E7"/>
    <w:rsid w:val="0063527F"/>
    <w:rsid w:val="006371D6"/>
    <w:rsid w:val="006431C7"/>
    <w:rsid w:val="00644E8B"/>
    <w:rsid w:val="006458C4"/>
    <w:rsid w:val="006459A4"/>
    <w:rsid w:val="00647166"/>
    <w:rsid w:val="00652240"/>
    <w:rsid w:val="00654574"/>
    <w:rsid w:val="006550C3"/>
    <w:rsid w:val="00657E5D"/>
    <w:rsid w:val="0066346D"/>
    <w:rsid w:val="0066399F"/>
    <w:rsid w:val="0066404C"/>
    <w:rsid w:val="00664E3A"/>
    <w:rsid w:val="006659DF"/>
    <w:rsid w:val="006723B6"/>
    <w:rsid w:val="00672FFF"/>
    <w:rsid w:val="00673376"/>
    <w:rsid w:val="006739AB"/>
    <w:rsid w:val="00673C74"/>
    <w:rsid w:val="00674E45"/>
    <w:rsid w:val="00681EB0"/>
    <w:rsid w:val="00684961"/>
    <w:rsid w:val="00684EC4"/>
    <w:rsid w:val="0068551C"/>
    <w:rsid w:val="006856BE"/>
    <w:rsid w:val="00687CD5"/>
    <w:rsid w:val="00691135"/>
    <w:rsid w:val="006923A6"/>
    <w:rsid w:val="006923E3"/>
    <w:rsid w:val="006936D5"/>
    <w:rsid w:val="0069455E"/>
    <w:rsid w:val="00695F14"/>
    <w:rsid w:val="00696786"/>
    <w:rsid w:val="00696BA4"/>
    <w:rsid w:val="006A092F"/>
    <w:rsid w:val="006A3188"/>
    <w:rsid w:val="006A4E3B"/>
    <w:rsid w:val="006A5208"/>
    <w:rsid w:val="006B0644"/>
    <w:rsid w:val="006B0CE7"/>
    <w:rsid w:val="006B2433"/>
    <w:rsid w:val="006B25E3"/>
    <w:rsid w:val="006B5093"/>
    <w:rsid w:val="006B7ABB"/>
    <w:rsid w:val="006C0950"/>
    <w:rsid w:val="006C19B7"/>
    <w:rsid w:val="006C694C"/>
    <w:rsid w:val="006C74FE"/>
    <w:rsid w:val="006D304D"/>
    <w:rsid w:val="006D3673"/>
    <w:rsid w:val="006D49EE"/>
    <w:rsid w:val="006D524D"/>
    <w:rsid w:val="006D675B"/>
    <w:rsid w:val="006E3B1C"/>
    <w:rsid w:val="006E519C"/>
    <w:rsid w:val="006E5A81"/>
    <w:rsid w:val="006E5F28"/>
    <w:rsid w:val="006E79AD"/>
    <w:rsid w:val="006F038A"/>
    <w:rsid w:val="006F0F68"/>
    <w:rsid w:val="006F2107"/>
    <w:rsid w:val="006F2BB7"/>
    <w:rsid w:val="006F3506"/>
    <w:rsid w:val="006F51BE"/>
    <w:rsid w:val="006F5F8E"/>
    <w:rsid w:val="006F7701"/>
    <w:rsid w:val="0070206E"/>
    <w:rsid w:val="00703F34"/>
    <w:rsid w:val="0071080C"/>
    <w:rsid w:val="007108B5"/>
    <w:rsid w:val="00712056"/>
    <w:rsid w:val="00712227"/>
    <w:rsid w:val="0071409C"/>
    <w:rsid w:val="00714291"/>
    <w:rsid w:val="007154A3"/>
    <w:rsid w:val="007167C7"/>
    <w:rsid w:val="007200A5"/>
    <w:rsid w:val="007201FB"/>
    <w:rsid w:val="00720DC8"/>
    <w:rsid w:val="00721DBE"/>
    <w:rsid w:val="0072523B"/>
    <w:rsid w:val="00730971"/>
    <w:rsid w:val="00731116"/>
    <w:rsid w:val="00733611"/>
    <w:rsid w:val="00734068"/>
    <w:rsid w:val="007367F3"/>
    <w:rsid w:val="007372CF"/>
    <w:rsid w:val="00740263"/>
    <w:rsid w:val="007406FF"/>
    <w:rsid w:val="00740710"/>
    <w:rsid w:val="00740B91"/>
    <w:rsid w:val="00742C0F"/>
    <w:rsid w:val="0074337E"/>
    <w:rsid w:val="00744284"/>
    <w:rsid w:val="007443BB"/>
    <w:rsid w:val="00744A1A"/>
    <w:rsid w:val="00745528"/>
    <w:rsid w:val="0074736F"/>
    <w:rsid w:val="007532B7"/>
    <w:rsid w:val="007533D8"/>
    <w:rsid w:val="00754014"/>
    <w:rsid w:val="007567C8"/>
    <w:rsid w:val="007617ED"/>
    <w:rsid w:val="00762533"/>
    <w:rsid w:val="00764A0F"/>
    <w:rsid w:val="00771282"/>
    <w:rsid w:val="00772848"/>
    <w:rsid w:val="00773B04"/>
    <w:rsid w:val="00775F9E"/>
    <w:rsid w:val="0077675B"/>
    <w:rsid w:val="00776A41"/>
    <w:rsid w:val="0077767D"/>
    <w:rsid w:val="00783084"/>
    <w:rsid w:val="00783B1D"/>
    <w:rsid w:val="00783C0B"/>
    <w:rsid w:val="00787966"/>
    <w:rsid w:val="007914A9"/>
    <w:rsid w:val="0079227F"/>
    <w:rsid w:val="00794DAC"/>
    <w:rsid w:val="00796575"/>
    <w:rsid w:val="007972FA"/>
    <w:rsid w:val="007974F6"/>
    <w:rsid w:val="00797E5B"/>
    <w:rsid w:val="007A1B23"/>
    <w:rsid w:val="007A38D4"/>
    <w:rsid w:val="007A4ADF"/>
    <w:rsid w:val="007B576A"/>
    <w:rsid w:val="007B5E19"/>
    <w:rsid w:val="007B6B3C"/>
    <w:rsid w:val="007B76CD"/>
    <w:rsid w:val="007C308B"/>
    <w:rsid w:val="007C352B"/>
    <w:rsid w:val="007C3C8E"/>
    <w:rsid w:val="007C431E"/>
    <w:rsid w:val="007C5158"/>
    <w:rsid w:val="007C58A3"/>
    <w:rsid w:val="007C612B"/>
    <w:rsid w:val="007C625E"/>
    <w:rsid w:val="007C6FEE"/>
    <w:rsid w:val="007C73F6"/>
    <w:rsid w:val="007D062A"/>
    <w:rsid w:val="007D0B22"/>
    <w:rsid w:val="007D36D7"/>
    <w:rsid w:val="007D3ABB"/>
    <w:rsid w:val="007D4BB6"/>
    <w:rsid w:val="007D618D"/>
    <w:rsid w:val="007D7BD0"/>
    <w:rsid w:val="007D7F1B"/>
    <w:rsid w:val="007E1CB2"/>
    <w:rsid w:val="007E288B"/>
    <w:rsid w:val="007E33E9"/>
    <w:rsid w:val="007E3D14"/>
    <w:rsid w:val="007E5444"/>
    <w:rsid w:val="007E5B2D"/>
    <w:rsid w:val="007E5ED4"/>
    <w:rsid w:val="007E5EF8"/>
    <w:rsid w:val="007E6668"/>
    <w:rsid w:val="007E6FA8"/>
    <w:rsid w:val="007F1192"/>
    <w:rsid w:val="007F294E"/>
    <w:rsid w:val="007F38D6"/>
    <w:rsid w:val="00801413"/>
    <w:rsid w:val="0080184F"/>
    <w:rsid w:val="008049BE"/>
    <w:rsid w:val="008054FD"/>
    <w:rsid w:val="00805BC2"/>
    <w:rsid w:val="00805D0F"/>
    <w:rsid w:val="00806097"/>
    <w:rsid w:val="008068BB"/>
    <w:rsid w:val="00812C4F"/>
    <w:rsid w:val="00813BD3"/>
    <w:rsid w:val="00816282"/>
    <w:rsid w:val="00816D19"/>
    <w:rsid w:val="00821590"/>
    <w:rsid w:val="00822115"/>
    <w:rsid w:val="008224CF"/>
    <w:rsid w:val="008239E3"/>
    <w:rsid w:val="00823D78"/>
    <w:rsid w:val="00823FFD"/>
    <w:rsid w:val="00824C51"/>
    <w:rsid w:val="00825164"/>
    <w:rsid w:val="00825AE1"/>
    <w:rsid w:val="00825E2E"/>
    <w:rsid w:val="00826FCA"/>
    <w:rsid w:val="00832C3F"/>
    <w:rsid w:val="00836D26"/>
    <w:rsid w:val="00836F1C"/>
    <w:rsid w:val="008378D0"/>
    <w:rsid w:val="00837F39"/>
    <w:rsid w:val="00841809"/>
    <w:rsid w:val="00843B80"/>
    <w:rsid w:val="00852B1E"/>
    <w:rsid w:val="00852DC1"/>
    <w:rsid w:val="00854006"/>
    <w:rsid w:val="0085400A"/>
    <w:rsid w:val="008542C0"/>
    <w:rsid w:val="00856063"/>
    <w:rsid w:val="00857791"/>
    <w:rsid w:val="0086035A"/>
    <w:rsid w:val="0086067C"/>
    <w:rsid w:val="00860682"/>
    <w:rsid w:val="00861EA3"/>
    <w:rsid w:val="008655C1"/>
    <w:rsid w:val="00865A9A"/>
    <w:rsid w:val="00866D2F"/>
    <w:rsid w:val="00870580"/>
    <w:rsid w:val="00872300"/>
    <w:rsid w:val="00872B35"/>
    <w:rsid w:val="008732EE"/>
    <w:rsid w:val="008740FA"/>
    <w:rsid w:val="00875077"/>
    <w:rsid w:val="00875F27"/>
    <w:rsid w:val="008760B3"/>
    <w:rsid w:val="00876B70"/>
    <w:rsid w:val="008838FE"/>
    <w:rsid w:val="0088407F"/>
    <w:rsid w:val="00884B45"/>
    <w:rsid w:val="00885859"/>
    <w:rsid w:val="0088627F"/>
    <w:rsid w:val="008874A5"/>
    <w:rsid w:val="00890062"/>
    <w:rsid w:val="00890E8D"/>
    <w:rsid w:val="00892249"/>
    <w:rsid w:val="00897893"/>
    <w:rsid w:val="008A0267"/>
    <w:rsid w:val="008A107C"/>
    <w:rsid w:val="008A1B07"/>
    <w:rsid w:val="008A36DB"/>
    <w:rsid w:val="008A4B8F"/>
    <w:rsid w:val="008A5150"/>
    <w:rsid w:val="008A704B"/>
    <w:rsid w:val="008A7387"/>
    <w:rsid w:val="008B1394"/>
    <w:rsid w:val="008B29AB"/>
    <w:rsid w:val="008B2AED"/>
    <w:rsid w:val="008B3975"/>
    <w:rsid w:val="008B5D39"/>
    <w:rsid w:val="008B5DC1"/>
    <w:rsid w:val="008B648C"/>
    <w:rsid w:val="008B6A54"/>
    <w:rsid w:val="008B6B4A"/>
    <w:rsid w:val="008C0E9C"/>
    <w:rsid w:val="008C1A7F"/>
    <w:rsid w:val="008C2B63"/>
    <w:rsid w:val="008C73D7"/>
    <w:rsid w:val="008C76A1"/>
    <w:rsid w:val="008C7FB0"/>
    <w:rsid w:val="008D0771"/>
    <w:rsid w:val="008D2410"/>
    <w:rsid w:val="008D2724"/>
    <w:rsid w:val="008D5138"/>
    <w:rsid w:val="008D7151"/>
    <w:rsid w:val="008E1326"/>
    <w:rsid w:val="008E1E47"/>
    <w:rsid w:val="008E1F02"/>
    <w:rsid w:val="008E2243"/>
    <w:rsid w:val="008E305C"/>
    <w:rsid w:val="008E36D1"/>
    <w:rsid w:val="008E54BE"/>
    <w:rsid w:val="008E6A7A"/>
    <w:rsid w:val="008E6C40"/>
    <w:rsid w:val="008E714C"/>
    <w:rsid w:val="008E77E0"/>
    <w:rsid w:val="008E78CE"/>
    <w:rsid w:val="008F3C76"/>
    <w:rsid w:val="008F5579"/>
    <w:rsid w:val="008F5ED9"/>
    <w:rsid w:val="008F5FC9"/>
    <w:rsid w:val="008F6DB7"/>
    <w:rsid w:val="008F78FC"/>
    <w:rsid w:val="00904E3B"/>
    <w:rsid w:val="009070DB"/>
    <w:rsid w:val="00907332"/>
    <w:rsid w:val="00907808"/>
    <w:rsid w:val="00913902"/>
    <w:rsid w:val="00914570"/>
    <w:rsid w:val="0091526A"/>
    <w:rsid w:val="0091630E"/>
    <w:rsid w:val="009166FB"/>
    <w:rsid w:val="00922715"/>
    <w:rsid w:val="00923094"/>
    <w:rsid w:val="00924559"/>
    <w:rsid w:val="00924652"/>
    <w:rsid w:val="00926B99"/>
    <w:rsid w:val="0092714D"/>
    <w:rsid w:val="009314F5"/>
    <w:rsid w:val="00931589"/>
    <w:rsid w:val="00932710"/>
    <w:rsid w:val="00933472"/>
    <w:rsid w:val="00933911"/>
    <w:rsid w:val="0093473A"/>
    <w:rsid w:val="00935948"/>
    <w:rsid w:val="00935C05"/>
    <w:rsid w:val="00935CD0"/>
    <w:rsid w:val="00936ACD"/>
    <w:rsid w:val="00936C3F"/>
    <w:rsid w:val="00937D7A"/>
    <w:rsid w:val="00941A89"/>
    <w:rsid w:val="009420BF"/>
    <w:rsid w:val="00942365"/>
    <w:rsid w:val="00942BF3"/>
    <w:rsid w:val="00945C0F"/>
    <w:rsid w:val="00945CAD"/>
    <w:rsid w:val="009468F1"/>
    <w:rsid w:val="0095133E"/>
    <w:rsid w:val="009530E3"/>
    <w:rsid w:val="00953C2C"/>
    <w:rsid w:val="009552F8"/>
    <w:rsid w:val="0095606D"/>
    <w:rsid w:val="00956168"/>
    <w:rsid w:val="00957218"/>
    <w:rsid w:val="009621CB"/>
    <w:rsid w:val="00962CBB"/>
    <w:rsid w:val="009660DB"/>
    <w:rsid w:val="0096723E"/>
    <w:rsid w:val="00970DF7"/>
    <w:rsid w:val="0097228B"/>
    <w:rsid w:val="00973624"/>
    <w:rsid w:val="00973ABE"/>
    <w:rsid w:val="00974569"/>
    <w:rsid w:val="00975A38"/>
    <w:rsid w:val="00976707"/>
    <w:rsid w:val="0098024C"/>
    <w:rsid w:val="00981013"/>
    <w:rsid w:val="009810FF"/>
    <w:rsid w:val="00982D40"/>
    <w:rsid w:val="00982E3E"/>
    <w:rsid w:val="00986428"/>
    <w:rsid w:val="00990160"/>
    <w:rsid w:val="00991487"/>
    <w:rsid w:val="00991CEE"/>
    <w:rsid w:val="00992137"/>
    <w:rsid w:val="009925E7"/>
    <w:rsid w:val="00992844"/>
    <w:rsid w:val="00993C87"/>
    <w:rsid w:val="00997575"/>
    <w:rsid w:val="009A10FA"/>
    <w:rsid w:val="009A1AF6"/>
    <w:rsid w:val="009A2400"/>
    <w:rsid w:val="009A37FC"/>
    <w:rsid w:val="009A4946"/>
    <w:rsid w:val="009A5D21"/>
    <w:rsid w:val="009A7C7F"/>
    <w:rsid w:val="009B2745"/>
    <w:rsid w:val="009B2C86"/>
    <w:rsid w:val="009B3162"/>
    <w:rsid w:val="009B3819"/>
    <w:rsid w:val="009B5765"/>
    <w:rsid w:val="009B68AC"/>
    <w:rsid w:val="009B7BD3"/>
    <w:rsid w:val="009B7C45"/>
    <w:rsid w:val="009C3A51"/>
    <w:rsid w:val="009C58D5"/>
    <w:rsid w:val="009C5CEE"/>
    <w:rsid w:val="009C7628"/>
    <w:rsid w:val="009D0E88"/>
    <w:rsid w:val="009D153F"/>
    <w:rsid w:val="009D1D1F"/>
    <w:rsid w:val="009D2C8C"/>
    <w:rsid w:val="009D2F4E"/>
    <w:rsid w:val="009D41A0"/>
    <w:rsid w:val="009D44E1"/>
    <w:rsid w:val="009D609A"/>
    <w:rsid w:val="009D6406"/>
    <w:rsid w:val="009D65DF"/>
    <w:rsid w:val="009D72DD"/>
    <w:rsid w:val="009D7D67"/>
    <w:rsid w:val="009E24F3"/>
    <w:rsid w:val="009E366C"/>
    <w:rsid w:val="009E4BC2"/>
    <w:rsid w:val="009E5B2B"/>
    <w:rsid w:val="009E69F1"/>
    <w:rsid w:val="009E6AFD"/>
    <w:rsid w:val="009E71F0"/>
    <w:rsid w:val="009F0A5E"/>
    <w:rsid w:val="009F0E91"/>
    <w:rsid w:val="009F1394"/>
    <w:rsid w:val="009F29F1"/>
    <w:rsid w:val="009F4063"/>
    <w:rsid w:val="009F450E"/>
    <w:rsid w:val="009F49FC"/>
    <w:rsid w:val="009F55C8"/>
    <w:rsid w:val="00A00D2D"/>
    <w:rsid w:val="00A04912"/>
    <w:rsid w:val="00A04972"/>
    <w:rsid w:val="00A07BFC"/>
    <w:rsid w:val="00A1117A"/>
    <w:rsid w:val="00A126C3"/>
    <w:rsid w:val="00A15E65"/>
    <w:rsid w:val="00A16D8F"/>
    <w:rsid w:val="00A2342F"/>
    <w:rsid w:val="00A23D08"/>
    <w:rsid w:val="00A24C6D"/>
    <w:rsid w:val="00A259E7"/>
    <w:rsid w:val="00A27069"/>
    <w:rsid w:val="00A30CB5"/>
    <w:rsid w:val="00A3292F"/>
    <w:rsid w:val="00A32B1D"/>
    <w:rsid w:val="00A33048"/>
    <w:rsid w:val="00A34B34"/>
    <w:rsid w:val="00A35320"/>
    <w:rsid w:val="00A356FE"/>
    <w:rsid w:val="00A40183"/>
    <w:rsid w:val="00A43D8A"/>
    <w:rsid w:val="00A4598F"/>
    <w:rsid w:val="00A47CB4"/>
    <w:rsid w:val="00A47E80"/>
    <w:rsid w:val="00A47F06"/>
    <w:rsid w:val="00A518A9"/>
    <w:rsid w:val="00A5191F"/>
    <w:rsid w:val="00A528E9"/>
    <w:rsid w:val="00A536AD"/>
    <w:rsid w:val="00A542A5"/>
    <w:rsid w:val="00A62B50"/>
    <w:rsid w:val="00A62C25"/>
    <w:rsid w:val="00A65564"/>
    <w:rsid w:val="00A664E2"/>
    <w:rsid w:val="00A70039"/>
    <w:rsid w:val="00A70123"/>
    <w:rsid w:val="00A7202B"/>
    <w:rsid w:val="00A73312"/>
    <w:rsid w:val="00A747F1"/>
    <w:rsid w:val="00A750E5"/>
    <w:rsid w:val="00A754DA"/>
    <w:rsid w:val="00A7607D"/>
    <w:rsid w:val="00A77075"/>
    <w:rsid w:val="00A84CB0"/>
    <w:rsid w:val="00A908E5"/>
    <w:rsid w:val="00A93578"/>
    <w:rsid w:val="00A94810"/>
    <w:rsid w:val="00AA0EC3"/>
    <w:rsid w:val="00AA142E"/>
    <w:rsid w:val="00AA3E0F"/>
    <w:rsid w:val="00AA4EF8"/>
    <w:rsid w:val="00AA63D8"/>
    <w:rsid w:val="00AB3378"/>
    <w:rsid w:val="00AB3D5C"/>
    <w:rsid w:val="00AB4F51"/>
    <w:rsid w:val="00AB560C"/>
    <w:rsid w:val="00AB5A42"/>
    <w:rsid w:val="00AB7B33"/>
    <w:rsid w:val="00AC199D"/>
    <w:rsid w:val="00AC35CF"/>
    <w:rsid w:val="00AC4560"/>
    <w:rsid w:val="00AC6FE0"/>
    <w:rsid w:val="00AD0B5A"/>
    <w:rsid w:val="00AD2170"/>
    <w:rsid w:val="00AD25E3"/>
    <w:rsid w:val="00AD32FA"/>
    <w:rsid w:val="00AD47E1"/>
    <w:rsid w:val="00AD5857"/>
    <w:rsid w:val="00AD65FE"/>
    <w:rsid w:val="00AE25A4"/>
    <w:rsid w:val="00AE3F06"/>
    <w:rsid w:val="00AE7D80"/>
    <w:rsid w:val="00AE7E97"/>
    <w:rsid w:val="00AF05D6"/>
    <w:rsid w:val="00AF0A06"/>
    <w:rsid w:val="00AF22D7"/>
    <w:rsid w:val="00AF32AE"/>
    <w:rsid w:val="00AF365C"/>
    <w:rsid w:val="00AF3E8E"/>
    <w:rsid w:val="00AF449A"/>
    <w:rsid w:val="00AF55C9"/>
    <w:rsid w:val="00AF5672"/>
    <w:rsid w:val="00AF65A2"/>
    <w:rsid w:val="00AF6CB2"/>
    <w:rsid w:val="00AF6FF3"/>
    <w:rsid w:val="00AF705B"/>
    <w:rsid w:val="00B00830"/>
    <w:rsid w:val="00B0284B"/>
    <w:rsid w:val="00B102AE"/>
    <w:rsid w:val="00B102E6"/>
    <w:rsid w:val="00B12792"/>
    <w:rsid w:val="00B13B48"/>
    <w:rsid w:val="00B15A36"/>
    <w:rsid w:val="00B16E51"/>
    <w:rsid w:val="00B2397A"/>
    <w:rsid w:val="00B23AF1"/>
    <w:rsid w:val="00B23F58"/>
    <w:rsid w:val="00B24F48"/>
    <w:rsid w:val="00B24F78"/>
    <w:rsid w:val="00B27034"/>
    <w:rsid w:val="00B3002E"/>
    <w:rsid w:val="00B33477"/>
    <w:rsid w:val="00B41554"/>
    <w:rsid w:val="00B415C9"/>
    <w:rsid w:val="00B4212F"/>
    <w:rsid w:val="00B42478"/>
    <w:rsid w:val="00B42A2A"/>
    <w:rsid w:val="00B42EFD"/>
    <w:rsid w:val="00B440DC"/>
    <w:rsid w:val="00B44E8B"/>
    <w:rsid w:val="00B45032"/>
    <w:rsid w:val="00B45C2D"/>
    <w:rsid w:val="00B50CF6"/>
    <w:rsid w:val="00B51DE7"/>
    <w:rsid w:val="00B52E78"/>
    <w:rsid w:val="00B5316D"/>
    <w:rsid w:val="00B55A6D"/>
    <w:rsid w:val="00B5605A"/>
    <w:rsid w:val="00B57008"/>
    <w:rsid w:val="00B571B7"/>
    <w:rsid w:val="00B608CA"/>
    <w:rsid w:val="00B6111F"/>
    <w:rsid w:val="00B6115E"/>
    <w:rsid w:val="00B611B7"/>
    <w:rsid w:val="00B61B69"/>
    <w:rsid w:val="00B650E0"/>
    <w:rsid w:val="00B72397"/>
    <w:rsid w:val="00B72A25"/>
    <w:rsid w:val="00B7323D"/>
    <w:rsid w:val="00B752FB"/>
    <w:rsid w:val="00B76F7D"/>
    <w:rsid w:val="00B80B3F"/>
    <w:rsid w:val="00B817C8"/>
    <w:rsid w:val="00B832CC"/>
    <w:rsid w:val="00B83B41"/>
    <w:rsid w:val="00B85DF8"/>
    <w:rsid w:val="00B86C8F"/>
    <w:rsid w:val="00B87BAB"/>
    <w:rsid w:val="00B9280C"/>
    <w:rsid w:val="00B93CD3"/>
    <w:rsid w:val="00B94687"/>
    <w:rsid w:val="00BA0121"/>
    <w:rsid w:val="00BA0897"/>
    <w:rsid w:val="00BA55AF"/>
    <w:rsid w:val="00BA66D1"/>
    <w:rsid w:val="00BA73CB"/>
    <w:rsid w:val="00BB3C91"/>
    <w:rsid w:val="00BB6270"/>
    <w:rsid w:val="00BB6816"/>
    <w:rsid w:val="00BB6985"/>
    <w:rsid w:val="00BC0879"/>
    <w:rsid w:val="00BC0E83"/>
    <w:rsid w:val="00BC2219"/>
    <w:rsid w:val="00BC432A"/>
    <w:rsid w:val="00BC4AB7"/>
    <w:rsid w:val="00BC535D"/>
    <w:rsid w:val="00BC5A73"/>
    <w:rsid w:val="00BC616A"/>
    <w:rsid w:val="00BC660A"/>
    <w:rsid w:val="00BC69E5"/>
    <w:rsid w:val="00BC77FA"/>
    <w:rsid w:val="00BD0897"/>
    <w:rsid w:val="00BD0E96"/>
    <w:rsid w:val="00BD1973"/>
    <w:rsid w:val="00BD44A8"/>
    <w:rsid w:val="00BD50F5"/>
    <w:rsid w:val="00BD6FDD"/>
    <w:rsid w:val="00BD748D"/>
    <w:rsid w:val="00BE0C8E"/>
    <w:rsid w:val="00BE4D00"/>
    <w:rsid w:val="00BE755D"/>
    <w:rsid w:val="00BF0252"/>
    <w:rsid w:val="00BF0F3C"/>
    <w:rsid w:val="00BF1159"/>
    <w:rsid w:val="00BF15F2"/>
    <w:rsid w:val="00BF1930"/>
    <w:rsid w:val="00BF6680"/>
    <w:rsid w:val="00BF67F2"/>
    <w:rsid w:val="00BF75E8"/>
    <w:rsid w:val="00BF79AC"/>
    <w:rsid w:val="00C004C3"/>
    <w:rsid w:val="00C00827"/>
    <w:rsid w:val="00C02084"/>
    <w:rsid w:val="00C025E2"/>
    <w:rsid w:val="00C033EF"/>
    <w:rsid w:val="00C048AE"/>
    <w:rsid w:val="00C04EA9"/>
    <w:rsid w:val="00C07A80"/>
    <w:rsid w:val="00C10C1B"/>
    <w:rsid w:val="00C115C3"/>
    <w:rsid w:val="00C116D3"/>
    <w:rsid w:val="00C129B3"/>
    <w:rsid w:val="00C12E03"/>
    <w:rsid w:val="00C146DF"/>
    <w:rsid w:val="00C15D6C"/>
    <w:rsid w:val="00C15F60"/>
    <w:rsid w:val="00C160B7"/>
    <w:rsid w:val="00C232B7"/>
    <w:rsid w:val="00C23999"/>
    <w:rsid w:val="00C2518E"/>
    <w:rsid w:val="00C25692"/>
    <w:rsid w:val="00C26BFE"/>
    <w:rsid w:val="00C26E3A"/>
    <w:rsid w:val="00C27F6D"/>
    <w:rsid w:val="00C30EF0"/>
    <w:rsid w:val="00C34EC1"/>
    <w:rsid w:val="00C35D58"/>
    <w:rsid w:val="00C36B40"/>
    <w:rsid w:val="00C3747A"/>
    <w:rsid w:val="00C45CA0"/>
    <w:rsid w:val="00C45E91"/>
    <w:rsid w:val="00C46D1D"/>
    <w:rsid w:val="00C507BE"/>
    <w:rsid w:val="00C50C56"/>
    <w:rsid w:val="00C5555F"/>
    <w:rsid w:val="00C55D55"/>
    <w:rsid w:val="00C569CB"/>
    <w:rsid w:val="00C56C7A"/>
    <w:rsid w:val="00C6093E"/>
    <w:rsid w:val="00C627C7"/>
    <w:rsid w:val="00C64E00"/>
    <w:rsid w:val="00C651BF"/>
    <w:rsid w:val="00C71E56"/>
    <w:rsid w:val="00C7320F"/>
    <w:rsid w:val="00C77343"/>
    <w:rsid w:val="00C82EBC"/>
    <w:rsid w:val="00C85ED7"/>
    <w:rsid w:val="00C86968"/>
    <w:rsid w:val="00C8706B"/>
    <w:rsid w:val="00C90493"/>
    <w:rsid w:val="00C906D7"/>
    <w:rsid w:val="00C90DC3"/>
    <w:rsid w:val="00C9106B"/>
    <w:rsid w:val="00C91735"/>
    <w:rsid w:val="00C932A5"/>
    <w:rsid w:val="00C942D9"/>
    <w:rsid w:val="00C943D3"/>
    <w:rsid w:val="00C94BF3"/>
    <w:rsid w:val="00C94D6C"/>
    <w:rsid w:val="00C967D2"/>
    <w:rsid w:val="00C96F4C"/>
    <w:rsid w:val="00C973CC"/>
    <w:rsid w:val="00CA07A9"/>
    <w:rsid w:val="00CA1AFD"/>
    <w:rsid w:val="00CA1C22"/>
    <w:rsid w:val="00CA261C"/>
    <w:rsid w:val="00CA3498"/>
    <w:rsid w:val="00CA53F7"/>
    <w:rsid w:val="00CA6E43"/>
    <w:rsid w:val="00CA70FD"/>
    <w:rsid w:val="00CA7977"/>
    <w:rsid w:val="00CB1693"/>
    <w:rsid w:val="00CB1868"/>
    <w:rsid w:val="00CB1CFF"/>
    <w:rsid w:val="00CB23D2"/>
    <w:rsid w:val="00CB2B2F"/>
    <w:rsid w:val="00CB409C"/>
    <w:rsid w:val="00CB47BB"/>
    <w:rsid w:val="00CB50F5"/>
    <w:rsid w:val="00CC0678"/>
    <w:rsid w:val="00CC554F"/>
    <w:rsid w:val="00CC63BD"/>
    <w:rsid w:val="00CC698E"/>
    <w:rsid w:val="00CC7AD0"/>
    <w:rsid w:val="00CD02D0"/>
    <w:rsid w:val="00CD25EC"/>
    <w:rsid w:val="00CD29E2"/>
    <w:rsid w:val="00CD3C90"/>
    <w:rsid w:val="00CD3E58"/>
    <w:rsid w:val="00CD4E85"/>
    <w:rsid w:val="00CD7084"/>
    <w:rsid w:val="00CE09E1"/>
    <w:rsid w:val="00CE0A7C"/>
    <w:rsid w:val="00CE4836"/>
    <w:rsid w:val="00CE7441"/>
    <w:rsid w:val="00CF07AB"/>
    <w:rsid w:val="00CF13BC"/>
    <w:rsid w:val="00CF2075"/>
    <w:rsid w:val="00CF35CD"/>
    <w:rsid w:val="00CF40C8"/>
    <w:rsid w:val="00CF41C9"/>
    <w:rsid w:val="00CF5D3B"/>
    <w:rsid w:val="00CF6775"/>
    <w:rsid w:val="00CF71C5"/>
    <w:rsid w:val="00CF71F8"/>
    <w:rsid w:val="00D05876"/>
    <w:rsid w:val="00D05F22"/>
    <w:rsid w:val="00D066A8"/>
    <w:rsid w:val="00D103F9"/>
    <w:rsid w:val="00D10D07"/>
    <w:rsid w:val="00D12144"/>
    <w:rsid w:val="00D128EF"/>
    <w:rsid w:val="00D1302A"/>
    <w:rsid w:val="00D13AD2"/>
    <w:rsid w:val="00D158F2"/>
    <w:rsid w:val="00D16B9B"/>
    <w:rsid w:val="00D17838"/>
    <w:rsid w:val="00D17986"/>
    <w:rsid w:val="00D209EF"/>
    <w:rsid w:val="00D20C86"/>
    <w:rsid w:val="00D2112F"/>
    <w:rsid w:val="00D213EC"/>
    <w:rsid w:val="00D2289A"/>
    <w:rsid w:val="00D22E06"/>
    <w:rsid w:val="00D2571B"/>
    <w:rsid w:val="00D25AA2"/>
    <w:rsid w:val="00D25CDF"/>
    <w:rsid w:val="00D265E8"/>
    <w:rsid w:val="00D31618"/>
    <w:rsid w:val="00D31722"/>
    <w:rsid w:val="00D3217C"/>
    <w:rsid w:val="00D346E6"/>
    <w:rsid w:val="00D349AD"/>
    <w:rsid w:val="00D3502E"/>
    <w:rsid w:val="00D35056"/>
    <w:rsid w:val="00D3641B"/>
    <w:rsid w:val="00D40746"/>
    <w:rsid w:val="00D407B8"/>
    <w:rsid w:val="00D43D53"/>
    <w:rsid w:val="00D51521"/>
    <w:rsid w:val="00D5565E"/>
    <w:rsid w:val="00D6129E"/>
    <w:rsid w:val="00D65A3F"/>
    <w:rsid w:val="00D65DA8"/>
    <w:rsid w:val="00D661E4"/>
    <w:rsid w:val="00D66455"/>
    <w:rsid w:val="00D665BF"/>
    <w:rsid w:val="00D66A0C"/>
    <w:rsid w:val="00D673B8"/>
    <w:rsid w:val="00D702B1"/>
    <w:rsid w:val="00D7264A"/>
    <w:rsid w:val="00D7306A"/>
    <w:rsid w:val="00D7306B"/>
    <w:rsid w:val="00D73684"/>
    <w:rsid w:val="00D74AC1"/>
    <w:rsid w:val="00D74E61"/>
    <w:rsid w:val="00D8010B"/>
    <w:rsid w:val="00D82B16"/>
    <w:rsid w:val="00D8366B"/>
    <w:rsid w:val="00D83E9D"/>
    <w:rsid w:val="00D8444A"/>
    <w:rsid w:val="00D87599"/>
    <w:rsid w:val="00D8796B"/>
    <w:rsid w:val="00D87D0C"/>
    <w:rsid w:val="00D911A9"/>
    <w:rsid w:val="00D92392"/>
    <w:rsid w:val="00D923E9"/>
    <w:rsid w:val="00D9295A"/>
    <w:rsid w:val="00D943FF"/>
    <w:rsid w:val="00D95107"/>
    <w:rsid w:val="00D961AA"/>
    <w:rsid w:val="00DA0F98"/>
    <w:rsid w:val="00DA11A1"/>
    <w:rsid w:val="00DA3B11"/>
    <w:rsid w:val="00DA4D5B"/>
    <w:rsid w:val="00DA72ED"/>
    <w:rsid w:val="00DA7C10"/>
    <w:rsid w:val="00DB2245"/>
    <w:rsid w:val="00DB3AAD"/>
    <w:rsid w:val="00DB40D7"/>
    <w:rsid w:val="00DB4F65"/>
    <w:rsid w:val="00DB70DB"/>
    <w:rsid w:val="00DB749B"/>
    <w:rsid w:val="00DC06F7"/>
    <w:rsid w:val="00DC64BA"/>
    <w:rsid w:val="00DC68E5"/>
    <w:rsid w:val="00DC6986"/>
    <w:rsid w:val="00DC6C38"/>
    <w:rsid w:val="00DC707F"/>
    <w:rsid w:val="00DD02C5"/>
    <w:rsid w:val="00DD07AF"/>
    <w:rsid w:val="00DD119F"/>
    <w:rsid w:val="00DD33FB"/>
    <w:rsid w:val="00DD6434"/>
    <w:rsid w:val="00DD6C1E"/>
    <w:rsid w:val="00DD79D0"/>
    <w:rsid w:val="00DE11A0"/>
    <w:rsid w:val="00DE11F0"/>
    <w:rsid w:val="00DE2CCF"/>
    <w:rsid w:val="00DE4453"/>
    <w:rsid w:val="00DE63D1"/>
    <w:rsid w:val="00DE6B7B"/>
    <w:rsid w:val="00DE72F7"/>
    <w:rsid w:val="00DF058C"/>
    <w:rsid w:val="00DF09B1"/>
    <w:rsid w:val="00DF16D5"/>
    <w:rsid w:val="00DF4DB9"/>
    <w:rsid w:val="00DF57CB"/>
    <w:rsid w:val="00DF6F9F"/>
    <w:rsid w:val="00E011C7"/>
    <w:rsid w:val="00E011F0"/>
    <w:rsid w:val="00E02490"/>
    <w:rsid w:val="00E026BC"/>
    <w:rsid w:val="00E04F59"/>
    <w:rsid w:val="00E0504C"/>
    <w:rsid w:val="00E0723E"/>
    <w:rsid w:val="00E11826"/>
    <w:rsid w:val="00E12C34"/>
    <w:rsid w:val="00E1542A"/>
    <w:rsid w:val="00E15F2C"/>
    <w:rsid w:val="00E16823"/>
    <w:rsid w:val="00E172B5"/>
    <w:rsid w:val="00E17E8D"/>
    <w:rsid w:val="00E208A5"/>
    <w:rsid w:val="00E22201"/>
    <w:rsid w:val="00E26F6E"/>
    <w:rsid w:val="00E31F35"/>
    <w:rsid w:val="00E332E2"/>
    <w:rsid w:val="00E33A67"/>
    <w:rsid w:val="00E35422"/>
    <w:rsid w:val="00E35711"/>
    <w:rsid w:val="00E37677"/>
    <w:rsid w:val="00E3794B"/>
    <w:rsid w:val="00E37E84"/>
    <w:rsid w:val="00E41766"/>
    <w:rsid w:val="00E41E1C"/>
    <w:rsid w:val="00E457B8"/>
    <w:rsid w:val="00E50415"/>
    <w:rsid w:val="00E51AD3"/>
    <w:rsid w:val="00E51D4C"/>
    <w:rsid w:val="00E520E3"/>
    <w:rsid w:val="00E54143"/>
    <w:rsid w:val="00E54E4F"/>
    <w:rsid w:val="00E57369"/>
    <w:rsid w:val="00E618D4"/>
    <w:rsid w:val="00E62F1A"/>
    <w:rsid w:val="00E6336A"/>
    <w:rsid w:val="00E639CE"/>
    <w:rsid w:val="00E6439A"/>
    <w:rsid w:val="00E700EC"/>
    <w:rsid w:val="00E7011B"/>
    <w:rsid w:val="00E707A2"/>
    <w:rsid w:val="00E72124"/>
    <w:rsid w:val="00E75B06"/>
    <w:rsid w:val="00E760B7"/>
    <w:rsid w:val="00E76AC2"/>
    <w:rsid w:val="00E7775E"/>
    <w:rsid w:val="00E83CEC"/>
    <w:rsid w:val="00E84B03"/>
    <w:rsid w:val="00E860A5"/>
    <w:rsid w:val="00E869DB"/>
    <w:rsid w:val="00E86F7F"/>
    <w:rsid w:val="00E903A6"/>
    <w:rsid w:val="00E914BA"/>
    <w:rsid w:val="00E92B02"/>
    <w:rsid w:val="00E9606D"/>
    <w:rsid w:val="00EA0254"/>
    <w:rsid w:val="00EA1819"/>
    <w:rsid w:val="00EA2995"/>
    <w:rsid w:val="00EA478A"/>
    <w:rsid w:val="00EA5D5A"/>
    <w:rsid w:val="00EA5FD6"/>
    <w:rsid w:val="00EB1024"/>
    <w:rsid w:val="00EB2C73"/>
    <w:rsid w:val="00EB2E10"/>
    <w:rsid w:val="00EB426E"/>
    <w:rsid w:val="00EB5054"/>
    <w:rsid w:val="00EB5429"/>
    <w:rsid w:val="00EB55C1"/>
    <w:rsid w:val="00EB5BC8"/>
    <w:rsid w:val="00EB6933"/>
    <w:rsid w:val="00EB7DC2"/>
    <w:rsid w:val="00EB7DCF"/>
    <w:rsid w:val="00EB7E90"/>
    <w:rsid w:val="00EC13B7"/>
    <w:rsid w:val="00EC1CF9"/>
    <w:rsid w:val="00EC29BE"/>
    <w:rsid w:val="00EC3743"/>
    <w:rsid w:val="00EC5BD0"/>
    <w:rsid w:val="00ED1156"/>
    <w:rsid w:val="00ED2D37"/>
    <w:rsid w:val="00ED3B6A"/>
    <w:rsid w:val="00ED40B2"/>
    <w:rsid w:val="00ED53C9"/>
    <w:rsid w:val="00ED68A0"/>
    <w:rsid w:val="00EE2CA7"/>
    <w:rsid w:val="00EE4143"/>
    <w:rsid w:val="00EE43BA"/>
    <w:rsid w:val="00EE6A18"/>
    <w:rsid w:val="00EE7DE4"/>
    <w:rsid w:val="00EF0127"/>
    <w:rsid w:val="00EF0800"/>
    <w:rsid w:val="00EF1060"/>
    <w:rsid w:val="00EF20CE"/>
    <w:rsid w:val="00EF5119"/>
    <w:rsid w:val="00EF660F"/>
    <w:rsid w:val="00EF66E8"/>
    <w:rsid w:val="00EF6E4A"/>
    <w:rsid w:val="00F005DA"/>
    <w:rsid w:val="00F006A2"/>
    <w:rsid w:val="00F01124"/>
    <w:rsid w:val="00F021D4"/>
    <w:rsid w:val="00F03B94"/>
    <w:rsid w:val="00F0506A"/>
    <w:rsid w:val="00F06F18"/>
    <w:rsid w:val="00F071E2"/>
    <w:rsid w:val="00F15883"/>
    <w:rsid w:val="00F16ED4"/>
    <w:rsid w:val="00F17FE2"/>
    <w:rsid w:val="00F22015"/>
    <w:rsid w:val="00F230A6"/>
    <w:rsid w:val="00F271F4"/>
    <w:rsid w:val="00F2734E"/>
    <w:rsid w:val="00F273D6"/>
    <w:rsid w:val="00F304ED"/>
    <w:rsid w:val="00F32D07"/>
    <w:rsid w:val="00F32FF9"/>
    <w:rsid w:val="00F347FE"/>
    <w:rsid w:val="00F36810"/>
    <w:rsid w:val="00F37176"/>
    <w:rsid w:val="00F41B9C"/>
    <w:rsid w:val="00F42768"/>
    <w:rsid w:val="00F43499"/>
    <w:rsid w:val="00F43D93"/>
    <w:rsid w:val="00F44F4A"/>
    <w:rsid w:val="00F45925"/>
    <w:rsid w:val="00F45979"/>
    <w:rsid w:val="00F45A92"/>
    <w:rsid w:val="00F471B6"/>
    <w:rsid w:val="00F50FCB"/>
    <w:rsid w:val="00F51439"/>
    <w:rsid w:val="00F51B0E"/>
    <w:rsid w:val="00F51BB9"/>
    <w:rsid w:val="00F537B5"/>
    <w:rsid w:val="00F53F63"/>
    <w:rsid w:val="00F54175"/>
    <w:rsid w:val="00F5500C"/>
    <w:rsid w:val="00F55220"/>
    <w:rsid w:val="00F561BB"/>
    <w:rsid w:val="00F56FA1"/>
    <w:rsid w:val="00F57BBE"/>
    <w:rsid w:val="00F60EED"/>
    <w:rsid w:val="00F64E94"/>
    <w:rsid w:val="00F658E8"/>
    <w:rsid w:val="00F65C55"/>
    <w:rsid w:val="00F70AF1"/>
    <w:rsid w:val="00F725A3"/>
    <w:rsid w:val="00F732C4"/>
    <w:rsid w:val="00F75492"/>
    <w:rsid w:val="00F75EFF"/>
    <w:rsid w:val="00F761FA"/>
    <w:rsid w:val="00F76EAF"/>
    <w:rsid w:val="00F80B9A"/>
    <w:rsid w:val="00F80EA2"/>
    <w:rsid w:val="00F83294"/>
    <w:rsid w:val="00F838CE"/>
    <w:rsid w:val="00F84052"/>
    <w:rsid w:val="00F84119"/>
    <w:rsid w:val="00F856CA"/>
    <w:rsid w:val="00F85B8C"/>
    <w:rsid w:val="00F90768"/>
    <w:rsid w:val="00F90838"/>
    <w:rsid w:val="00F91D4F"/>
    <w:rsid w:val="00F93B2F"/>
    <w:rsid w:val="00F940D9"/>
    <w:rsid w:val="00F94982"/>
    <w:rsid w:val="00F96CE1"/>
    <w:rsid w:val="00FA4A0D"/>
    <w:rsid w:val="00FA6584"/>
    <w:rsid w:val="00FB1612"/>
    <w:rsid w:val="00FB2D03"/>
    <w:rsid w:val="00FB4873"/>
    <w:rsid w:val="00FB55ED"/>
    <w:rsid w:val="00FC0BAC"/>
    <w:rsid w:val="00FC1EA8"/>
    <w:rsid w:val="00FC2504"/>
    <w:rsid w:val="00FC3DB2"/>
    <w:rsid w:val="00FC3E81"/>
    <w:rsid w:val="00FC4C19"/>
    <w:rsid w:val="00FC5AB9"/>
    <w:rsid w:val="00FC6482"/>
    <w:rsid w:val="00FC7228"/>
    <w:rsid w:val="00FD0A33"/>
    <w:rsid w:val="00FD102B"/>
    <w:rsid w:val="00FD1C22"/>
    <w:rsid w:val="00FD4AE8"/>
    <w:rsid w:val="00FD55E1"/>
    <w:rsid w:val="00FD6061"/>
    <w:rsid w:val="00FD650F"/>
    <w:rsid w:val="00FD6AC5"/>
    <w:rsid w:val="00FD71A2"/>
    <w:rsid w:val="00FD7F09"/>
    <w:rsid w:val="00FE26CC"/>
    <w:rsid w:val="00FE2779"/>
    <w:rsid w:val="00FE2A1C"/>
    <w:rsid w:val="00FE4164"/>
    <w:rsid w:val="00FE4232"/>
    <w:rsid w:val="00FE6FEC"/>
    <w:rsid w:val="00FE7684"/>
    <w:rsid w:val="00FF063C"/>
    <w:rsid w:val="00FF2502"/>
    <w:rsid w:val="00FF2D6D"/>
    <w:rsid w:val="00FF40C5"/>
    <w:rsid w:val="00FF46AF"/>
    <w:rsid w:val="00FF61E9"/>
    <w:rsid w:val="00FF6916"/>
    <w:rsid w:val="00FF7584"/>
    <w:rsid w:val="011F09A2"/>
    <w:rsid w:val="01D53E1F"/>
    <w:rsid w:val="01F817E8"/>
    <w:rsid w:val="02333FAB"/>
    <w:rsid w:val="027A3847"/>
    <w:rsid w:val="02960B90"/>
    <w:rsid w:val="02FF6933"/>
    <w:rsid w:val="03DC72AD"/>
    <w:rsid w:val="04603446"/>
    <w:rsid w:val="04C5731B"/>
    <w:rsid w:val="06B15226"/>
    <w:rsid w:val="06D87876"/>
    <w:rsid w:val="073A2D2E"/>
    <w:rsid w:val="08C65425"/>
    <w:rsid w:val="08E3593C"/>
    <w:rsid w:val="093F522E"/>
    <w:rsid w:val="095772E3"/>
    <w:rsid w:val="09AC1DD0"/>
    <w:rsid w:val="0A232DC1"/>
    <w:rsid w:val="0A364F31"/>
    <w:rsid w:val="0AAB7EDF"/>
    <w:rsid w:val="0ABA2816"/>
    <w:rsid w:val="0B0C1DEE"/>
    <w:rsid w:val="0B703056"/>
    <w:rsid w:val="0B98683A"/>
    <w:rsid w:val="0BC41A01"/>
    <w:rsid w:val="0C177AFF"/>
    <w:rsid w:val="0C407D57"/>
    <w:rsid w:val="0CAB602D"/>
    <w:rsid w:val="0CD949FA"/>
    <w:rsid w:val="0D162518"/>
    <w:rsid w:val="0D206706"/>
    <w:rsid w:val="0D8D6A2A"/>
    <w:rsid w:val="0E7B0C16"/>
    <w:rsid w:val="0F1C6975"/>
    <w:rsid w:val="0F592033"/>
    <w:rsid w:val="0F85606A"/>
    <w:rsid w:val="103D587C"/>
    <w:rsid w:val="10711547"/>
    <w:rsid w:val="10E46E5E"/>
    <w:rsid w:val="120C0FDE"/>
    <w:rsid w:val="121D0224"/>
    <w:rsid w:val="13DA7296"/>
    <w:rsid w:val="140416E2"/>
    <w:rsid w:val="142069F5"/>
    <w:rsid w:val="14BE01CE"/>
    <w:rsid w:val="15431692"/>
    <w:rsid w:val="16A31BD1"/>
    <w:rsid w:val="16BD2A5D"/>
    <w:rsid w:val="18057723"/>
    <w:rsid w:val="186C5FA5"/>
    <w:rsid w:val="18B03D66"/>
    <w:rsid w:val="19736861"/>
    <w:rsid w:val="1A506434"/>
    <w:rsid w:val="1A53435A"/>
    <w:rsid w:val="1A825C01"/>
    <w:rsid w:val="1A896E91"/>
    <w:rsid w:val="1B9D0191"/>
    <w:rsid w:val="1C63645D"/>
    <w:rsid w:val="1D8C1CC9"/>
    <w:rsid w:val="1DA014F6"/>
    <w:rsid w:val="1DD55076"/>
    <w:rsid w:val="1EA32FFE"/>
    <w:rsid w:val="1EEF49AE"/>
    <w:rsid w:val="1F063793"/>
    <w:rsid w:val="1F4C51E7"/>
    <w:rsid w:val="1F931CF9"/>
    <w:rsid w:val="201F76FF"/>
    <w:rsid w:val="20D05CA6"/>
    <w:rsid w:val="20FA041C"/>
    <w:rsid w:val="218B0BA8"/>
    <w:rsid w:val="21A125BF"/>
    <w:rsid w:val="21E147D5"/>
    <w:rsid w:val="226B3000"/>
    <w:rsid w:val="22836696"/>
    <w:rsid w:val="22D463D9"/>
    <w:rsid w:val="240674D2"/>
    <w:rsid w:val="2421781B"/>
    <w:rsid w:val="24341105"/>
    <w:rsid w:val="24394A69"/>
    <w:rsid w:val="24810EF8"/>
    <w:rsid w:val="252A0EF3"/>
    <w:rsid w:val="26865B8B"/>
    <w:rsid w:val="269E54AA"/>
    <w:rsid w:val="272A55F7"/>
    <w:rsid w:val="27551BD8"/>
    <w:rsid w:val="27B10559"/>
    <w:rsid w:val="28B80C7D"/>
    <w:rsid w:val="28CB5A80"/>
    <w:rsid w:val="29AE0DF8"/>
    <w:rsid w:val="2A2945DA"/>
    <w:rsid w:val="2A7B4178"/>
    <w:rsid w:val="2ACA5D7D"/>
    <w:rsid w:val="2AD46786"/>
    <w:rsid w:val="2B74234C"/>
    <w:rsid w:val="2C562776"/>
    <w:rsid w:val="2D331474"/>
    <w:rsid w:val="2DC500ED"/>
    <w:rsid w:val="2DE71491"/>
    <w:rsid w:val="2E85293B"/>
    <w:rsid w:val="2EC27D0A"/>
    <w:rsid w:val="2FBE0181"/>
    <w:rsid w:val="30B617E9"/>
    <w:rsid w:val="314C66A1"/>
    <w:rsid w:val="314C7A29"/>
    <w:rsid w:val="322A5947"/>
    <w:rsid w:val="324C68C1"/>
    <w:rsid w:val="32836087"/>
    <w:rsid w:val="331E1308"/>
    <w:rsid w:val="33546376"/>
    <w:rsid w:val="33D9161D"/>
    <w:rsid w:val="34C832E9"/>
    <w:rsid w:val="357207A0"/>
    <w:rsid w:val="36E24103"/>
    <w:rsid w:val="37A16625"/>
    <w:rsid w:val="3839725F"/>
    <w:rsid w:val="3866038A"/>
    <w:rsid w:val="38740FD9"/>
    <w:rsid w:val="38B531E7"/>
    <w:rsid w:val="38EF3989"/>
    <w:rsid w:val="39F138EB"/>
    <w:rsid w:val="3A496654"/>
    <w:rsid w:val="3AAE377F"/>
    <w:rsid w:val="3AB56A99"/>
    <w:rsid w:val="3AB94164"/>
    <w:rsid w:val="3AFF1B22"/>
    <w:rsid w:val="3B994CB1"/>
    <w:rsid w:val="3D382B5C"/>
    <w:rsid w:val="3D8C14EF"/>
    <w:rsid w:val="3D9F2DE5"/>
    <w:rsid w:val="3DD2462E"/>
    <w:rsid w:val="3E0A7CEA"/>
    <w:rsid w:val="3E4663E0"/>
    <w:rsid w:val="40267F92"/>
    <w:rsid w:val="40523A0F"/>
    <w:rsid w:val="40686E46"/>
    <w:rsid w:val="41001CF8"/>
    <w:rsid w:val="41051994"/>
    <w:rsid w:val="412F72DC"/>
    <w:rsid w:val="416B3D2E"/>
    <w:rsid w:val="41D23927"/>
    <w:rsid w:val="43472A26"/>
    <w:rsid w:val="436D78B0"/>
    <w:rsid w:val="43756984"/>
    <w:rsid w:val="43A04F61"/>
    <w:rsid w:val="44111B88"/>
    <w:rsid w:val="449C05C5"/>
    <w:rsid w:val="44A307DB"/>
    <w:rsid w:val="44AA20BA"/>
    <w:rsid w:val="44BE1E40"/>
    <w:rsid w:val="44C81773"/>
    <w:rsid w:val="458919AF"/>
    <w:rsid w:val="45A941B4"/>
    <w:rsid w:val="45CF45A7"/>
    <w:rsid w:val="461D3BFD"/>
    <w:rsid w:val="462B08C0"/>
    <w:rsid w:val="4753488D"/>
    <w:rsid w:val="48D25D47"/>
    <w:rsid w:val="49A020DB"/>
    <w:rsid w:val="4A420AF3"/>
    <w:rsid w:val="4AED6059"/>
    <w:rsid w:val="4B4A4CF5"/>
    <w:rsid w:val="4C774E73"/>
    <w:rsid w:val="4D25504A"/>
    <w:rsid w:val="50425F1E"/>
    <w:rsid w:val="50C8571F"/>
    <w:rsid w:val="50DC4C63"/>
    <w:rsid w:val="51914FFA"/>
    <w:rsid w:val="51A836AC"/>
    <w:rsid w:val="51DA7D6C"/>
    <w:rsid w:val="51DE3290"/>
    <w:rsid w:val="540C2AD6"/>
    <w:rsid w:val="547556FD"/>
    <w:rsid w:val="54F46486"/>
    <w:rsid w:val="55474B85"/>
    <w:rsid w:val="55A66958"/>
    <w:rsid w:val="55B5349C"/>
    <w:rsid w:val="561A7328"/>
    <w:rsid w:val="56771490"/>
    <w:rsid w:val="56825C77"/>
    <w:rsid w:val="56D8390A"/>
    <w:rsid w:val="56EB551F"/>
    <w:rsid w:val="57323882"/>
    <w:rsid w:val="574160B7"/>
    <w:rsid w:val="579D1A00"/>
    <w:rsid w:val="57F35041"/>
    <w:rsid w:val="584F46D5"/>
    <w:rsid w:val="58687B75"/>
    <w:rsid w:val="588B4200"/>
    <w:rsid w:val="58E51859"/>
    <w:rsid w:val="59594DB4"/>
    <w:rsid w:val="59B60181"/>
    <w:rsid w:val="59FC0DE5"/>
    <w:rsid w:val="5B4C59BF"/>
    <w:rsid w:val="5B6A090E"/>
    <w:rsid w:val="5C312D8E"/>
    <w:rsid w:val="5C8D0831"/>
    <w:rsid w:val="5CBF27AE"/>
    <w:rsid w:val="5CC56F5D"/>
    <w:rsid w:val="5D172DAC"/>
    <w:rsid w:val="5D1B42BE"/>
    <w:rsid w:val="5D6128E6"/>
    <w:rsid w:val="5D844A9D"/>
    <w:rsid w:val="5F254AFD"/>
    <w:rsid w:val="5FBC0D86"/>
    <w:rsid w:val="604021DC"/>
    <w:rsid w:val="60CF1C1E"/>
    <w:rsid w:val="611257D9"/>
    <w:rsid w:val="611904B9"/>
    <w:rsid w:val="61A9409A"/>
    <w:rsid w:val="61E7065A"/>
    <w:rsid w:val="62577814"/>
    <w:rsid w:val="62597512"/>
    <w:rsid w:val="6385586D"/>
    <w:rsid w:val="640902F7"/>
    <w:rsid w:val="65A67909"/>
    <w:rsid w:val="66096C51"/>
    <w:rsid w:val="66A66835"/>
    <w:rsid w:val="66BC25E4"/>
    <w:rsid w:val="67210179"/>
    <w:rsid w:val="67292B47"/>
    <w:rsid w:val="67B620D5"/>
    <w:rsid w:val="67BC59A7"/>
    <w:rsid w:val="67EE3F97"/>
    <w:rsid w:val="681D2DB3"/>
    <w:rsid w:val="6853313E"/>
    <w:rsid w:val="696D380D"/>
    <w:rsid w:val="69AA240A"/>
    <w:rsid w:val="6A070525"/>
    <w:rsid w:val="6A961869"/>
    <w:rsid w:val="6B493C0F"/>
    <w:rsid w:val="6C924135"/>
    <w:rsid w:val="6D125BC1"/>
    <w:rsid w:val="6D2775E8"/>
    <w:rsid w:val="6D3C3594"/>
    <w:rsid w:val="6D7E290C"/>
    <w:rsid w:val="6EAE13FC"/>
    <w:rsid w:val="6FAB6FAD"/>
    <w:rsid w:val="6FE63936"/>
    <w:rsid w:val="70094CBB"/>
    <w:rsid w:val="703A0523"/>
    <w:rsid w:val="7050129B"/>
    <w:rsid w:val="70645946"/>
    <w:rsid w:val="71602504"/>
    <w:rsid w:val="719B38C2"/>
    <w:rsid w:val="71FA7599"/>
    <w:rsid w:val="726E215E"/>
    <w:rsid w:val="72C60FDD"/>
    <w:rsid w:val="73286B4F"/>
    <w:rsid w:val="73645429"/>
    <w:rsid w:val="739635BA"/>
    <w:rsid w:val="73F513B8"/>
    <w:rsid w:val="74F373EC"/>
    <w:rsid w:val="76732B4F"/>
    <w:rsid w:val="767C0130"/>
    <w:rsid w:val="76B06DE6"/>
    <w:rsid w:val="76FE524A"/>
    <w:rsid w:val="770701F2"/>
    <w:rsid w:val="780C7A78"/>
    <w:rsid w:val="78B406C7"/>
    <w:rsid w:val="78FE497D"/>
    <w:rsid w:val="797F780A"/>
    <w:rsid w:val="79A775AA"/>
    <w:rsid w:val="7A1F09D7"/>
    <w:rsid w:val="7A5831FC"/>
    <w:rsid w:val="7AA839B3"/>
    <w:rsid w:val="7B4F6BA7"/>
    <w:rsid w:val="7B6B08A7"/>
    <w:rsid w:val="7BDA1036"/>
    <w:rsid w:val="7CB57743"/>
    <w:rsid w:val="7CC81775"/>
    <w:rsid w:val="7CFF6582"/>
    <w:rsid w:val="7EB766E3"/>
    <w:rsid w:val="7FAD7723"/>
    <w:rsid w:val="7FB25C83"/>
    <w:rsid w:val="BEFC1773"/>
    <w:rsid w:val="CC4E48DD"/>
    <w:rsid w:val="FDEA94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58"/>
    <w:qFormat/>
    <w:uiPriority w:val="9"/>
    <w:pPr>
      <w:keepNext/>
      <w:keepLines/>
      <w:spacing w:line="360" w:lineRule="auto"/>
      <w:outlineLvl w:val="0"/>
    </w:pPr>
    <w:rPr>
      <w:b/>
      <w:bCs/>
      <w:kern w:val="44"/>
      <w:sz w:val="28"/>
      <w:szCs w:val="44"/>
    </w:rPr>
  </w:style>
  <w:style w:type="paragraph" w:styleId="3">
    <w:name w:val="heading 2"/>
    <w:basedOn w:val="1"/>
    <w:next w:val="1"/>
    <w:link w:val="59"/>
    <w:unhideWhenUsed/>
    <w:qFormat/>
    <w:uiPriority w:val="9"/>
    <w:pPr>
      <w:keepNext/>
      <w:keepLines/>
      <w:spacing w:line="360" w:lineRule="auto"/>
      <w:outlineLvl w:val="1"/>
    </w:pPr>
    <w:rPr>
      <w:rFonts w:asciiTheme="majorHAnsi" w:hAnsiTheme="majorHAnsi" w:eastAsiaTheme="majorEastAsia" w:cstheme="majorBidi"/>
      <w:b/>
      <w:bCs/>
      <w:szCs w:val="32"/>
    </w:rPr>
  </w:style>
  <w:style w:type="paragraph" w:styleId="4">
    <w:name w:val="heading 3"/>
    <w:basedOn w:val="1"/>
    <w:next w:val="1"/>
    <w:link w:val="40"/>
    <w:qFormat/>
    <w:uiPriority w:val="9"/>
    <w:pPr>
      <w:spacing w:line="360" w:lineRule="auto"/>
      <w:outlineLvl w:val="2"/>
    </w:pPr>
    <w:rPr>
      <w:b/>
      <w:bCs/>
      <w:szCs w:val="27"/>
    </w:rPr>
  </w:style>
  <w:style w:type="paragraph" w:styleId="5">
    <w:name w:val="heading 4"/>
    <w:basedOn w:val="4"/>
    <w:next w:val="1"/>
    <w:link w:val="69"/>
    <w:unhideWhenUsed/>
    <w:qFormat/>
    <w:uiPriority w:val="9"/>
    <w:pPr>
      <w:outlineLvl w:val="3"/>
    </w:pPr>
    <w:rPr>
      <w:szCs w:val="24"/>
    </w:rPr>
  </w:style>
  <w:style w:type="paragraph" w:styleId="6">
    <w:name w:val="heading 5"/>
    <w:basedOn w:val="1"/>
    <w:next w:val="1"/>
    <w:link w:val="73"/>
    <w:unhideWhenUsed/>
    <w:qFormat/>
    <w:uiPriority w:val="9"/>
    <w:pPr>
      <w:spacing w:line="360" w:lineRule="auto"/>
      <w:outlineLvl w:val="4"/>
    </w:pPr>
    <w:rPr>
      <w:b/>
      <w:bCs/>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62"/>
    <w:unhideWhenUsed/>
    <w:qFormat/>
    <w:uiPriority w:val="99"/>
  </w:style>
  <w:style w:type="paragraph" w:styleId="8">
    <w:name w:val="Body Text"/>
    <w:basedOn w:val="1"/>
    <w:link w:val="31"/>
    <w:qFormat/>
    <w:uiPriority w:val="0"/>
    <w:rPr>
      <w:bCs/>
      <w:sz w:val="28"/>
      <w:szCs w:val="28"/>
    </w:rPr>
  </w:style>
  <w:style w:type="paragraph" w:styleId="9">
    <w:name w:val="toc 3"/>
    <w:basedOn w:val="1"/>
    <w:next w:val="1"/>
    <w:unhideWhenUsed/>
    <w:qFormat/>
    <w:uiPriority w:val="39"/>
    <w:pPr>
      <w:ind w:left="840" w:leftChars="400"/>
    </w:pPr>
  </w:style>
  <w:style w:type="paragraph" w:styleId="10">
    <w:name w:val="Date"/>
    <w:basedOn w:val="1"/>
    <w:next w:val="1"/>
    <w:link w:val="39"/>
    <w:unhideWhenUsed/>
    <w:qFormat/>
    <w:uiPriority w:val="99"/>
    <w:pPr>
      <w:ind w:left="100" w:leftChars="2500"/>
    </w:pPr>
  </w:style>
  <w:style w:type="paragraph" w:styleId="11">
    <w:name w:val="Balloon Text"/>
    <w:basedOn w:val="1"/>
    <w:link w:val="41"/>
    <w:unhideWhenUsed/>
    <w:qFormat/>
    <w:uiPriority w:val="99"/>
    <w:rPr>
      <w:sz w:val="18"/>
      <w:szCs w:val="18"/>
    </w:rPr>
  </w:style>
  <w:style w:type="paragraph" w:styleId="12">
    <w:name w:val="footer"/>
    <w:basedOn w:val="1"/>
    <w:link w:val="33"/>
    <w:unhideWhenUsed/>
    <w:qFormat/>
    <w:uiPriority w:val="99"/>
    <w:pPr>
      <w:tabs>
        <w:tab w:val="center" w:pos="4153"/>
        <w:tab w:val="right" w:pos="8306"/>
      </w:tabs>
      <w:snapToGrid w:val="0"/>
    </w:pPr>
    <w:rPr>
      <w:sz w:val="18"/>
      <w:szCs w:val="18"/>
    </w:rPr>
  </w:style>
  <w:style w:type="paragraph" w:styleId="13">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spacing w:before="100" w:beforeAutospacing="1" w:after="100" w:afterAutospacing="1"/>
    </w:pPr>
  </w:style>
  <w:style w:type="paragraph" w:styleId="17">
    <w:name w:val="annotation subject"/>
    <w:basedOn w:val="7"/>
    <w:next w:val="7"/>
    <w:link w:val="63"/>
    <w:unhideWhenUsed/>
    <w:qFormat/>
    <w:uiPriority w:val="99"/>
    <w:rPr>
      <w:b/>
      <w:bCs/>
    </w:rPr>
  </w:style>
  <w:style w:type="table" w:styleId="19">
    <w:name w:val="Table Grid"/>
    <w:basedOn w:val="1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1">
    <w:name w:val="Strong"/>
    <w:basedOn w:val="20"/>
    <w:qFormat/>
    <w:uiPriority w:val="0"/>
    <w:rPr>
      <w:b/>
    </w:rPr>
  </w:style>
  <w:style w:type="character" w:styleId="22">
    <w:name w:val="FollowedHyperlink"/>
    <w:basedOn w:val="20"/>
    <w:semiHidden/>
    <w:unhideWhenUsed/>
    <w:qFormat/>
    <w:uiPriority w:val="99"/>
    <w:rPr>
      <w:color w:val="954F72"/>
      <w:u w:val="single"/>
    </w:rPr>
  </w:style>
  <w:style w:type="character" w:styleId="23">
    <w:name w:val="Emphasis"/>
    <w:qFormat/>
    <w:uiPriority w:val="20"/>
    <w:rPr>
      <w:color w:val="CC0000"/>
    </w:rPr>
  </w:style>
  <w:style w:type="character" w:styleId="24">
    <w:name w:val="Hyperlink"/>
    <w:basedOn w:val="20"/>
    <w:unhideWhenUsed/>
    <w:qFormat/>
    <w:uiPriority w:val="99"/>
    <w:rPr>
      <w:color w:val="136EC2"/>
      <w:u w:val="single"/>
    </w:rPr>
  </w:style>
  <w:style w:type="character" w:styleId="25">
    <w:name w:val="annotation reference"/>
    <w:basedOn w:val="20"/>
    <w:unhideWhenUsed/>
    <w:qFormat/>
    <w:uiPriority w:val="99"/>
    <w:rPr>
      <w:sz w:val="21"/>
      <w:szCs w:val="21"/>
    </w:rPr>
  </w:style>
  <w:style w:type="paragraph" w:customStyle="1" w:styleId="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7">
    <w:name w:val="前言、引言标题"/>
    <w:next w:val="1"/>
    <w:qFormat/>
    <w:uiPriority w:val="0"/>
    <w:p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28">
    <w:name w:val="章标题"/>
    <w:next w:val="1"/>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29">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30">
    <w:name w:val="二级条标题"/>
    <w:basedOn w:val="29"/>
    <w:next w:val="1"/>
    <w:qFormat/>
    <w:uiPriority w:val="0"/>
    <w:pPr>
      <w:outlineLvl w:val="3"/>
    </w:pPr>
  </w:style>
  <w:style w:type="character" w:customStyle="1" w:styleId="31">
    <w:name w:val="正文文本 字符"/>
    <w:link w:val="8"/>
    <w:qFormat/>
    <w:uiPriority w:val="0"/>
    <w:rPr>
      <w:rFonts w:ascii="宋体" w:hAnsi="宋体" w:eastAsia="宋体" w:cs="Times New Roman"/>
      <w:bCs/>
      <w:sz w:val="28"/>
      <w:szCs w:val="28"/>
    </w:rPr>
  </w:style>
  <w:style w:type="character" w:customStyle="1" w:styleId="32">
    <w:name w:val="页眉 字符"/>
    <w:link w:val="13"/>
    <w:qFormat/>
    <w:uiPriority w:val="99"/>
    <w:rPr>
      <w:rFonts w:ascii="Times New Roman" w:hAnsi="Times New Roman" w:eastAsia="宋体" w:cs="Times New Roman"/>
      <w:sz w:val="18"/>
      <w:szCs w:val="18"/>
    </w:rPr>
  </w:style>
  <w:style w:type="character" w:customStyle="1" w:styleId="33">
    <w:name w:val="页脚 字符"/>
    <w:link w:val="12"/>
    <w:qFormat/>
    <w:uiPriority w:val="99"/>
    <w:rPr>
      <w:rFonts w:ascii="Times New Roman" w:hAnsi="Times New Roman" w:eastAsia="宋体" w:cs="Times New Roman"/>
      <w:sz w:val="18"/>
      <w:szCs w:val="18"/>
    </w:rPr>
  </w:style>
  <w:style w:type="paragraph" w:customStyle="1" w:styleId="34">
    <w:name w:val="Char Char Char Char Char Char Char"/>
    <w:basedOn w:val="1"/>
    <w:qFormat/>
    <w:uiPriority w:val="0"/>
    <w:pPr>
      <w:spacing w:after="160" w:line="240" w:lineRule="exact"/>
    </w:pPr>
    <w:rPr>
      <w:rFonts w:ascii="Arial" w:hAnsi="Arial" w:eastAsia="Times New Roman" w:cs="Verdana"/>
      <w:b/>
      <w:lang w:eastAsia="en-US"/>
    </w:rPr>
  </w:style>
  <w:style w:type="paragraph" w:customStyle="1" w:styleId="35">
    <w:name w:val="三级条标题"/>
    <w:basedOn w:val="30"/>
    <w:next w:val="1"/>
    <w:qFormat/>
    <w:uiPriority w:val="0"/>
    <w:pPr>
      <w:jc w:val="both"/>
      <w:outlineLvl w:val="4"/>
    </w:pPr>
    <w:rPr>
      <w:rFonts w:ascii="黑体"/>
    </w:rPr>
  </w:style>
  <w:style w:type="paragraph" w:customStyle="1" w:styleId="36">
    <w:name w:val="四级条标题"/>
    <w:basedOn w:val="35"/>
    <w:next w:val="1"/>
    <w:qFormat/>
    <w:uiPriority w:val="0"/>
    <w:pPr>
      <w:outlineLvl w:val="5"/>
    </w:pPr>
  </w:style>
  <w:style w:type="paragraph" w:customStyle="1" w:styleId="37">
    <w:name w:val="五级条标题"/>
    <w:basedOn w:val="36"/>
    <w:next w:val="1"/>
    <w:qFormat/>
    <w:uiPriority w:val="0"/>
    <w:pPr>
      <w:outlineLvl w:val="6"/>
    </w:pPr>
  </w:style>
  <w:style w:type="character" w:customStyle="1" w:styleId="38">
    <w:name w:val="short_text1"/>
    <w:qFormat/>
    <w:uiPriority w:val="0"/>
    <w:rPr>
      <w:sz w:val="29"/>
      <w:szCs w:val="29"/>
    </w:rPr>
  </w:style>
  <w:style w:type="character" w:customStyle="1" w:styleId="39">
    <w:name w:val="日期 字符"/>
    <w:link w:val="10"/>
    <w:semiHidden/>
    <w:qFormat/>
    <w:uiPriority w:val="99"/>
    <w:rPr>
      <w:rFonts w:ascii="Times New Roman" w:hAnsi="Times New Roman"/>
      <w:kern w:val="2"/>
      <w:sz w:val="21"/>
      <w:szCs w:val="24"/>
    </w:rPr>
  </w:style>
  <w:style w:type="character" w:customStyle="1" w:styleId="40">
    <w:name w:val="标题 3 字符"/>
    <w:basedOn w:val="20"/>
    <w:link w:val="4"/>
    <w:qFormat/>
    <w:uiPriority w:val="9"/>
    <w:rPr>
      <w:rFonts w:ascii="宋体" w:hAnsi="宋体" w:cs="宋体"/>
      <w:b/>
      <w:bCs/>
      <w:sz w:val="24"/>
      <w:szCs w:val="27"/>
    </w:rPr>
  </w:style>
  <w:style w:type="character" w:customStyle="1" w:styleId="41">
    <w:name w:val="批注框文本 字符"/>
    <w:basedOn w:val="20"/>
    <w:link w:val="11"/>
    <w:semiHidden/>
    <w:qFormat/>
    <w:uiPriority w:val="99"/>
    <w:rPr>
      <w:rFonts w:ascii="Times New Roman" w:hAnsi="Times New Roman"/>
      <w:kern w:val="2"/>
      <w:sz w:val="18"/>
      <w:szCs w:val="18"/>
    </w:rPr>
  </w:style>
  <w:style w:type="paragraph" w:customStyle="1" w:styleId="42">
    <w:name w:val="段"/>
    <w:link w:val="4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43">
    <w:name w:val="段 Char"/>
    <w:basedOn w:val="20"/>
    <w:link w:val="42"/>
    <w:qFormat/>
    <w:uiPriority w:val="0"/>
    <w:rPr>
      <w:rFonts w:ascii="宋体" w:hAnsi="Times New Roman"/>
      <w:sz w:val="21"/>
    </w:rPr>
  </w:style>
  <w:style w:type="paragraph" w:customStyle="1" w:styleId="44">
    <w:name w:val="示例"/>
    <w:next w:val="1"/>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45">
    <w:name w:val="正文表标题"/>
    <w:next w:val="42"/>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46">
    <w:name w:val="正文图标题"/>
    <w:next w:val="42"/>
    <w:qFormat/>
    <w:uiPriority w:val="0"/>
    <w:pPr>
      <w:numPr>
        <w:ilvl w:val="0"/>
        <w:numId w:val="2"/>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47">
    <w:name w:val="其他发布日期"/>
    <w:basedOn w:val="1"/>
    <w:qFormat/>
    <w:uiPriority w:val="0"/>
    <w:pPr>
      <w:framePr w:w="3997" w:h="471" w:hRule="exact" w:vSpace="181" w:wrap="around" w:vAnchor="page" w:hAnchor="page" w:x="1419" w:y="14097" w:anchorLock="1"/>
      <w:numPr>
        <w:ilvl w:val="0"/>
        <w:numId w:val="3"/>
      </w:numPr>
    </w:pPr>
    <w:rPr>
      <w:rFonts w:eastAsia="黑体"/>
      <w:sz w:val="28"/>
      <w:szCs w:val="20"/>
    </w:rPr>
  </w:style>
  <w:style w:type="paragraph" w:customStyle="1" w:styleId="48">
    <w:name w:val="标准表题"/>
    <w:basedOn w:val="1"/>
    <w:next w:val="42"/>
    <w:qFormat/>
    <w:uiPriority w:val="0"/>
    <w:pPr>
      <w:jc w:val="center"/>
    </w:pPr>
    <w:rPr>
      <w:rFonts w:ascii="黑体" w:eastAsia="黑体"/>
      <w:kern w:val="21"/>
      <w:szCs w:val="20"/>
    </w:rPr>
  </w:style>
  <w:style w:type="paragraph" w:customStyle="1" w:styleId="49">
    <w:name w:val="章"/>
    <w:basedOn w:val="1"/>
    <w:next w:val="42"/>
    <w:qFormat/>
    <w:uiPriority w:val="0"/>
    <w:pPr>
      <w:adjustRightInd w:val="0"/>
      <w:spacing w:before="160" w:after="160"/>
      <w:outlineLvl w:val="0"/>
    </w:pPr>
    <w:rPr>
      <w:rFonts w:ascii="黑体" w:eastAsia="黑体"/>
      <w:kern w:val="21"/>
      <w:szCs w:val="20"/>
    </w:rPr>
  </w:style>
  <w:style w:type="paragraph" w:customStyle="1" w:styleId="50">
    <w:name w:val="条2"/>
    <w:basedOn w:val="1"/>
    <w:next w:val="42"/>
    <w:qFormat/>
    <w:uiPriority w:val="0"/>
    <w:pPr>
      <w:outlineLvl w:val="1"/>
    </w:pPr>
    <w:rPr>
      <w:rFonts w:ascii="黑体" w:eastAsia="黑体"/>
      <w:kern w:val="21"/>
      <w:szCs w:val="20"/>
    </w:rPr>
  </w:style>
  <w:style w:type="paragraph" w:customStyle="1" w:styleId="51">
    <w:name w:val="条1"/>
    <w:basedOn w:val="1"/>
    <w:next w:val="42"/>
    <w:qFormat/>
    <w:uiPriority w:val="0"/>
    <w:pPr>
      <w:outlineLvl w:val="1"/>
    </w:pPr>
    <w:rPr>
      <w:rFonts w:ascii="黑体" w:eastAsia="黑体"/>
      <w:kern w:val="21"/>
      <w:szCs w:val="20"/>
    </w:rPr>
  </w:style>
  <w:style w:type="character" w:customStyle="1" w:styleId="52">
    <w:name w:val="font111"/>
    <w:basedOn w:val="20"/>
    <w:qFormat/>
    <w:uiPriority w:val="0"/>
    <w:rPr>
      <w:rFonts w:hint="eastAsia" w:ascii="宋体" w:hAnsi="宋体" w:eastAsia="宋体"/>
      <w:color w:val="000000"/>
      <w:sz w:val="18"/>
      <w:szCs w:val="18"/>
      <w:u w:val="none"/>
    </w:rPr>
  </w:style>
  <w:style w:type="character" w:customStyle="1" w:styleId="53">
    <w:name w:val="font81"/>
    <w:basedOn w:val="20"/>
    <w:qFormat/>
    <w:uiPriority w:val="0"/>
    <w:rPr>
      <w:rFonts w:hint="default" w:ascii="Times New Roman" w:hAnsi="Times New Roman" w:cs="Times New Roman"/>
      <w:color w:val="000000"/>
      <w:sz w:val="18"/>
      <w:szCs w:val="18"/>
      <w:u w:val="none"/>
    </w:rPr>
  </w:style>
  <w:style w:type="character" w:customStyle="1" w:styleId="54">
    <w:name w:val="font121"/>
    <w:basedOn w:val="20"/>
    <w:qFormat/>
    <w:uiPriority w:val="0"/>
    <w:rPr>
      <w:rFonts w:hint="eastAsia" w:ascii="宋体" w:hAnsi="宋体" w:eastAsia="宋体"/>
      <w:b/>
      <w:bCs/>
      <w:color w:val="000000"/>
      <w:sz w:val="18"/>
      <w:szCs w:val="18"/>
      <w:u w:val="none"/>
    </w:rPr>
  </w:style>
  <w:style w:type="character" w:customStyle="1" w:styleId="55">
    <w:name w:val="font91"/>
    <w:basedOn w:val="20"/>
    <w:qFormat/>
    <w:uiPriority w:val="0"/>
    <w:rPr>
      <w:rFonts w:hint="default" w:ascii="Times New Roman" w:hAnsi="Times New Roman" w:cs="Times New Roman"/>
      <w:b/>
      <w:bCs/>
      <w:color w:val="000000"/>
      <w:sz w:val="18"/>
      <w:szCs w:val="18"/>
      <w:u w:val="none"/>
    </w:rPr>
  </w:style>
  <w:style w:type="character" w:customStyle="1" w:styleId="56">
    <w:name w:val="font71"/>
    <w:basedOn w:val="20"/>
    <w:qFormat/>
    <w:uiPriority w:val="0"/>
    <w:rPr>
      <w:rFonts w:hint="eastAsia" w:ascii="宋体" w:hAnsi="宋体" w:eastAsia="宋体"/>
      <w:color w:val="000000"/>
      <w:sz w:val="18"/>
      <w:szCs w:val="18"/>
      <w:u w:val="none"/>
    </w:rPr>
  </w:style>
  <w:style w:type="character" w:customStyle="1" w:styleId="57">
    <w:name w:val="font101"/>
    <w:basedOn w:val="20"/>
    <w:qFormat/>
    <w:uiPriority w:val="0"/>
    <w:rPr>
      <w:rFonts w:hint="default" w:ascii="Times New Roman" w:hAnsi="Times New Roman" w:cs="Times New Roman"/>
      <w:color w:val="000000"/>
      <w:sz w:val="18"/>
      <w:szCs w:val="18"/>
      <w:u w:val="none"/>
    </w:rPr>
  </w:style>
  <w:style w:type="character" w:customStyle="1" w:styleId="58">
    <w:name w:val="标题 1 字符"/>
    <w:basedOn w:val="20"/>
    <w:link w:val="2"/>
    <w:qFormat/>
    <w:uiPriority w:val="9"/>
    <w:rPr>
      <w:rFonts w:ascii="Times New Roman" w:hAnsi="Times New Roman"/>
      <w:b/>
      <w:bCs/>
      <w:kern w:val="44"/>
      <w:sz w:val="28"/>
      <w:szCs w:val="44"/>
    </w:rPr>
  </w:style>
  <w:style w:type="character" w:customStyle="1" w:styleId="59">
    <w:name w:val="标题 2 字符"/>
    <w:basedOn w:val="20"/>
    <w:link w:val="3"/>
    <w:qFormat/>
    <w:uiPriority w:val="9"/>
    <w:rPr>
      <w:rFonts w:asciiTheme="majorHAnsi" w:hAnsiTheme="majorHAnsi" w:eastAsiaTheme="majorEastAsia" w:cstheme="majorBidi"/>
      <w:b/>
      <w:bCs/>
      <w:kern w:val="2"/>
      <w:sz w:val="24"/>
      <w:szCs w:val="32"/>
    </w:rPr>
  </w:style>
  <w:style w:type="paragraph" w:customStyle="1" w:styleId="60">
    <w:name w:val="TOC 标题1"/>
    <w:basedOn w:val="2"/>
    <w:next w:val="1"/>
    <w:unhideWhenUsed/>
    <w:qFormat/>
    <w:uiPriority w:val="39"/>
    <w:pPr>
      <w:spacing w:before="240" w:line="259" w:lineRule="auto"/>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61">
    <w:name w:val="Table Paragraph"/>
    <w:basedOn w:val="1"/>
    <w:qFormat/>
    <w:uiPriority w:val="1"/>
    <w:rPr>
      <w:rFonts w:ascii="Calibri" w:hAnsi="Calibri" w:eastAsia="Calibri"/>
      <w:sz w:val="22"/>
      <w:szCs w:val="22"/>
      <w:lang w:eastAsia="en-US"/>
    </w:rPr>
  </w:style>
  <w:style w:type="character" w:customStyle="1" w:styleId="62">
    <w:name w:val="批注文字 字符"/>
    <w:basedOn w:val="20"/>
    <w:link w:val="7"/>
    <w:semiHidden/>
    <w:qFormat/>
    <w:uiPriority w:val="99"/>
    <w:rPr>
      <w:rFonts w:ascii="Times New Roman" w:hAnsi="Times New Roman"/>
      <w:kern w:val="2"/>
      <w:sz w:val="24"/>
      <w:szCs w:val="24"/>
    </w:rPr>
  </w:style>
  <w:style w:type="character" w:customStyle="1" w:styleId="63">
    <w:name w:val="批注主题 字符"/>
    <w:basedOn w:val="62"/>
    <w:link w:val="17"/>
    <w:semiHidden/>
    <w:qFormat/>
    <w:uiPriority w:val="99"/>
    <w:rPr>
      <w:rFonts w:ascii="Times New Roman" w:hAnsi="Times New Roman"/>
      <w:b/>
      <w:bCs/>
      <w:kern w:val="2"/>
      <w:sz w:val="24"/>
      <w:szCs w:val="24"/>
    </w:rPr>
  </w:style>
  <w:style w:type="paragraph" w:customStyle="1" w:styleId="64">
    <w:name w:val="修订1"/>
    <w:hidden/>
    <w:semiHidden/>
    <w:qFormat/>
    <w:uiPriority w:val="99"/>
    <w:rPr>
      <w:rFonts w:ascii="Times New Roman" w:hAnsi="Times New Roman" w:eastAsia="宋体" w:cs="Times New Roman"/>
      <w:kern w:val="2"/>
      <w:sz w:val="24"/>
      <w:szCs w:val="24"/>
      <w:lang w:val="en-US" w:eastAsia="zh-CN" w:bidi="ar-SA"/>
    </w:rPr>
  </w:style>
  <w:style w:type="character" w:customStyle="1" w:styleId="65">
    <w:name w:val="font11"/>
    <w:basedOn w:val="20"/>
    <w:qFormat/>
    <w:uiPriority w:val="0"/>
    <w:rPr>
      <w:rFonts w:hint="default" w:ascii="Times New Roman" w:hAnsi="Times New Roman" w:cs="Times New Roman"/>
      <w:color w:val="000000"/>
      <w:sz w:val="21"/>
      <w:szCs w:val="21"/>
      <w:u w:val="none"/>
    </w:rPr>
  </w:style>
  <w:style w:type="character" w:customStyle="1" w:styleId="66">
    <w:name w:val="font21"/>
    <w:basedOn w:val="20"/>
    <w:qFormat/>
    <w:uiPriority w:val="0"/>
    <w:rPr>
      <w:rFonts w:hint="eastAsia" w:ascii="宋体" w:hAnsi="宋体" w:eastAsia="宋体" w:cs="宋体"/>
      <w:color w:val="000000"/>
      <w:sz w:val="21"/>
      <w:szCs w:val="21"/>
      <w:u w:val="none"/>
    </w:rPr>
  </w:style>
  <w:style w:type="paragraph" w:styleId="67">
    <w:name w:val="List Paragraph"/>
    <w:basedOn w:val="1"/>
    <w:unhideWhenUsed/>
    <w:qFormat/>
    <w:uiPriority w:val="34"/>
    <w:pPr>
      <w:ind w:firstLine="420" w:firstLineChars="200"/>
    </w:pPr>
  </w:style>
  <w:style w:type="paragraph" w:customStyle="1" w:styleId="68">
    <w:name w:val="条3"/>
    <w:basedOn w:val="1"/>
    <w:qFormat/>
    <w:uiPriority w:val="0"/>
    <w:rPr>
      <w:rFonts w:asciiTheme="minorHAnsi" w:hAnsiTheme="minorHAnsi" w:eastAsiaTheme="minorEastAsia" w:cstheme="minorBidi"/>
      <w:sz w:val="21"/>
      <w:szCs w:val="22"/>
    </w:rPr>
  </w:style>
  <w:style w:type="character" w:customStyle="1" w:styleId="69">
    <w:name w:val="标题 4 字符"/>
    <w:basedOn w:val="20"/>
    <w:link w:val="5"/>
    <w:qFormat/>
    <w:uiPriority w:val="9"/>
    <w:rPr>
      <w:rFonts w:ascii="宋体" w:hAnsi="宋体" w:cs="宋体"/>
      <w:b/>
      <w:bCs/>
      <w:sz w:val="24"/>
      <w:szCs w:val="24"/>
    </w:rPr>
  </w:style>
  <w:style w:type="paragraph" w:customStyle="1" w:styleId="70">
    <w:name w:val="Revision"/>
    <w:hidden/>
    <w:semiHidden/>
    <w:qFormat/>
    <w:uiPriority w:val="99"/>
    <w:rPr>
      <w:rFonts w:ascii="宋体" w:hAnsi="宋体" w:eastAsia="宋体" w:cs="宋体"/>
      <w:sz w:val="24"/>
      <w:szCs w:val="24"/>
      <w:lang w:val="en-US" w:eastAsia="zh-CN" w:bidi="ar-SA"/>
    </w:rPr>
  </w:style>
  <w:style w:type="table" w:customStyle="1" w:styleId="71">
    <w:name w:val="Grid Table Light"/>
    <w:basedOn w:val="1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72">
    <w:name w:val="Grid Table 1 Light Accent 5"/>
    <w:basedOn w:val="18"/>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73">
    <w:name w:val="标题 5 字符"/>
    <w:basedOn w:val="20"/>
    <w:link w:val="6"/>
    <w:qFormat/>
    <w:uiPriority w:val="9"/>
    <w:rPr>
      <w:rFonts w:ascii="宋体" w:hAnsi="宋体" w:cs="宋体"/>
      <w:b/>
      <w:bCs/>
      <w:sz w:val="24"/>
      <w:szCs w:val="24"/>
    </w:rPr>
  </w:style>
  <w:style w:type="paragraph" w:customStyle="1" w:styleId="74">
    <w:name w:val="msonormal"/>
    <w:basedOn w:val="1"/>
    <w:qFormat/>
    <w:uiPriority w:val="0"/>
    <w:pPr>
      <w:spacing w:before="100" w:beforeAutospacing="1" w:after="100" w:afterAutospacing="1"/>
    </w:pPr>
  </w:style>
  <w:style w:type="paragraph" w:customStyle="1" w:styleId="75">
    <w:name w:val="font5"/>
    <w:basedOn w:val="1"/>
    <w:qFormat/>
    <w:uiPriority w:val="0"/>
    <w:pPr>
      <w:spacing w:before="100" w:beforeAutospacing="1" w:after="100" w:afterAutospacing="1"/>
    </w:pPr>
    <w:rPr>
      <w:rFonts w:ascii="等线" w:hAnsi="等线" w:eastAsia="等线"/>
      <w:sz w:val="18"/>
      <w:szCs w:val="18"/>
    </w:rPr>
  </w:style>
  <w:style w:type="paragraph" w:customStyle="1" w:styleId="76">
    <w:name w:val="font6"/>
    <w:basedOn w:val="1"/>
    <w:qFormat/>
    <w:uiPriority w:val="0"/>
    <w:pPr>
      <w:spacing w:before="100" w:beforeAutospacing="1" w:after="100" w:afterAutospacing="1"/>
    </w:pPr>
    <w:rPr>
      <w:color w:val="FF0000"/>
      <w:sz w:val="22"/>
      <w:szCs w:val="22"/>
    </w:rPr>
  </w:style>
  <w:style w:type="paragraph" w:customStyle="1" w:styleId="77">
    <w:name w:val="font7"/>
    <w:basedOn w:val="1"/>
    <w:qFormat/>
    <w:uiPriority w:val="0"/>
    <w:pPr>
      <w:spacing w:before="100" w:beforeAutospacing="1" w:after="100" w:afterAutospacing="1"/>
    </w:pPr>
    <w:rPr>
      <w:rFonts w:ascii="Arial" w:hAnsi="Arial" w:cs="Arial"/>
      <w:color w:val="FF0000"/>
      <w:sz w:val="22"/>
      <w:szCs w:val="22"/>
    </w:rPr>
  </w:style>
  <w:style w:type="paragraph" w:customStyle="1" w:styleId="78">
    <w:name w:val="font8"/>
    <w:basedOn w:val="1"/>
    <w:qFormat/>
    <w:uiPriority w:val="0"/>
    <w:pPr>
      <w:spacing w:before="100" w:beforeAutospacing="1" w:after="100" w:afterAutospacing="1"/>
    </w:pPr>
    <w:rPr>
      <w:rFonts w:ascii="等线" w:hAnsi="等线" w:eastAsia="等线"/>
      <w:color w:val="FF0000"/>
      <w:sz w:val="22"/>
      <w:szCs w:val="22"/>
    </w:rPr>
  </w:style>
  <w:style w:type="paragraph" w:customStyle="1" w:styleId="79">
    <w:name w:val="xl65"/>
    <w:basedOn w:val="1"/>
    <w:qFormat/>
    <w:uiPriority w:val="0"/>
    <w:pPr>
      <w:spacing w:before="100" w:beforeAutospacing="1" w:after="100" w:afterAutospacing="1"/>
      <w:jc w:val="center"/>
      <w:textAlignment w:val="center"/>
    </w:pPr>
    <w:rPr>
      <w:rFonts w:ascii="仿宋" w:hAnsi="仿宋" w:eastAsia="仿宋"/>
      <w:b/>
      <w:bCs/>
    </w:rPr>
  </w:style>
  <w:style w:type="paragraph" w:customStyle="1" w:styleId="80">
    <w:name w:val="xl66"/>
    <w:basedOn w:val="1"/>
    <w:qFormat/>
    <w:uiPriority w:val="0"/>
    <w:pPr>
      <w:spacing w:before="100" w:beforeAutospacing="1" w:after="100" w:afterAutospacing="1"/>
      <w:jc w:val="center"/>
      <w:textAlignment w:val="center"/>
    </w:pPr>
    <w:rPr>
      <w:b/>
      <w:bCs/>
    </w:rPr>
  </w:style>
  <w:style w:type="paragraph" w:customStyle="1" w:styleId="81">
    <w:name w:val="xl67"/>
    <w:basedOn w:val="1"/>
    <w:qFormat/>
    <w:uiPriority w:val="0"/>
    <w:pPr>
      <w:spacing w:before="100" w:beforeAutospacing="1" w:after="100" w:afterAutospacing="1"/>
      <w:jc w:val="center"/>
    </w:pPr>
    <w:rPr>
      <w:b/>
      <w:bCs/>
    </w:rPr>
  </w:style>
  <w:style w:type="paragraph" w:customStyle="1" w:styleId="82">
    <w:name w:val="xl68"/>
    <w:basedOn w:val="1"/>
    <w:qFormat/>
    <w:uiPriority w:val="0"/>
    <w:pPr>
      <w:shd w:val="clear" w:color="000000" w:fill="D9D9D9"/>
      <w:spacing w:before="100" w:beforeAutospacing="1" w:after="100" w:afterAutospacing="1"/>
      <w:jc w:val="center"/>
      <w:textAlignment w:val="center"/>
    </w:pPr>
    <w:rPr>
      <w:b/>
      <w:bCs/>
      <w:color w:val="000000"/>
    </w:rPr>
  </w:style>
  <w:style w:type="paragraph" w:customStyle="1" w:styleId="83">
    <w:name w:val="xl69"/>
    <w:basedOn w:val="1"/>
    <w:qFormat/>
    <w:uiPriority w:val="0"/>
    <w:pPr>
      <w:spacing w:before="100" w:beforeAutospacing="1" w:after="100" w:afterAutospacing="1"/>
      <w:jc w:val="center"/>
      <w:textAlignment w:val="center"/>
    </w:pPr>
    <w:rPr>
      <w:b/>
      <w:bCs/>
    </w:rPr>
  </w:style>
  <w:style w:type="paragraph" w:customStyle="1" w:styleId="84">
    <w:name w:val="xl70"/>
    <w:basedOn w:val="1"/>
    <w:qFormat/>
    <w:uiPriority w:val="0"/>
    <w:pPr>
      <w:spacing w:before="100" w:beforeAutospacing="1" w:after="100" w:afterAutospacing="1"/>
      <w:jc w:val="both"/>
      <w:textAlignment w:val="center"/>
    </w:pPr>
  </w:style>
  <w:style w:type="paragraph" w:customStyle="1" w:styleId="85">
    <w:name w:val="xl71"/>
    <w:basedOn w:val="1"/>
    <w:qFormat/>
    <w:uiPriority w:val="0"/>
    <w:pPr>
      <w:spacing w:before="100" w:beforeAutospacing="1" w:after="100" w:afterAutospacing="1"/>
      <w:textAlignment w:val="center"/>
    </w:pPr>
  </w:style>
  <w:style w:type="paragraph" w:customStyle="1" w:styleId="86">
    <w:name w:val="xl72"/>
    <w:basedOn w:val="1"/>
    <w:qFormat/>
    <w:uiPriority w:val="0"/>
    <w:pPr>
      <w:spacing w:before="100" w:beforeAutospacing="1" w:after="100" w:afterAutospacing="1"/>
      <w:textAlignment w:val="center"/>
    </w:pPr>
    <w:rPr>
      <w:b/>
      <w:bCs/>
    </w:rPr>
  </w:style>
  <w:style w:type="paragraph" w:customStyle="1" w:styleId="87">
    <w:name w:val="xl73"/>
    <w:basedOn w:val="1"/>
    <w:qFormat/>
    <w:uiPriority w:val="0"/>
    <w:pPr>
      <w:spacing w:before="100" w:beforeAutospacing="1" w:after="100" w:afterAutospacing="1"/>
      <w:textAlignment w:val="center"/>
    </w:pPr>
    <w:rPr>
      <w:b/>
      <w:bCs/>
    </w:rPr>
  </w:style>
  <w:style w:type="paragraph" w:customStyle="1" w:styleId="88">
    <w:name w:val="xl74"/>
    <w:basedOn w:val="1"/>
    <w:qFormat/>
    <w:uiPriority w:val="0"/>
    <w:pPr>
      <w:spacing w:before="100" w:beforeAutospacing="1" w:after="100" w:afterAutospacing="1"/>
      <w:textAlignment w:val="top"/>
    </w:pPr>
  </w:style>
  <w:style w:type="paragraph" w:customStyle="1" w:styleId="89">
    <w:name w:val="xl75"/>
    <w:basedOn w:val="1"/>
    <w:qFormat/>
    <w:uiPriority w:val="0"/>
    <w:pPr>
      <w:spacing w:before="100" w:beforeAutospacing="1" w:after="100" w:afterAutospacing="1"/>
      <w:jc w:val="both"/>
      <w:textAlignment w:val="top"/>
    </w:pPr>
  </w:style>
  <w:style w:type="paragraph" w:customStyle="1" w:styleId="90">
    <w:name w:val="xl76"/>
    <w:basedOn w:val="1"/>
    <w:qFormat/>
    <w:uiPriority w:val="0"/>
    <w:pPr>
      <w:spacing w:before="100" w:beforeAutospacing="1" w:after="100" w:afterAutospacing="1"/>
      <w:textAlignment w:val="top"/>
    </w:pPr>
  </w:style>
  <w:style w:type="paragraph" w:customStyle="1" w:styleId="91">
    <w:name w:val="xl77"/>
    <w:basedOn w:val="1"/>
    <w:qFormat/>
    <w:uiPriority w:val="0"/>
    <w:pPr>
      <w:spacing w:before="100" w:beforeAutospacing="1" w:after="100" w:afterAutospacing="1"/>
      <w:jc w:val="both"/>
      <w:textAlignment w:val="center"/>
    </w:pPr>
    <w:rPr>
      <w:color w:val="FF0000"/>
    </w:rPr>
  </w:style>
  <w:style w:type="paragraph" w:customStyle="1" w:styleId="92">
    <w:name w:val="xl78"/>
    <w:basedOn w:val="1"/>
    <w:qFormat/>
    <w:uiPriority w:val="0"/>
    <w:pPr>
      <w:spacing w:before="100" w:beforeAutospacing="1" w:after="100" w:afterAutospacing="1"/>
      <w:jc w:val="center"/>
      <w:textAlignment w:val="center"/>
    </w:pPr>
    <w:rPr>
      <w:b/>
      <w:bCs/>
      <w:color w:val="FF0000"/>
    </w:rPr>
  </w:style>
  <w:style w:type="paragraph" w:customStyle="1" w:styleId="93">
    <w:name w:val="xl79"/>
    <w:basedOn w:val="1"/>
    <w:qFormat/>
    <w:uiPriority w:val="0"/>
    <w:pPr>
      <w:spacing w:before="100" w:beforeAutospacing="1" w:after="100" w:afterAutospacing="1"/>
      <w:textAlignment w:val="top"/>
    </w:pPr>
    <w:rPr>
      <w:b/>
      <w:bCs/>
      <w:color w:val="FF0000"/>
    </w:rPr>
  </w:style>
  <w:style w:type="paragraph" w:customStyle="1" w:styleId="94">
    <w:name w:val="xl80"/>
    <w:basedOn w:val="1"/>
    <w:qFormat/>
    <w:uiPriority w:val="0"/>
    <w:pPr>
      <w:spacing w:before="100" w:beforeAutospacing="1" w:after="100" w:afterAutospacing="1"/>
    </w:pPr>
    <w:rPr>
      <w:b/>
      <w:bCs/>
      <w:color w:val="FF0000"/>
    </w:rPr>
  </w:style>
  <w:style w:type="paragraph" w:customStyle="1" w:styleId="95">
    <w:name w:val="xl81"/>
    <w:basedOn w:val="1"/>
    <w:qFormat/>
    <w:uiPriority w:val="0"/>
    <w:pPr>
      <w:spacing w:before="100" w:beforeAutospacing="1" w:after="100" w:afterAutospacing="1"/>
    </w:pPr>
    <w:rPr>
      <w:color w:val="FF0000"/>
    </w:rPr>
  </w:style>
  <w:style w:type="paragraph" w:customStyle="1" w:styleId="96">
    <w:name w:val="xl82"/>
    <w:basedOn w:val="1"/>
    <w:qFormat/>
    <w:uiPriority w:val="0"/>
    <w:pPr>
      <w:spacing w:before="100" w:beforeAutospacing="1" w:after="100" w:afterAutospacing="1"/>
      <w:jc w:val="center"/>
    </w:pPr>
    <w:rPr>
      <w:b/>
      <w:bCs/>
      <w:color w:val="FF0000"/>
    </w:rPr>
  </w:style>
  <w:style w:type="paragraph" w:customStyle="1" w:styleId="97">
    <w:name w:val="xl83"/>
    <w:basedOn w:val="1"/>
    <w:qFormat/>
    <w:uiPriority w:val="0"/>
    <w:pPr>
      <w:spacing w:before="100" w:beforeAutospacing="1" w:after="100" w:afterAutospacing="1"/>
      <w:textAlignment w:val="top"/>
    </w:pPr>
    <w:rPr>
      <w:color w:val="FF0000"/>
    </w:rPr>
  </w:style>
  <w:style w:type="paragraph" w:customStyle="1" w:styleId="98">
    <w:name w:val="xl84"/>
    <w:basedOn w:val="1"/>
    <w:qFormat/>
    <w:uiPriority w:val="0"/>
    <w:pPr>
      <w:spacing w:before="100" w:beforeAutospacing="1" w:after="100" w:afterAutospacing="1"/>
      <w:textAlignment w:val="center"/>
    </w:pPr>
    <w:rPr>
      <w:color w:val="FF0000"/>
    </w:rPr>
  </w:style>
  <w:style w:type="paragraph" w:customStyle="1" w:styleId="99">
    <w:name w:val="xl85"/>
    <w:basedOn w:val="1"/>
    <w:qFormat/>
    <w:uiPriority w:val="0"/>
    <w:pPr>
      <w:spacing w:before="100" w:beforeAutospacing="1" w:after="100" w:afterAutospacing="1"/>
      <w:textAlignment w:val="top"/>
    </w:pPr>
    <w:rPr>
      <w:color w:val="FF0000"/>
    </w:rPr>
  </w:style>
  <w:style w:type="paragraph" w:customStyle="1" w:styleId="100">
    <w:name w:val="xl86"/>
    <w:basedOn w:val="1"/>
    <w:qFormat/>
    <w:uiPriority w:val="0"/>
    <w:pPr>
      <w:spacing w:before="100" w:beforeAutospacing="1" w:after="100" w:afterAutospacing="1"/>
      <w:textAlignment w:val="center"/>
    </w:pPr>
    <w:rPr>
      <w:rFonts w:ascii="Arial" w:hAnsi="Arial" w:cs="Arial"/>
      <w:color w:val="FF0000"/>
    </w:rPr>
  </w:style>
  <w:style w:type="paragraph" w:customStyle="1" w:styleId="101">
    <w:name w:val="xl87"/>
    <w:basedOn w:val="1"/>
    <w:qFormat/>
    <w:uiPriority w:val="0"/>
    <w:pPr>
      <w:spacing w:before="100" w:beforeAutospacing="1" w:after="100" w:afterAutospacing="1"/>
      <w:textAlignment w:val="center"/>
    </w:pPr>
    <w:rPr>
      <w:b/>
      <w:bCs/>
      <w:color w:val="FF0000"/>
    </w:rPr>
  </w:style>
  <w:style w:type="paragraph" w:customStyle="1" w:styleId="102">
    <w:name w:val="xl88"/>
    <w:basedOn w:val="1"/>
    <w:qFormat/>
    <w:uiPriority w:val="0"/>
    <w:pPr>
      <w:spacing w:before="100" w:beforeAutospacing="1" w:after="100" w:afterAutospacing="1"/>
      <w:textAlignment w:val="center"/>
    </w:pPr>
    <w:rPr>
      <w:rFonts w:ascii="Arial" w:hAnsi="Arial" w:cs="Arial"/>
      <w:color w:val="FF0000"/>
    </w:rPr>
  </w:style>
  <w:style w:type="paragraph" w:customStyle="1" w:styleId="103">
    <w:name w:val="xl89"/>
    <w:basedOn w:val="1"/>
    <w:qFormat/>
    <w:uiPriority w:val="0"/>
    <w:pPr>
      <w:spacing w:before="100" w:beforeAutospacing="1" w:after="100" w:afterAutospacing="1"/>
      <w:textAlignment w:val="center"/>
    </w:pPr>
    <w:rPr>
      <w:rFonts w:ascii="仿宋" w:hAnsi="仿宋" w:eastAsia="仿宋"/>
      <w:b/>
      <w:bCs/>
      <w:sz w:val="32"/>
      <w:szCs w:val="32"/>
    </w:rPr>
  </w:style>
  <w:style w:type="paragraph" w:customStyle="1" w:styleId="104">
    <w:name w:val="xl90"/>
    <w:basedOn w:val="1"/>
    <w:qFormat/>
    <w:uiPriority w:val="0"/>
    <w:pPr>
      <w:spacing w:before="100" w:beforeAutospacing="1" w:after="100" w:afterAutospacing="1"/>
      <w:jc w:val="center"/>
      <w:textAlignment w:val="center"/>
    </w:pPr>
    <w:rPr>
      <w:rFonts w:ascii="方正小标宋简体" w:eastAsia="方正小标宋简体"/>
      <w:sz w:val="44"/>
      <w:szCs w:val="44"/>
    </w:rPr>
  </w:style>
  <w:style w:type="paragraph" w:customStyle="1" w:styleId="105">
    <w:name w:val="xl91"/>
    <w:basedOn w:val="1"/>
    <w:qFormat/>
    <w:uiPriority w:val="0"/>
    <w:pPr>
      <w:spacing w:before="100" w:beforeAutospacing="1" w:after="100" w:afterAutospacing="1"/>
      <w:textAlignment w:val="center"/>
    </w:pPr>
    <w:rPr>
      <w:b/>
      <w:bCs/>
    </w:rPr>
  </w:style>
  <w:style w:type="paragraph" w:customStyle="1" w:styleId="106">
    <w:name w:val="数字编号列项（二级）"/>
    <w:qFormat/>
    <w:uiPriority w:val="0"/>
    <w:pPr>
      <w:numPr>
        <w:ilvl w:val="1"/>
        <w:numId w:val="4"/>
      </w:numPr>
      <w:jc w:val="both"/>
    </w:pPr>
    <w:rPr>
      <w:rFonts w:ascii="宋体" w:hAnsi="Times New Roman" w:eastAsia="宋体" w:cs="Times New Roman"/>
      <w:sz w:val="21"/>
      <w:lang w:val="en-US" w:eastAsia="zh-CN" w:bidi="ar-SA"/>
    </w:rPr>
  </w:style>
  <w:style w:type="paragraph" w:customStyle="1" w:styleId="107">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108">
    <w:name w:val="编号列项（三级）"/>
    <w:qFormat/>
    <w:uiPriority w:val="0"/>
    <w:pPr>
      <w:numPr>
        <w:ilvl w:val="2"/>
        <w:numId w:val="4"/>
      </w:numPr>
    </w:pPr>
    <w:rPr>
      <w:rFonts w:ascii="宋体" w:hAnsi="Times New Roman" w:eastAsia="宋体" w:cs="Times New Roman"/>
      <w:sz w:val="21"/>
      <w:lang w:val="en-US" w:eastAsia="zh-CN" w:bidi="ar-SA"/>
    </w:rPr>
  </w:style>
  <w:style w:type="paragraph" w:customStyle="1" w:styleId="109">
    <w:name w:val="标准文件_附录标识"/>
    <w:next w:val="1"/>
    <w:qFormat/>
    <w:uiPriority w:val="0"/>
    <w:pPr>
      <w:numPr>
        <w:ilvl w:val="0"/>
        <w:numId w:val="5"/>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10">
    <w:name w:val="标准文件_附录一级条标题"/>
    <w:next w:val="1"/>
    <w:qFormat/>
    <w:uiPriority w:val="0"/>
    <w:pPr>
      <w:widowControl w:val="0"/>
      <w:numPr>
        <w:ilvl w:val="1"/>
        <w:numId w:val="5"/>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11">
    <w:name w:val="标准文件_附录二级条标题"/>
    <w:basedOn w:val="110"/>
    <w:next w:val="1"/>
    <w:qFormat/>
    <w:uiPriority w:val="0"/>
    <w:pPr>
      <w:widowControl/>
      <w:numPr>
        <w:ilvl w:val="2"/>
      </w:numPr>
      <w:wordWrap w:val="0"/>
      <w:overflowPunct w:val="0"/>
      <w:autoSpaceDE w:val="0"/>
      <w:autoSpaceDN w:val="0"/>
      <w:textAlignment w:val="baseline"/>
      <w:outlineLvl w:val="3"/>
    </w:pPr>
  </w:style>
  <w:style w:type="paragraph" w:customStyle="1" w:styleId="112">
    <w:name w:val="标准文件_附录三级条标题"/>
    <w:next w:val="1"/>
    <w:qFormat/>
    <w:uiPriority w:val="0"/>
    <w:pPr>
      <w:widowControl w:val="0"/>
      <w:numPr>
        <w:ilvl w:val="3"/>
        <w:numId w:val="5"/>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13">
    <w:name w:val="标准文件_附录四级条标题"/>
    <w:next w:val="1"/>
    <w:qFormat/>
    <w:uiPriority w:val="0"/>
    <w:pPr>
      <w:widowControl w:val="0"/>
      <w:numPr>
        <w:ilvl w:val="4"/>
        <w:numId w:val="5"/>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14">
    <w:name w:val="标准文件_附录五级条标题"/>
    <w:next w:val="1"/>
    <w:qFormat/>
    <w:uiPriority w:val="0"/>
    <w:pPr>
      <w:widowControl w:val="0"/>
      <w:numPr>
        <w:ilvl w:val="5"/>
        <w:numId w:val="5"/>
      </w:numPr>
      <w:spacing w:before="50" w:beforeLines="50" w:after="50" w:afterLines="50"/>
      <w:jc w:val="both"/>
      <w:outlineLvl w:val="6"/>
    </w:pPr>
    <w:rPr>
      <w:rFonts w:ascii="黑体" w:hAnsi="Times New Roman" w:eastAsia="黑体" w:cs="Times New Roman"/>
      <w:kern w:val="21"/>
      <w:sz w:val="21"/>
      <w:lang w:val="en-US" w:eastAsia="zh-CN" w:bidi="ar-SA"/>
    </w:rPr>
  </w:style>
  <w:style w:type="character" w:customStyle="1" w:styleId="115">
    <w:name w:val="发布"/>
    <w:qFormat/>
    <w:uiPriority w:val="0"/>
    <w:rPr>
      <w:rFonts w:ascii="黑体" w:eastAsia="黑体"/>
      <w:spacing w:val="22"/>
      <w:w w:val="100"/>
      <w:position w:val="3"/>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88A08974-DE26-4AE3-B466-B2C882FB25CC}">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7</Pages>
  <Words>3588</Words>
  <Characters>3850</Characters>
  <Lines>191</Lines>
  <Paragraphs>53</Paragraphs>
  <TotalTime>20</TotalTime>
  <ScaleCrop>false</ScaleCrop>
  <LinksUpToDate>false</LinksUpToDate>
  <CharactersWithSpaces>3933</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2016-10-15T02:30:00Z</dcterms:created>
  <dc:creator>lyc</dc:creator>
  <cp:lastModifiedBy>白乙含</cp:lastModifiedBy>
  <cp:lastPrinted>2022-07-15T09:32:00Z</cp:lastPrinted>
  <dcterms:modified xsi:type="dcterms:W3CDTF">2025-09-09T09:29:27Z</dcterms:modified>
  <dc:title>泡沫混凝土用泡沫剂</dc:title>
  <cp:revision>737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KSOTemplateDocerSaveRecord">
    <vt:lpwstr>eyJoZGlkIjoiOTA4ZGYwMDExZjg0ZGRmMzBjYzdjYTQ0NDMxNDA2NGMiLCJ1c2VySWQiOiIxNDQ3NzcxMDUxIn0=</vt:lpwstr>
  </property>
  <property fmtid="{D5CDD505-2E9C-101B-9397-08002B2CF9AE}" pid="4" name="ICV">
    <vt:lpwstr>7834153273DC474080AC10E38DE8C8BA_13</vt:lpwstr>
  </property>
</Properties>
</file>