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B2E47">
      <w:pPr>
        <w:autoSpaceDE/>
        <w:autoSpaceDN/>
        <w:rPr>
          <w:rFonts w:ascii="Times New Roman" w:hAnsi="Times New Roman"/>
          <w:color w:val="000000" w:themeColor="text1"/>
          <w14:textFill>
            <w14:solidFill>
              <w14:schemeClr w14:val="tx1"/>
            </w14:solidFill>
          </w14:textFill>
        </w:rPr>
      </w:pPr>
    </w:p>
    <w:p w14:paraId="7AEB3A4C">
      <w:pPr>
        <w:autoSpaceDE/>
        <w:autoSpaceDN/>
        <w:rPr>
          <w:rFonts w:ascii="Times New Roman" w:hAnsi="Times New Roman"/>
          <w:color w:val="000000" w:themeColor="text1"/>
          <w14:textFill>
            <w14:solidFill>
              <w14:schemeClr w14:val="tx1"/>
            </w14:solidFill>
          </w14:textFill>
        </w:rPr>
      </w:pPr>
    </w:p>
    <w:p w14:paraId="2D287404">
      <w:pPr>
        <w:autoSpaceDE/>
        <w:autoSpaceDN/>
        <w:rPr>
          <w:rFonts w:ascii="Times New Roman" w:hAnsi="Times New Roman"/>
          <w:color w:val="000000" w:themeColor="text1"/>
          <w14:textFill>
            <w14:solidFill>
              <w14:schemeClr w14:val="tx1"/>
            </w14:solidFill>
          </w14:textFill>
        </w:rPr>
      </w:pPr>
    </w:p>
    <w:p w14:paraId="03F7816B">
      <w:pPr>
        <w:pStyle w:val="28"/>
        <w:framePr w:wrap="around"/>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ICS</w:t>
      </w:r>
      <w:r>
        <w:rPr>
          <w:rFonts w:hint="eastAsia" w:ascii="Times New Roman" w:hAnsi="Times New Roman" w:eastAsia="MS Gothic" w:cs="MS Gothic"/>
          <w:color w:val="000000" w:themeColor="text1"/>
          <w14:textFill>
            <w14:solidFill>
              <w14:schemeClr w14:val="tx1"/>
            </w14:solidFill>
          </w14:textFill>
        </w:rPr>
        <w:t> </w:t>
      </w:r>
      <w:r>
        <w:rPr>
          <w:rFonts w:hint="eastAsia" w:ascii="Times New Roman" w:hAnsi="Times New Roman"/>
          <w:color w:val="000000" w:themeColor="text1"/>
          <w:sz w:val="18"/>
          <w14:textFill>
            <w14:solidFill>
              <w14:schemeClr w14:val="tx1"/>
            </w14:solidFill>
          </w14:textFill>
        </w:rPr>
        <w:t>9</w:t>
      </w:r>
      <w:r>
        <w:rPr>
          <w:rFonts w:ascii="Times New Roman" w:hAnsi="Times New Roman"/>
          <w:color w:val="000000" w:themeColor="text1"/>
          <w:sz w:val="18"/>
          <w14:textFill>
            <w14:solidFill>
              <w14:schemeClr w14:val="tx1"/>
            </w14:solidFill>
          </w14:textFill>
        </w:rPr>
        <w:t>1.100.30</w:t>
      </w:r>
    </w:p>
    <w:p w14:paraId="492C8FAE">
      <w:pPr>
        <w:pStyle w:val="28"/>
        <w:framePr w:wrap="around"/>
        <w:rPr>
          <w:rFonts w:ascii="Times New Roman" w:hAnsi="Times New Roman"/>
          <w:color w:val="000000" w:themeColor="text1"/>
          <w14:textFill>
            <w14:solidFill>
              <w14:schemeClr w14:val="tx1"/>
            </w14:solidFill>
          </w14:textFill>
        </w:rPr>
      </w:pPr>
      <w:bookmarkStart w:id="0" w:name="WXFLH"/>
      <w:r>
        <w:rPr>
          <w:rFonts w:ascii="Times New Roman" w:hAnsi="Times New Roman"/>
          <w:color w:val="000000" w:themeColor="text1"/>
          <w14:textFill>
            <w14:solidFill>
              <w14:schemeClr w14:val="tx1"/>
            </w14:solidFill>
          </w14:textFill>
        </w:rPr>
        <w:t xml:space="preserve">CCS </w:t>
      </w:r>
      <w:bookmarkEnd w:id="0"/>
      <w:r>
        <w:rPr>
          <w:rFonts w:ascii="Times New Roman" w:hAnsi="Times New Roman"/>
          <w:color w:val="000000" w:themeColor="text1"/>
          <w:sz w:val="18"/>
          <w14:textFill>
            <w14:solidFill>
              <w14:schemeClr w14:val="tx1"/>
            </w14:solidFill>
          </w14:textFill>
        </w:rPr>
        <w:t>Q13</w:t>
      </w:r>
    </w:p>
    <w:tbl>
      <w:tblPr>
        <w:tblStyle w:val="20"/>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4BFB4CDB">
        <w:tc>
          <w:tcPr>
            <w:tcW w:w="9854" w:type="dxa"/>
            <w:tcBorders>
              <w:top w:val="nil"/>
              <w:left w:val="nil"/>
              <w:bottom w:val="nil"/>
              <w:right w:val="nil"/>
            </w:tcBorders>
          </w:tcPr>
          <w:p w14:paraId="4D90EDB0">
            <w:pPr>
              <w:pStyle w:val="28"/>
              <w:framePr w:wrap="around"/>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备案号：</w:t>
            </w:r>
            <w:r>
              <w:rPr>
                <w:rFonts w:ascii="Times New Roman" w:hAnsi="Times New Roman"/>
                <w:color w:val="000000" w:themeColor="text1"/>
                <w14:textFill>
                  <w14:solidFill>
                    <w14:schemeClr w14:val="tx1"/>
                  </w14:solidFill>
                </w14:textFill>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2279895A"/>
                              </w:txbxContent>
                            </wps:txbx>
                            <wps:bodyPr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2279895A"/>
                        </w:txbxContent>
                      </v:textbox>
                    </v:rect>
                  </w:pict>
                </mc:Fallback>
              </mc:AlternateContent>
            </w:r>
          </w:p>
        </w:tc>
      </w:tr>
    </w:tbl>
    <w:p w14:paraId="02C05830">
      <w:pPr>
        <w:pStyle w:val="29"/>
        <w:framePr w:wrap="around"/>
        <w:rPr>
          <w:rFonts w:ascii="Times New Roman" w:hAnsi="Times New Roman"/>
          <w:b w:val="0"/>
          <w:color w:val="000000" w:themeColor="text1"/>
          <w14:textFill>
            <w14:solidFill>
              <w14:schemeClr w14:val="tx1"/>
            </w14:solidFill>
          </w14:textFill>
        </w:rPr>
      </w:pPr>
      <w:bookmarkStart w:id="1" w:name="c1"/>
      <w:r>
        <w:rPr>
          <w:rFonts w:hint="default" w:ascii="Times New Roman" w:hAnsi="Times New Roman" w:cs="Times New Roman"/>
          <w:b w:val="0"/>
          <w:bCs w:val="0"/>
          <w:color w:val="000000" w:themeColor="text1"/>
          <w14:textFill>
            <w14:solidFill>
              <w14:schemeClr w14:val="tx1"/>
            </w14:solidFill>
          </w14:textFill>
        </w:rPr>
        <w:fldChar w:fldCharType="begin">
          <w:ffData>
            <w:name w:val="c1"/>
            <w:enabled/>
            <w:calcOnExit w:val="0"/>
            <w:entryMacro w:val="ShowHelp15"/>
            <w:textInput>
              <w:maxLength w:val="2"/>
            </w:textInput>
          </w:ffData>
        </w:fldChar>
      </w:r>
      <w:r>
        <w:rPr>
          <w:rFonts w:hint="default" w:ascii="Times New Roman" w:hAnsi="Times New Roman" w:cs="Times New Roman"/>
          <w:b w:val="0"/>
          <w:bCs w:val="0"/>
          <w:color w:val="000000" w:themeColor="text1"/>
          <w14:textFill>
            <w14:solidFill>
              <w14:schemeClr w14:val="tx1"/>
            </w14:solidFill>
          </w14:textFill>
        </w:rPr>
        <w:instrText xml:space="preserve"> FORMTEXT </w:instrText>
      </w:r>
      <w:r>
        <w:rPr>
          <w:rFonts w:hint="default" w:ascii="Times New Roman" w:hAnsi="Times New Roman" w:cs="Times New Roman"/>
          <w:b w:val="0"/>
          <w:bCs w:val="0"/>
          <w:color w:val="000000" w:themeColor="text1"/>
          <w14:textFill>
            <w14:solidFill>
              <w14:schemeClr w14:val="tx1"/>
            </w14:solidFill>
          </w14:textFill>
        </w:rPr>
        <w:fldChar w:fldCharType="separate"/>
      </w:r>
      <w:r>
        <w:rPr>
          <w:rFonts w:hint="default" w:ascii="Times New Roman" w:hAnsi="Times New Roman" w:cs="Times New Roman"/>
          <w:b w:val="0"/>
          <w:bCs w:val="0"/>
          <w:color w:val="000000" w:themeColor="text1"/>
          <w14:textFill>
            <w14:solidFill>
              <w14:schemeClr w14:val="tx1"/>
            </w14:solidFill>
          </w14:textFill>
        </w:rPr>
        <w:t>JC</w:t>
      </w:r>
      <w:r>
        <w:rPr>
          <w:rFonts w:hint="default" w:ascii="Times New Roman" w:hAnsi="Times New Roman" w:cs="Times New Roman"/>
          <w:b w:val="0"/>
          <w:bCs w:val="0"/>
          <w:color w:val="000000" w:themeColor="text1"/>
          <w14:textFill>
            <w14:solidFill>
              <w14:schemeClr w14:val="tx1"/>
            </w14:solidFill>
          </w14:textFill>
        </w:rPr>
        <w:fldChar w:fldCharType="end"/>
      </w:r>
      <w:bookmarkEnd w:id="1"/>
    </w:p>
    <w:p w14:paraId="2803C8C2">
      <w:pPr>
        <w:pStyle w:val="30"/>
        <w:framePr w:wrap="around"/>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中华人民共和国</w:t>
      </w:r>
      <w:bookmarkStart w:id="2" w:name="c2"/>
      <w:r>
        <w:rPr>
          <w:rFonts w:ascii="Times New Roman" w:hAnsi="Times New Roman"/>
          <w:color w:val="000000" w:themeColor="text1"/>
          <w14:textFill>
            <w14:solidFill>
              <w14:schemeClr w14:val="tx1"/>
            </w14:solidFill>
          </w14:textFill>
        </w:rPr>
        <w:fldChar w:fldCharType="begin">
          <w:ffData>
            <w:name w:val="c2"/>
            <w:enabled/>
            <w:calcOnExit w:val="0"/>
            <w:entryMacro w:val="showhelp11"/>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hint="eastAsia" w:ascii="Times New Roman" w:hAnsi="Times New Roman"/>
          <w:color w:val="000000" w:themeColor="text1"/>
          <w14:textFill>
            <w14:solidFill>
              <w14:schemeClr w14:val="tx1"/>
            </w14:solidFill>
          </w14:textFill>
        </w:rPr>
        <w:t>建材</w:t>
      </w:r>
      <w:r>
        <w:rPr>
          <w:rFonts w:ascii="Times New Roman" w:hAnsi="Times New Roman"/>
          <w:color w:val="000000" w:themeColor="text1"/>
          <w14:textFill>
            <w14:solidFill>
              <w14:schemeClr w14:val="tx1"/>
            </w14:solidFill>
          </w14:textFill>
        </w:rPr>
        <w:fldChar w:fldCharType="end"/>
      </w:r>
      <w:bookmarkEnd w:id="2"/>
      <w:r>
        <w:rPr>
          <w:rFonts w:hint="eastAsia" w:ascii="Times New Roman" w:hAnsi="Times New Roman"/>
          <w:color w:val="000000" w:themeColor="text1"/>
          <w14:textFill>
            <w14:solidFill>
              <w14:schemeClr w14:val="tx1"/>
            </w14:solidFill>
          </w14:textFill>
        </w:rPr>
        <w:t>行业标准</w:t>
      </w:r>
    </w:p>
    <w:p w14:paraId="34399179">
      <w:pPr>
        <w:pStyle w:val="31"/>
        <w:framePr w:wrap="around"/>
        <w:rPr>
          <w:rFonts w:ascii="Times New Roman" w:hAnsi="Times New Roman"/>
          <w:color w:val="000000" w:themeColor="text1"/>
          <w14:textFill>
            <w14:solidFill>
              <w14:schemeClr w14:val="tx1"/>
            </w14:solidFill>
          </w14:textFill>
        </w:rPr>
      </w:pPr>
      <w:bookmarkStart w:id="3" w:name="StdNo0"/>
      <w:r>
        <w:rPr>
          <w:rFonts w:ascii="Times New Roman" w:hAnsi="Times New Roman"/>
          <w:color w:val="000000" w:themeColor="text1"/>
          <w14:textFill>
            <w14:solidFill>
              <w14:schemeClr w14:val="tx1"/>
            </w14:solidFill>
          </w14:textFill>
        </w:rPr>
        <w:fldChar w:fldCharType="begin">
          <w:ffData>
            <w:name w:val="StdNo0"/>
            <w:enabled/>
            <w:calcOnExit w:val="0"/>
            <w:textInput>
              <w:default w:val="XX"/>
              <w:maxLength w:val="2"/>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hint="eastAsia" w:ascii="Times New Roman" w:hAnsi="Times New Roman"/>
          <w:color w:val="000000" w:themeColor="text1"/>
          <w14:textFill>
            <w14:solidFill>
              <w14:schemeClr w14:val="tx1"/>
            </w14:solidFill>
          </w14:textFill>
        </w:rPr>
        <w:t>JC</w:t>
      </w:r>
      <w:r>
        <w:rPr>
          <w:rFonts w:ascii="Times New Roman" w:hAnsi="Times New Roman"/>
          <w:color w:val="000000" w:themeColor="text1"/>
          <w14:textFill>
            <w14:solidFill>
              <w14:schemeClr w14:val="tx1"/>
            </w14:solidFill>
          </w14:textFill>
        </w:rPr>
        <w:fldChar w:fldCharType="end"/>
      </w:r>
      <w:bookmarkEnd w:id="3"/>
      <w:r>
        <w:rPr>
          <w:rFonts w:ascii="Times New Roman" w:hAnsi="Times New Roman"/>
          <w:color w:val="000000" w:themeColor="text1"/>
          <w14:textFill>
            <w14:solidFill>
              <w14:schemeClr w14:val="tx1"/>
            </w14:solidFill>
          </w14:textFill>
        </w:rPr>
        <w:t xml:space="preserve">/T </w:t>
      </w:r>
      <w:bookmarkStart w:id="4" w:name="StdNo1"/>
      <w:r>
        <w:rPr>
          <w:rFonts w:ascii="Times New Roman" w:hAnsi="Times New Roman"/>
          <w:color w:val="000000" w:themeColor="text1"/>
          <w14:textFill>
            <w14:solidFill>
              <w14:schemeClr w14:val="tx1"/>
            </w14:solidFill>
          </w14:textFill>
        </w:rPr>
        <w:fldChar w:fldCharType="begin">
          <w:ffData>
            <w:name w:val="StdNo1"/>
            <w:enabled/>
            <w:calcOnExit w:val="0"/>
            <w:textInput>
              <w:default w:val="XXXXX"/>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XXXXX</w:t>
      </w:r>
      <w:r>
        <w:rPr>
          <w:rFonts w:ascii="Times New Roman" w:hAnsi="Times New Roman"/>
          <w:color w:val="000000" w:themeColor="text1"/>
          <w14:textFill>
            <w14:solidFill>
              <w14:schemeClr w14:val="tx1"/>
            </w14:solidFill>
          </w14:textFill>
        </w:rPr>
        <w:fldChar w:fldCharType="end"/>
      </w:r>
      <w:bookmarkEnd w:id="4"/>
      <w:r>
        <w:rPr>
          <w:rFonts w:ascii="Times New Roman" w:hAnsi="Times New Roman"/>
          <w:color w:val="000000" w:themeColor="text1"/>
          <w14:textFill>
            <w14:solidFill>
              <w14:schemeClr w14:val="tx1"/>
            </w14:solidFill>
          </w14:textFill>
        </w:rPr>
        <w:t>—</w:t>
      </w:r>
      <w:bookmarkStart w:id="5" w:name="StdNo2"/>
      <w:r>
        <w:rPr>
          <w:rFonts w:ascii="Times New Roman" w:hAnsi="Times New Roman"/>
          <w:color w:val="000000" w:themeColor="text1"/>
          <w14:textFill>
            <w14:solidFill>
              <w14:schemeClr w14:val="tx1"/>
            </w14:solidFill>
          </w14:textFill>
        </w:rPr>
        <w:fldChar w:fldCharType="begin">
          <w:ffData>
            <w:name w:val="StdNo2"/>
            <w:enabled/>
            <w:calcOnExit w:val="0"/>
            <w:textInput>
              <w:default w:val="XXXX"/>
              <w:maxLength w:val="4"/>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XXXX</w:t>
      </w:r>
      <w:r>
        <w:rPr>
          <w:rFonts w:ascii="Times New Roman" w:hAnsi="Times New Roman"/>
          <w:color w:val="000000" w:themeColor="text1"/>
          <w14:textFill>
            <w14:solidFill>
              <w14:schemeClr w14:val="tx1"/>
            </w14:solidFill>
          </w14:textFill>
        </w:rPr>
        <w:fldChar w:fldCharType="end"/>
      </w:r>
      <w:bookmarkEnd w:id="5"/>
    </w:p>
    <w:tbl>
      <w:tblPr>
        <w:tblStyle w:val="2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3BF78DEC">
        <w:tc>
          <w:tcPr>
            <w:tcW w:w="9356" w:type="dxa"/>
            <w:tcBorders>
              <w:top w:val="nil"/>
              <w:left w:val="nil"/>
              <w:bottom w:val="nil"/>
              <w:right w:val="nil"/>
            </w:tcBorders>
          </w:tcPr>
          <w:p w14:paraId="1F8E9504">
            <w:pPr>
              <w:pStyle w:val="32"/>
              <w:framePr w:wrap="around"/>
              <w:ind w:right="210"/>
              <w:rPr>
                <w:rFonts w:ascii="Times New Roman" w:hAnsi="Times New Roman"/>
                <w:color w:val="000000" w:themeColor="text1"/>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 xml:space="preserve"> </w:t>
            </w:r>
            <w:r>
              <w:rPr>
                <w:rFonts w:hint="eastAsia" w:ascii="黑体" w:hAnsi="黑体" w:eastAsia="黑体" w:cs="黑体"/>
                <w:color w:val="000000" w:themeColor="text1"/>
                <w14:textFill>
                  <w14:solidFill>
                    <w14:schemeClr w14:val="tx1"/>
                  </w14:solidFill>
                </w14:textFill>
              </w:rPr>
              <w:t>代替SB/T 10404-2006</w:t>
            </w:r>
          </w:p>
        </w:tc>
      </w:tr>
    </w:tbl>
    <w:p w14:paraId="230C7DEA">
      <w:pPr>
        <w:pStyle w:val="31"/>
        <w:framePr w:wrap="around"/>
        <w:rPr>
          <w:rFonts w:ascii="Times New Roman" w:hAnsi="Times New Roman"/>
          <w:color w:val="000000" w:themeColor="text1"/>
          <w14:textFill>
            <w14:solidFill>
              <w14:schemeClr w14:val="tx1"/>
            </w14:solidFill>
          </w14:textFill>
        </w:rPr>
      </w:pPr>
    </w:p>
    <w:p w14:paraId="3147320E">
      <w:pPr>
        <w:pStyle w:val="31"/>
        <w:framePr w:wrap="around"/>
        <w:rPr>
          <w:rFonts w:ascii="Times New Roman" w:hAnsi="Times New Roman"/>
          <w:color w:val="000000" w:themeColor="text1"/>
          <w14:textFill>
            <w14:solidFill>
              <w14:schemeClr w14:val="tx1"/>
            </w14:solidFill>
          </w14:textFill>
        </w:rPr>
      </w:pPr>
    </w:p>
    <w:p w14:paraId="35970A91">
      <w:pPr>
        <w:pStyle w:val="33"/>
        <w:framePr w:w="9293" w:wrap="around" w:x="1699"/>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水载型防腐剂和阻燃剂主要成分的测定</w:t>
      </w:r>
    </w:p>
    <w:p w14:paraId="7E7D1B63">
      <w:pPr>
        <w:pStyle w:val="33"/>
        <w:framePr w:w="9293" w:wrap="around" w:x="1699"/>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征求意见稿</w:t>
      </w:r>
      <w:r>
        <w:rPr>
          <w:rFonts w:hint="eastAsia" w:ascii="Times New Roman" w:hAnsi="Times New Roman"/>
          <w:color w:val="000000" w:themeColor="text1"/>
          <w14:textFill>
            <w14:solidFill>
              <w14:schemeClr w14:val="tx1"/>
            </w14:solidFill>
          </w14:textFill>
        </w:rPr>
        <w:t>）</w:t>
      </w:r>
    </w:p>
    <w:tbl>
      <w:tblPr>
        <w:tblStyle w:val="20"/>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161902C8">
        <w:tc>
          <w:tcPr>
            <w:tcW w:w="9855" w:type="dxa"/>
            <w:tcBorders>
              <w:top w:val="nil"/>
              <w:left w:val="nil"/>
              <w:bottom w:val="nil"/>
              <w:right w:val="nil"/>
            </w:tcBorders>
          </w:tcPr>
          <w:p w14:paraId="684E1218">
            <w:pPr>
              <w:pStyle w:val="36"/>
              <w:keepNext w:val="0"/>
              <w:keepLines w:val="0"/>
              <w:pageBreakBefore w:val="0"/>
              <w:framePr w:w="9293" w:wrap="around" w:x="1699"/>
              <w:widowControl w:val="0"/>
              <w:kinsoku/>
              <w:wordWrap/>
              <w:overflowPunct/>
              <w:topLinePunct w:val="0"/>
              <w:autoSpaceDE/>
              <w:autoSpaceDN/>
              <w:bidi w:val="0"/>
              <w:adjustRightInd/>
              <w:snapToGrid/>
              <w:spacing w:before="370" w:after="0" w:line="400" w:lineRule="atLeast"/>
              <w:textAlignment w:val="center"/>
              <w:rPr>
                <w:rFonts w:ascii="Times New Roman" w:hAnsi="Times New Roman" w:eastAsia="黑体"/>
                <w:color w:val="000000" w:themeColor="text1"/>
                <w:sz w:val="28"/>
                <w14:textFill>
                  <w14:solidFill>
                    <w14:schemeClr w14:val="tx1"/>
                  </w14:solidFill>
                </w14:textFill>
              </w:rPr>
            </w:pPr>
            <w:r>
              <w:rPr>
                <w:rFonts w:hint="eastAsia" w:ascii="Times New Roman" w:hAnsi="Times New Roman" w:eastAsia="微软雅黑"/>
                <w:color w:val="000000" w:themeColor="text1"/>
                <w:sz w:val="21"/>
                <w:szCs w:val="21"/>
                <w14:textFill>
                  <w14:solidFill>
                    <w14:schemeClr w14:val="tx1"/>
                  </w14:solidFill>
                </w14:textFill>
              </w:rPr>
              <w:t>Determination of Active Components in Waterborne</w:t>
            </w:r>
            <w:r>
              <w:rPr>
                <w:rFonts w:hint="eastAsia" w:ascii="Times New Roman" w:hAnsi="Times New Roman" w:eastAsia="微软雅黑"/>
                <w:color w:val="000000" w:themeColor="text1"/>
                <w:sz w:val="21"/>
                <w:szCs w:val="21"/>
                <w:lang w:val="en-US" w:eastAsia="zh-CN"/>
                <w14:textFill>
                  <w14:solidFill>
                    <w14:schemeClr w14:val="tx1"/>
                  </w14:solidFill>
                </w14:textFill>
              </w:rPr>
              <w:t xml:space="preserve"> </w:t>
            </w:r>
            <w:r>
              <w:rPr>
                <w:rFonts w:hint="eastAsia" w:ascii="Times New Roman" w:hAnsi="Times New Roman" w:eastAsia="微软雅黑"/>
                <w:color w:val="000000" w:themeColor="text1"/>
                <w:sz w:val="21"/>
                <w:szCs w:val="21"/>
                <w14:textFill>
                  <w14:solidFill>
                    <w14:schemeClr w14:val="tx1"/>
                  </w14:solidFill>
                </w14:textFill>
              </w:rPr>
              <w:t>Preservatives and Fire-Retardants</w:t>
            </w:r>
            <w:r>
              <w:rPr>
                <w:rFonts w:ascii="Times New Roman" w:hAnsi="Times New Roman" w:eastAsia="黑体"/>
                <w:color w:val="000000" w:themeColor="text1"/>
                <w:sz w:val="28"/>
                <w14:textFill>
                  <w14:solidFill>
                    <w14:schemeClr w14:val="tx1"/>
                  </w14:solidFill>
                </w14:textFill>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5CD4C1CA"/>
                              </w:txbxContent>
                            </wps:txbx>
                            <wps:bodyPr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5CD4C1CA"/>
                        </w:txbxContent>
                      </v:textbox>
                      <w10:anchorlock/>
                    </v:rect>
                  </w:pict>
                </mc:Fallback>
              </mc:AlternateContent>
            </w:r>
          </w:p>
        </w:tc>
      </w:tr>
      <w:tr w14:paraId="1C6DC114">
        <w:tc>
          <w:tcPr>
            <w:tcW w:w="9855" w:type="dxa"/>
            <w:tcBorders>
              <w:top w:val="nil"/>
              <w:left w:val="nil"/>
              <w:bottom w:val="nil"/>
              <w:right w:val="nil"/>
            </w:tcBorders>
          </w:tcPr>
          <w:p w14:paraId="588C60E3">
            <w:pPr>
              <w:pStyle w:val="37"/>
              <w:framePr w:w="9293" w:wrap="around" w:x="1699"/>
              <w:rPr>
                <w:rFonts w:ascii="Times New Roman" w:hAnsi="Times New Roman"/>
                <w:color w:val="000000" w:themeColor="text1"/>
                <w14:textFill>
                  <w14:solidFill>
                    <w14:schemeClr w14:val="tx1"/>
                  </w14:solidFill>
                </w14:textFill>
              </w:rPr>
            </w:pPr>
          </w:p>
        </w:tc>
      </w:tr>
    </w:tbl>
    <w:p w14:paraId="3994E339">
      <w:pPr>
        <w:pStyle w:val="38"/>
        <w:framePr w:wrap="around" w:hAnchor="page" w:x="1741" w:y="14041"/>
        <w:rPr>
          <w:rFonts w:ascii="Times New Roman" w:hAnsi="Times New Roman"/>
          <w:color w:val="000000" w:themeColor="text1"/>
          <w14:textFill>
            <w14:solidFill>
              <w14:schemeClr w14:val="tx1"/>
            </w14:solidFill>
          </w14:textFill>
        </w:rPr>
      </w:pPr>
      <w:bookmarkStart w:id="6" w:name="FY"/>
      <w:r>
        <w:rPr>
          <w:rFonts w:ascii="Times New Roman" w:hAnsi="Times New Roman"/>
          <w:color w:val="000000" w:themeColor="text1"/>
          <w14:textFill>
            <w14:solidFill>
              <w14:schemeClr w14:val="tx1"/>
            </w14:solidFill>
          </w14:textFill>
        </w:rPr>
        <w:fldChar w:fldCharType="begin">
          <w:ffData>
            <w:name w:val="FY"/>
            <w:enabled/>
            <w:calcOnExit w:val="0"/>
            <w:entryMacro w:val="ShowHelp8"/>
            <w:textInput>
              <w:default w:val="XXXX"/>
              <w:maxLength w:val="4"/>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XXXX</w:t>
      </w:r>
      <w:r>
        <w:rPr>
          <w:rFonts w:ascii="Times New Roman" w:hAnsi="Times New Roman"/>
          <w:color w:val="000000" w:themeColor="text1"/>
          <w14:textFill>
            <w14:solidFill>
              <w14:schemeClr w14:val="tx1"/>
            </w14:solidFill>
          </w14:textFill>
        </w:rPr>
        <w:fldChar w:fldCharType="end"/>
      </w:r>
      <w:bookmarkEnd w:id="6"/>
      <w:r>
        <w:rPr>
          <w:rFonts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fldChar w:fldCharType="begin">
          <w:ffData>
            <w:name w:val="FM"/>
            <w:enabled/>
            <w:calcOnExit w:val="0"/>
            <w:entryMacro w:val="ShowHelp8"/>
            <w:textInput>
              <w:default w:val="XX"/>
              <w:maxLength w:val="2"/>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XX</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t>-</w:t>
      </w:r>
      <w:bookmarkStart w:id="7" w:name="FD"/>
      <w:r>
        <w:rPr>
          <w:rFonts w:ascii="Times New Roman" w:hAnsi="Times New Roman"/>
          <w:color w:val="000000" w:themeColor="text1"/>
          <w14:textFill>
            <w14:solidFill>
              <w14:schemeClr w14:val="tx1"/>
            </w14:solidFill>
          </w14:textFill>
        </w:rPr>
        <w:fldChar w:fldCharType="begin">
          <w:ffData>
            <w:name w:val="FD"/>
            <w:enabled/>
            <w:calcOnExit w:val="0"/>
            <w:entryMacro w:val="ShowHelp8"/>
            <w:textInput>
              <w:default w:val="XX"/>
              <w:maxLength w:val="2"/>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XX</w:t>
      </w:r>
      <w:r>
        <w:rPr>
          <w:rFonts w:ascii="Times New Roman" w:hAnsi="Times New Roman"/>
          <w:color w:val="000000" w:themeColor="text1"/>
          <w14:textFill>
            <w14:solidFill>
              <w14:schemeClr w14:val="tx1"/>
            </w14:solidFill>
          </w14:textFill>
        </w:rPr>
        <w:fldChar w:fldCharType="end"/>
      </w:r>
      <w:bookmarkEnd w:id="7"/>
      <w:r>
        <w:rPr>
          <w:rFonts w:hint="eastAsia" w:ascii="Times New Roman" w:hAnsi="Times New Roman"/>
          <w:color w:val="000000" w:themeColor="text1"/>
          <w14:textFill>
            <w14:solidFill>
              <w14:schemeClr w14:val="tx1"/>
            </w14:solidFill>
          </w14:textFill>
        </w:rPr>
        <w:t>发布</w:t>
      </w:r>
    </w:p>
    <w:p w14:paraId="1FDDDC13">
      <w:pPr>
        <w:pStyle w:val="40"/>
        <w:framePr w:wrap="around" w:hAnchor="page" w:x="7096" w:y="14176"/>
        <w:rPr>
          <w:rFonts w:ascii="Times New Roman" w:hAnsi="Times New Roman"/>
          <w:color w:val="000000" w:themeColor="text1"/>
          <w14:textFill>
            <w14:solidFill>
              <w14:schemeClr w14:val="tx1"/>
            </w14:solidFill>
          </w14:textFill>
        </w:rPr>
      </w:pPr>
      <w:bookmarkStart w:id="8" w:name="SY"/>
      <w:r>
        <w:rPr>
          <w:rFonts w:ascii="Times New Roman" w:hAnsi="Times New Roman"/>
          <w:color w:val="000000" w:themeColor="text1"/>
          <w14:textFill>
            <w14:solidFill>
              <w14:schemeClr w14:val="tx1"/>
            </w14:solidFill>
          </w14:textFill>
        </w:rPr>
        <w:fldChar w:fldCharType="begin">
          <w:ffData>
            <w:name w:val="SY"/>
            <w:enabled/>
            <w:calcOnExit w:val="0"/>
            <w:entryMacro w:val="ShowHelp9"/>
            <w:textInput>
              <w:default w:val="XXXX"/>
              <w:maxLength w:val="4"/>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XXXX</w:t>
      </w:r>
      <w:r>
        <w:rPr>
          <w:rFonts w:ascii="Times New Roman" w:hAnsi="Times New Roman"/>
          <w:color w:val="000000" w:themeColor="text1"/>
          <w14:textFill>
            <w14:solidFill>
              <w14:schemeClr w14:val="tx1"/>
            </w14:solidFill>
          </w14:textFill>
        </w:rPr>
        <w:fldChar w:fldCharType="end"/>
      </w:r>
      <w:bookmarkEnd w:id="8"/>
      <w:r>
        <w:rPr>
          <w:rFonts w:ascii="Times New Roman" w:hAnsi="Times New Roman"/>
          <w:color w:val="000000" w:themeColor="text1"/>
          <w14:textFill>
            <w14:solidFill>
              <w14:schemeClr w14:val="tx1"/>
            </w14:solidFill>
          </w14:textFill>
        </w:rPr>
        <w:t>-</w:t>
      </w:r>
      <w:bookmarkStart w:id="9" w:name="SM"/>
      <w:r>
        <w:rPr>
          <w:rFonts w:ascii="Times New Roman" w:hAnsi="Times New Roman"/>
          <w:color w:val="000000" w:themeColor="text1"/>
          <w14:textFill>
            <w14:solidFill>
              <w14:schemeClr w14:val="tx1"/>
            </w14:solidFill>
          </w14:textFill>
        </w:rPr>
        <w:fldChar w:fldCharType="begin">
          <w:ffData>
            <w:name w:val="SM"/>
            <w:enabled/>
            <w:calcOnExit w:val="0"/>
            <w:entryMacro w:val="ShowHelp9"/>
            <w:textInput>
              <w:default w:val="XX"/>
              <w:maxLength w:val="2"/>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XX</w:t>
      </w:r>
      <w:r>
        <w:rPr>
          <w:rFonts w:ascii="Times New Roman" w:hAnsi="Times New Roman"/>
          <w:color w:val="000000" w:themeColor="text1"/>
          <w14:textFill>
            <w14:solidFill>
              <w14:schemeClr w14:val="tx1"/>
            </w14:solidFill>
          </w14:textFill>
        </w:rPr>
        <w:fldChar w:fldCharType="end"/>
      </w:r>
      <w:bookmarkEnd w:id="9"/>
      <w:r>
        <w:rPr>
          <w:rFonts w:ascii="Times New Roman" w:hAnsi="Times New Roman"/>
          <w:color w:val="000000" w:themeColor="text1"/>
          <w14:textFill>
            <w14:solidFill>
              <w14:schemeClr w14:val="tx1"/>
            </w14:solidFill>
          </w14:textFill>
        </w:rPr>
        <w:t>-</w:t>
      </w:r>
      <w:bookmarkStart w:id="10" w:name="SD"/>
      <w:r>
        <w:rPr>
          <w:rFonts w:ascii="Times New Roman" w:hAnsi="Times New Roman"/>
          <w:color w:val="000000" w:themeColor="text1"/>
          <w14:textFill>
            <w14:solidFill>
              <w14:schemeClr w14:val="tx1"/>
            </w14:solidFill>
          </w14:textFill>
        </w:rPr>
        <w:fldChar w:fldCharType="begin">
          <w:ffData>
            <w:name w:val="SD"/>
            <w:enabled/>
            <w:calcOnExit w:val="0"/>
            <w:entryMacro w:val="ShowHelp9"/>
            <w:textInput>
              <w:default w:val="XX"/>
              <w:maxLength w:val="2"/>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XX</w:t>
      </w:r>
      <w:r>
        <w:rPr>
          <w:rFonts w:ascii="Times New Roman" w:hAnsi="Times New Roman"/>
          <w:color w:val="000000" w:themeColor="text1"/>
          <w14:textFill>
            <w14:solidFill>
              <w14:schemeClr w14:val="tx1"/>
            </w14:solidFill>
          </w14:textFill>
        </w:rPr>
        <w:fldChar w:fldCharType="end"/>
      </w:r>
      <w:bookmarkEnd w:id="10"/>
      <w:r>
        <w:rPr>
          <w:rFonts w:hint="eastAsia" w:ascii="Times New Roman" w:hAnsi="Times New Roman"/>
          <w:color w:val="000000" w:themeColor="text1"/>
          <w14:textFill>
            <w14:solidFill>
              <w14:schemeClr w14:val="tx1"/>
            </w14:solidFill>
          </w14:textFill>
        </w:rPr>
        <w:t>实施</w:t>
      </w:r>
    </w:p>
    <w:p w14:paraId="1D507AA1">
      <w:pPr>
        <w:pStyle w:val="42"/>
        <w:framePr w:wrap="around" w:x="2186" w:y="15211"/>
        <w:rPr>
          <w:rFonts w:ascii="Times New Roman" w:hAnsi="Times New Roman"/>
          <w:color w:val="000000" w:themeColor="text1"/>
          <w14:textFill>
            <w14:solidFill>
              <w14:schemeClr w14:val="tx1"/>
            </w14:solidFill>
          </w14:textFill>
        </w:rPr>
      </w:pPr>
      <w:bookmarkStart w:id="11" w:name="fm"/>
      <w:r>
        <w:rPr>
          <w:rFonts w:ascii="Times New Roman" w:hAnsi="Times New Roman"/>
          <w:color w:val="000000" w:themeColor="text1"/>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55216588"/>
                        </w:txbxContent>
                      </wps:txbx>
                      <wps:bodyPr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55216588"/>
                  </w:txbxContent>
                </v:textbox>
              </v:rect>
            </w:pict>
          </mc:Fallback>
        </mc:AlternateContent>
      </w:r>
      <w:r>
        <w:rPr>
          <w:rFonts w:ascii="Times New Roman" w:hAnsi="Times New Roman"/>
          <w:color w:val="000000" w:themeColor="text1"/>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424BD52D"/>
                        </w:txbxContent>
                      </wps:txbx>
                      <wps:bodyPr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424BD52D"/>
                  </w:txbxContent>
                </v:textbox>
              </v:rect>
            </w:pict>
          </mc:Fallback>
        </mc:AlternateContent>
      </w:r>
      <w:r>
        <w:rPr>
          <w:rFonts w:ascii="Times New Roman" w:hAnsi="Times New Roman"/>
          <w:color w:val="000000" w:themeColor="text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rPr>
          <w:rFonts w:ascii="Times New Roman" w:hAnsi="Times New Roman"/>
          <w:color w:val="000000" w:themeColor="text1"/>
          <w14:textFill>
            <w14:solidFill>
              <w14:schemeClr w14:val="tx1"/>
            </w14:solidFill>
          </w14:textFill>
        </w:rPr>
        <w:fldChar w:fldCharType="begin">
          <w:ffData>
            <w:name w:val="fm"/>
            <w:enabled/>
            <w:calcOnExit w:val="0"/>
            <w:textInput/>
          </w:ffData>
        </w:fldChar>
      </w:r>
      <w:r>
        <w:rPr>
          <w:rFonts w:ascii="Times New Roman" w:hAnsi="Times New Roman"/>
          <w:color w:val="000000" w:themeColor="text1"/>
          <w14:textFill>
            <w14:solidFill>
              <w14:schemeClr w14:val="tx1"/>
            </w14:solidFill>
          </w14:textFill>
        </w:rPr>
        <w:instrText xml:space="preserve"> FORMTEXT </w:instrText>
      </w:r>
      <w:r>
        <w:rPr>
          <w:rFonts w:ascii="Times New Roman" w:hAnsi="Times New Roman"/>
          <w:color w:val="000000" w:themeColor="text1"/>
          <w14:textFill>
            <w14:solidFill>
              <w14:schemeClr w14:val="tx1"/>
            </w14:solidFill>
          </w14:textFill>
        </w:rPr>
        <w:fldChar w:fldCharType="separate"/>
      </w:r>
      <w:r>
        <w:rPr>
          <w:rFonts w:hint="eastAsia" w:ascii="Times New Roman" w:hAnsi="Times New Roman"/>
          <w:color w:val="000000" w:themeColor="text1"/>
          <w14:textFill>
            <w14:solidFill>
              <w14:schemeClr w14:val="tx1"/>
            </w14:solidFill>
          </w14:textFill>
        </w:rPr>
        <w:t>中华人民共和国工业和信息化部</w:t>
      </w:r>
      <w:r>
        <w:rPr>
          <w:rFonts w:ascii="Times New Roman" w:hAnsi="Times New Roman"/>
          <w:color w:val="000000" w:themeColor="text1"/>
          <w14:textFill>
            <w14:solidFill>
              <w14:schemeClr w14:val="tx1"/>
            </w14:solidFill>
          </w14:textFill>
        </w:rPr>
        <w:fldChar w:fldCharType="end"/>
      </w:r>
      <w:bookmarkEnd w:id="11"/>
      <w:r>
        <w:rPr>
          <w:rStyle w:val="45"/>
          <w:rFonts w:hint="eastAsia" w:ascii="Times New Roman" w:hAnsi="Times New Roman"/>
          <w:color w:val="000000" w:themeColor="text1"/>
          <w14:textFill>
            <w14:solidFill>
              <w14:schemeClr w14:val="tx1"/>
            </w14:solidFill>
          </w14:textFill>
        </w:rPr>
        <w:t>发布</w:t>
      </w:r>
    </w:p>
    <w:p w14:paraId="337D2F08">
      <w:pPr>
        <w:autoSpaceDE/>
        <w:autoSpaceDN/>
        <w:rPr>
          <w:rFonts w:ascii="Times New Roman" w:hAnsi="Times New Roman"/>
          <w:color w:val="000000" w:themeColor="text1"/>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upperRoman" w:start="1"/>
          <w:cols w:space="720" w:num="1"/>
          <w:docGrid w:type="lines" w:linePitch="312" w:charSpace="0"/>
        </w:sectPr>
      </w:pPr>
      <w:r>
        <w:rPr>
          <w:rFonts w:ascii="Times New Roman" w:hAnsi="Times New Roman"/>
          <w:color w:val="000000" w:themeColor="text1"/>
          <w14:textFill>
            <w14:solidFill>
              <w14:schemeClr w14:val="tx1"/>
            </w14:solidFill>
          </w14:textFill>
        </w:rPr>
        <mc:AlternateContent>
          <mc:Choice Requires="wps">
            <w:drawing>
              <wp:anchor distT="0" distB="0" distL="114300" distR="114300" simplePos="0" relativeHeight="251664384"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4384;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648216C1">
      <w:pPr>
        <w:pStyle w:val="46"/>
        <w:tabs>
          <w:tab w:val="center" w:pos="4677"/>
          <w:tab w:val="left" w:pos="7092"/>
        </w:tabs>
        <w:jc w:val="left"/>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ab/>
      </w:r>
      <w:bookmarkStart w:id="12" w:name="_Toc103159534"/>
      <w:bookmarkStart w:id="13" w:name="_Toc65048651"/>
      <w:bookmarkStart w:id="14" w:name="_Toc65048765"/>
      <w:r>
        <w:rPr>
          <w:rFonts w:hint="eastAsia" w:ascii="Times New Roman" w:hAnsi="Times New Roman"/>
          <w:color w:val="000000" w:themeColor="text1"/>
          <w14:textFill>
            <w14:solidFill>
              <w14:schemeClr w14:val="tx1"/>
            </w14:solidFill>
          </w14:textFill>
        </w:rPr>
        <w:t>前</w:t>
      </w:r>
      <w:bookmarkStart w:id="15" w:name="BKQY"/>
      <w:r>
        <w:rPr>
          <w:rFonts w:ascii="Times New Roman" w:hAnsi="Times New Roman"/>
          <w:color w:val="000000" w:themeColor="text1"/>
          <w14:textFill>
            <w14:solidFill>
              <w14:schemeClr w14:val="tx1"/>
            </w14:solidFill>
          </w14:textFill>
        </w:rPr>
        <w:t>  </w:t>
      </w:r>
      <w:r>
        <w:rPr>
          <w:rFonts w:hint="eastAsia" w:ascii="Times New Roman" w:hAnsi="Times New Roman"/>
          <w:color w:val="000000" w:themeColor="text1"/>
          <w14:textFill>
            <w14:solidFill>
              <w14:schemeClr w14:val="tx1"/>
            </w14:solidFill>
          </w14:textFill>
        </w:rPr>
        <w:t>言</w:t>
      </w:r>
      <w:bookmarkEnd w:id="12"/>
      <w:bookmarkEnd w:id="13"/>
      <w:bookmarkEnd w:id="14"/>
      <w:bookmarkEnd w:id="15"/>
      <w:r>
        <w:rPr>
          <w:rFonts w:ascii="Times New Roman" w:hAnsi="Times New Roman"/>
          <w:color w:val="000000" w:themeColor="text1"/>
          <w14:textFill>
            <w14:solidFill>
              <w14:schemeClr w14:val="tx1"/>
            </w14:solidFill>
          </w14:textFill>
        </w:rPr>
        <w:tab/>
      </w:r>
    </w:p>
    <w:p w14:paraId="6DAFC393">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本文件按照GB/T</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1.1-2020《标准化工作导则 第1部分：标准化文件的结构和起草规则》的规定起草。</w:t>
      </w:r>
    </w:p>
    <w:p w14:paraId="0AEED9F6">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本文件代替SB/T 10404-2006《水载型防腐剂和阻燃剂主要成分的测定》，与SB/T 10404-2006相比，除</w:t>
      </w:r>
      <w:r>
        <w:rPr>
          <w:rFonts w:hint="eastAsia" w:ascii="Times New Roman" w:hAnsi="Times New Roman"/>
          <w:color w:val="000000" w:themeColor="text1"/>
          <w:lang w:val="en-US" w:eastAsia="zh-CN"/>
          <w14:textFill>
            <w14:solidFill>
              <w14:schemeClr w14:val="tx1"/>
            </w14:solidFill>
          </w14:textFill>
        </w:rPr>
        <w:t>结构调整和</w:t>
      </w:r>
      <w:r>
        <w:rPr>
          <w:rFonts w:hint="eastAsia" w:ascii="Times New Roman" w:hAnsi="Times New Roman"/>
          <w:color w:val="000000" w:themeColor="text1"/>
          <w14:textFill>
            <w14:solidFill>
              <w14:schemeClr w14:val="tx1"/>
            </w14:solidFill>
          </w14:textFill>
        </w:rPr>
        <w:t>编辑性改动外，主要技术变化如下：</w:t>
      </w:r>
    </w:p>
    <w:p w14:paraId="1C1CE10E">
      <w:pPr>
        <w:numPr>
          <w:ilvl w:val="0"/>
          <w:numId w:val="5"/>
        </w:numPr>
        <w:autoSpaceDE/>
        <w:autoSpaceDN/>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增加了</w:t>
      </w:r>
      <w:r>
        <w:rPr>
          <w:rFonts w:hint="eastAsia" w:ascii="Times New Roman" w:hAnsi="Times New Roman"/>
          <w:color w:val="000000" w:themeColor="text1"/>
          <w:lang w:val="en-US" w:eastAsia="zh-CN"/>
          <w14:textFill>
            <w14:solidFill>
              <w14:schemeClr w14:val="tx1"/>
            </w14:solidFill>
          </w14:textFill>
        </w:rPr>
        <w:t>测定</w:t>
      </w:r>
      <w:r>
        <w:rPr>
          <w:rFonts w:hint="eastAsia" w:ascii="Times New Roman" w:hAnsi="Times New Roman"/>
          <w:color w:val="000000" w:themeColor="text1"/>
          <w14:textFill>
            <w14:solidFill>
              <w14:schemeClr w14:val="tx1"/>
            </w14:solidFill>
          </w14:textFill>
        </w:rPr>
        <w:t>方法：</w:t>
      </w:r>
    </w:p>
    <w:p w14:paraId="4859BDD5">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——电感耦合等离子体发射光谱</w:t>
      </w:r>
      <w:r>
        <w:rPr>
          <w:rFonts w:hint="eastAsia" w:ascii="Times New Roman" w:hAnsi="Times New Roman"/>
          <w:color w:val="000000" w:themeColor="text1"/>
          <w:lang w:val="en-US" w:eastAsia="zh-CN"/>
          <w14:textFill>
            <w14:solidFill>
              <w14:schemeClr w14:val="tx1"/>
            </w14:solidFill>
          </w14:textFill>
        </w:rPr>
        <w:t>法</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ICP-oes</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测CCA型防腐剂中铜铬砷硼</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见15章</w:t>
      </w:r>
      <w:r>
        <w:rPr>
          <w:rFonts w:hint="eastAsia" w:ascii="Times New Roman" w:hAnsi="Times New Roman"/>
          <w:color w:val="000000" w:themeColor="text1"/>
          <w:lang w:eastAsia="zh-CN"/>
          <w14:textFill>
            <w14:solidFill>
              <w14:schemeClr w14:val="tx1"/>
            </w14:solidFill>
          </w14:textFill>
        </w:rPr>
        <w:t>）</w:t>
      </w:r>
    </w:p>
    <w:p w14:paraId="2E221AFC">
      <w:pPr>
        <w:autoSpaceDE/>
        <w:autoSpaceDN/>
        <w:ind w:firstLine="630" w:firstLineChars="300"/>
        <w:rPr>
          <w:rFonts w:hint="eastAsia" w:ascii="Times New Roman" w:hAnsi="Times New Roman" w:eastAsiaTheme="minorEastAsia"/>
          <w:color w:val="000000" w:themeColor="text1"/>
          <w:lang w:eastAsia="zh-CN"/>
          <w14:textFill>
            <w14:solidFill>
              <w14:schemeClr w14:val="tx1"/>
            </w14:solidFill>
          </w14:textFill>
        </w:rPr>
      </w:pPr>
      <w:r>
        <w:rPr>
          <w:rFonts w:hint="eastAsia" w:ascii="Times New Roman" w:hAnsi="Times New Roman"/>
          <w:color w:val="000000" w:themeColor="text1"/>
          <w14:textFill>
            <w14:solidFill>
              <w14:schemeClr w14:val="tx1"/>
            </w14:solidFill>
          </w14:textFill>
        </w:rPr>
        <w:t>——电感耦合等离子体质谱法</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ICP-MS</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测CCA型防腐剂中铜铬砷硼</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见16章</w:t>
      </w:r>
      <w:r>
        <w:rPr>
          <w:rFonts w:hint="eastAsia" w:ascii="Times New Roman" w:hAnsi="Times New Roman"/>
          <w:color w:val="000000" w:themeColor="text1"/>
          <w:lang w:eastAsia="zh-CN"/>
          <w14:textFill>
            <w14:solidFill>
              <w14:schemeClr w14:val="tx1"/>
            </w14:solidFill>
          </w14:textFill>
        </w:rPr>
        <w:t>）</w:t>
      </w:r>
    </w:p>
    <w:p w14:paraId="733F5EE8">
      <w:pPr>
        <w:autoSpaceDE/>
        <w:autoSpaceDN/>
        <w:ind w:firstLine="630" w:firstLineChars="30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液质联用法（</w:t>
      </w:r>
      <w:r>
        <w:rPr>
          <w:rFonts w:hint="eastAsia" w:ascii="Times New Roman" w:hAnsi="Times New Roman"/>
          <w:color w:val="000000" w:themeColor="text1"/>
          <w14:textFill>
            <w14:solidFill>
              <w14:schemeClr w14:val="tx1"/>
            </w14:solidFill>
          </w14:textFill>
        </w:rPr>
        <w:t>LC-MSMS法</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测</w:t>
      </w:r>
      <w:r>
        <w:rPr>
          <w:rFonts w:hint="eastAsia" w:ascii="Times New Roman" w:hAnsi="Times New Roman" w:eastAsiaTheme="minorEastAsia"/>
          <w:color w:val="000000" w:themeColor="text1"/>
          <w14:textFill>
            <w14:solidFill>
              <w14:schemeClr w14:val="tx1"/>
            </w14:solidFill>
          </w14:textFill>
        </w:rPr>
        <w:t>测防腐剂中唑类化合物</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戊唑醇、丙环唑</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见22章</w:t>
      </w:r>
      <w:r>
        <w:rPr>
          <w:rFonts w:hint="eastAsia" w:ascii="Times New Roman" w:hAnsi="Times New Roman"/>
          <w:color w:val="000000" w:themeColor="text1"/>
          <w:lang w:eastAsia="zh-CN"/>
          <w14:textFill>
            <w14:solidFill>
              <w14:schemeClr w14:val="tx1"/>
            </w14:solidFill>
          </w14:textFill>
        </w:rPr>
        <w:t>）</w:t>
      </w:r>
    </w:p>
    <w:p w14:paraId="319E8ECD">
      <w:pPr>
        <w:autoSpaceDE/>
        <w:autoSpaceDN/>
        <w:ind w:firstLine="630" w:firstLineChars="30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原子吸收光谱法测定防腐剂及防腐材中的铜铬砷</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见17章）</w:t>
      </w:r>
    </w:p>
    <w:p w14:paraId="7BC33AD1">
      <w:pPr>
        <w:autoSpaceDE/>
        <w:autoSpaceDN/>
        <w:ind w:firstLine="630" w:firstLineChars="30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——X射线荧光能谱仪</w:t>
      </w:r>
      <w:r>
        <w:rPr>
          <w:rFonts w:hint="eastAsia" w:ascii="Times New Roman" w:hAnsi="Times New Roman" w:eastAsia="宋体"/>
          <w:color w:val="000000" w:themeColor="text1"/>
          <w14:textFill>
            <w14:solidFill>
              <w14:schemeClr w14:val="tx1"/>
            </w14:solidFill>
          </w14:textFill>
        </w:rPr>
        <w:t>法测定防腐剂及防腐材中的铜铬砷</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见18章）</w:t>
      </w:r>
    </w:p>
    <w:p w14:paraId="7E801700">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——等离子发射光谱</w:t>
      </w:r>
      <w:r>
        <w:rPr>
          <w:rFonts w:hint="eastAsia" w:ascii="Times New Roman" w:hAnsi="Times New Roman" w:eastAsia="宋体"/>
          <w:color w:val="000000" w:themeColor="text1"/>
          <w14:textFill>
            <w14:solidFill>
              <w14:schemeClr w14:val="tx1"/>
            </w14:solidFill>
          </w14:textFill>
        </w:rPr>
        <w:t>法</w:t>
      </w:r>
      <w:r>
        <w:rPr>
          <w:rFonts w:hint="eastAsia" w:ascii="Times New Roman" w:hAnsi="Times New Roman"/>
          <w:color w:val="000000" w:themeColor="text1"/>
          <w14:textFill>
            <w14:solidFill>
              <w14:schemeClr w14:val="tx1"/>
            </w14:solidFill>
          </w14:textFill>
        </w:rPr>
        <w:t>（I</w:t>
      </w:r>
      <w:r>
        <w:rPr>
          <w:rFonts w:ascii="Times New Roman" w:hAnsi="Times New Roman"/>
          <w:color w:val="000000" w:themeColor="text1"/>
          <w14:textFill>
            <w14:solidFill>
              <w14:schemeClr w14:val="tx1"/>
            </w14:solidFill>
          </w14:textFill>
        </w:rPr>
        <w:t>CP-AES</w:t>
      </w:r>
      <w:r>
        <w:rPr>
          <w:rFonts w:hint="eastAsia" w:ascii="Times New Roman" w:hAnsi="Times New Roman"/>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测定防腐剂及防腐材中的铜铬</w:t>
      </w:r>
      <w:r>
        <w:rPr>
          <w:rFonts w:hint="eastAsia" w:ascii="Times New Roman" w:hAnsi="Times New Roman"/>
          <w:color w:val="000000" w:themeColor="text1"/>
          <w14:textFill>
            <w14:solidFill>
              <w14:schemeClr w14:val="tx1"/>
            </w14:solidFill>
          </w14:textFill>
        </w:rPr>
        <w:t>砷</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见19章）</w:t>
      </w:r>
    </w:p>
    <w:p w14:paraId="22D437E5">
      <w:pPr>
        <w:autoSpaceDE/>
        <w:autoSpaceDN/>
        <w:ind w:firstLine="630" w:firstLineChars="30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——等离子发射光谱</w:t>
      </w:r>
      <w:r>
        <w:rPr>
          <w:rFonts w:hint="eastAsia" w:ascii="Times New Roman" w:hAnsi="Times New Roman" w:eastAsia="宋体"/>
          <w:color w:val="000000" w:themeColor="text1"/>
          <w14:textFill>
            <w14:solidFill>
              <w14:schemeClr w14:val="tx1"/>
            </w14:solidFill>
          </w14:textFill>
        </w:rPr>
        <w:t>法</w:t>
      </w:r>
      <w:r>
        <w:rPr>
          <w:rFonts w:hint="eastAsia" w:ascii="Times New Roman" w:hAnsi="Times New Roman"/>
          <w:color w:val="000000" w:themeColor="text1"/>
          <w14:textFill>
            <w14:solidFill>
              <w14:schemeClr w14:val="tx1"/>
            </w14:solidFill>
          </w14:textFill>
        </w:rPr>
        <w:t>（I</w:t>
      </w:r>
      <w:r>
        <w:rPr>
          <w:rFonts w:ascii="Times New Roman" w:hAnsi="Times New Roman"/>
          <w:color w:val="000000" w:themeColor="text1"/>
          <w14:textFill>
            <w14:solidFill>
              <w14:schemeClr w14:val="tx1"/>
            </w14:solidFill>
          </w14:textFill>
        </w:rPr>
        <w:t>CP-AES</w:t>
      </w:r>
      <w:r>
        <w:rPr>
          <w:rFonts w:hint="eastAsia" w:ascii="Times New Roman" w:hAnsi="Times New Roman"/>
          <w:color w:val="000000" w:themeColor="text1"/>
          <w14:textFill>
            <w14:solidFill>
              <w14:schemeClr w14:val="tx1"/>
            </w14:solidFill>
          </w14:textFill>
        </w:rPr>
        <w:t>）</w:t>
      </w:r>
      <w:r>
        <w:rPr>
          <w:rFonts w:hint="eastAsia" w:ascii="Times New Roman" w:hAnsi="Times New Roman" w:eastAsia="宋体"/>
          <w:color w:val="000000" w:themeColor="text1"/>
          <w14:textFill>
            <w14:solidFill>
              <w14:schemeClr w14:val="tx1"/>
            </w14:solidFill>
          </w14:textFill>
        </w:rPr>
        <w:t>测定防腐剂及防腐材中的</w:t>
      </w:r>
      <w:r>
        <w:rPr>
          <w:rFonts w:hint="eastAsia" w:ascii="Times New Roman" w:hAnsi="Times New Roman"/>
          <w:color w:val="000000" w:themeColor="text1"/>
          <w14:textFill>
            <w14:solidFill>
              <w14:schemeClr w14:val="tx1"/>
            </w14:solidFill>
          </w14:textFill>
        </w:rPr>
        <w:t>硼</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见20章）</w:t>
      </w:r>
    </w:p>
    <w:p w14:paraId="79557F8D">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——高效液相色谱法测防腐剂及防腐木材中的戊唑醇丙环唑</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见21章）</w:t>
      </w:r>
    </w:p>
    <w:p w14:paraId="71BF0B36">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——液相色谱法测定D</w:t>
      </w:r>
      <w:r>
        <w:rPr>
          <w:rFonts w:ascii="Times New Roman" w:hAnsi="Times New Roman"/>
          <w:color w:val="000000" w:themeColor="text1"/>
          <w14:textFill>
            <w14:solidFill>
              <w14:schemeClr w14:val="tx1"/>
            </w14:solidFill>
          </w14:textFill>
        </w:rPr>
        <w:t>DAC</w:t>
      </w:r>
      <w:r>
        <w:rPr>
          <w:rFonts w:hint="eastAsia" w:ascii="Times New Roman" w:hAnsi="Times New Roman"/>
          <w:color w:val="000000" w:themeColor="text1"/>
          <w14:textFill>
            <w14:solidFill>
              <w14:schemeClr w14:val="tx1"/>
            </w14:solidFill>
          </w14:textFill>
        </w:rPr>
        <w:t>和B</w:t>
      </w:r>
      <w:r>
        <w:rPr>
          <w:rFonts w:ascii="Times New Roman" w:hAnsi="Times New Roman"/>
          <w:color w:val="000000" w:themeColor="text1"/>
          <w14:textFill>
            <w14:solidFill>
              <w14:schemeClr w14:val="tx1"/>
            </w14:solidFill>
          </w14:textFill>
        </w:rPr>
        <w:t>AC</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见23章）</w:t>
      </w:r>
    </w:p>
    <w:p w14:paraId="2E75D937">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——两项滴定法测D</w:t>
      </w:r>
      <w:r>
        <w:rPr>
          <w:rFonts w:ascii="Times New Roman" w:hAnsi="Times New Roman"/>
          <w:color w:val="000000" w:themeColor="text1"/>
          <w14:textFill>
            <w14:solidFill>
              <w14:schemeClr w14:val="tx1"/>
            </w14:solidFill>
          </w14:textFill>
        </w:rPr>
        <w:t>DAC</w:t>
      </w:r>
      <w:r>
        <w:rPr>
          <w:rFonts w:hint="eastAsia" w:ascii="Times New Roman" w:hAnsi="Times New Roman"/>
          <w:color w:val="000000" w:themeColor="text1"/>
          <w14:textFill>
            <w14:solidFill>
              <w14:schemeClr w14:val="tx1"/>
            </w14:solidFill>
          </w14:textFill>
        </w:rPr>
        <w:t>和B</w:t>
      </w:r>
      <w:r>
        <w:rPr>
          <w:rFonts w:ascii="Times New Roman" w:hAnsi="Times New Roman"/>
          <w:color w:val="000000" w:themeColor="text1"/>
          <w14:textFill>
            <w14:solidFill>
              <w14:schemeClr w14:val="tx1"/>
            </w14:solidFill>
          </w14:textFill>
        </w:rPr>
        <w:t>AC</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见24章）</w:t>
      </w:r>
    </w:p>
    <w:p w14:paraId="16A65ECB">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——环丙唑醇测定</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见25章）</w:t>
      </w:r>
    </w:p>
    <w:p w14:paraId="7D1CC09D">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——戊唑醇、丙环唑、三唑醇 等分析方法</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见26章）</w:t>
      </w:r>
    </w:p>
    <w:p w14:paraId="06ADA20F">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——D</w:t>
      </w:r>
      <w:r>
        <w:rPr>
          <w:rFonts w:ascii="Times New Roman" w:hAnsi="Times New Roman"/>
          <w:color w:val="000000" w:themeColor="text1"/>
          <w14:textFill>
            <w14:solidFill>
              <w14:schemeClr w14:val="tx1"/>
            </w14:solidFill>
          </w14:textFill>
        </w:rPr>
        <w:t>COI</w:t>
      </w:r>
      <w:r>
        <w:rPr>
          <w:rFonts w:hint="eastAsia" w:ascii="Times New Roman" w:hAnsi="Times New Roman"/>
          <w:color w:val="000000" w:themeColor="text1"/>
          <w14:textFill>
            <w14:solidFill>
              <w14:schemeClr w14:val="tx1"/>
            </w14:solidFill>
          </w14:textFill>
        </w:rPr>
        <w:t>、O</w:t>
      </w:r>
      <w:r>
        <w:rPr>
          <w:rFonts w:ascii="Times New Roman" w:hAnsi="Times New Roman"/>
          <w:color w:val="000000" w:themeColor="text1"/>
          <w14:textFill>
            <w14:solidFill>
              <w14:schemeClr w14:val="tx1"/>
            </w14:solidFill>
          </w14:textFill>
        </w:rPr>
        <w:t>IT</w:t>
      </w:r>
      <w:r>
        <w:rPr>
          <w:rFonts w:hint="eastAsia" w:ascii="Times New Roman" w:hAnsi="Times New Roman"/>
          <w:color w:val="000000" w:themeColor="text1"/>
          <w14:textFill>
            <w14:solidFill>
              <w14:schemeClr w14:val="tx1"/>
            </w14:solidFill>
          </w14:textFill>
        </w:rPr>
        <w:t>分析方法</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见27章）</w:t>
      </w:r>
    </w:p>
    <w:p w14:paraId="7140FD8D">
      <w:pPr>
        <w:autoSpaceDE/>
        <w:autoSpaceDN/>
        <w:ind w:firstLine="630" w:firstLineChars="3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MIT</w:t>
      </w:r>
      <w:r>
        <w:rPr>
          <w:rFonts w:hint="eastAsia" w:ascii="Times New Roman" w:hAnsi="Times New Roman"/>
          <w:color w:val="000000" w:themeColor="text1"/>
          <w14:textFill>
            <w14:solidFill>
              <w14:schemeClr w14:val="tx1"/>
            </w14:solidFill>
          </w14:textFill>
        </w:rPr>
        <w:t>、M</w:t>
      </w:r>
      <w:r>
        <w:rPr>
          <w:rFonts w:ascii="Times New Roman" w:hAnsi="Times New Roman"/>
          <w:color w:val="000000" w:themeColor="text1"/>
          <w14:textFill>
            <w14:solidFill>
              <w14:schemeClr w14:val="tx1"/>
            </w14:solidFill>
          </w14:textFill>
        </w:rPr>
        <w:t>IT</w:t>
      </w:r>
      <w:r>
        <w:rPr>
          <w:rFonts w:hint="eastAsia" w:ascii="Times New Roman" w:hAnsi="Times New Roman"/>
          <w:color w:val="000000" w:themeColor="text1"/>
          <w14:textFill>
            <w14:solidFill>
              <w14:schemeClr w14:val="tx1"/>
            </w14:solidFill>
          </w14:textFill>
        </w:rPr>
        <w:t>分析方法</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见28章）</w:t>
      </w:r>
    </w:p>
    <w:p w14:paraId="5039D84D">
      <w:pPr>
        <w:autoSpaceDE/>
        <w:autoSpaceDN/>
        <w:ind w:firstLine="630" w:firstLineChars="30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IPBC</w:t>
      </w:r>
      <w:r>
        <w:rPr>
          <w:rFonts w:hint="eastAsia" w:ascii="Times New Roman" w:hAnsi="Times New Roman"/>
          <w:color w:val="000000" w:themeColor="text1"/>
          <w14:textFill>
            <w14:solidFill>
              <w14:schemeClr w14:val="tx1"/>
            </w14:solidFill>
          </w14:textFill>
        </w:rPr>
        <w:t>分析方法</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见29章）</w:t>
      </w:r>
    </w:p>
    <w:p w14:paraId="49FA4E8D">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请注意本文件的某些内容可能涉及专利。本文件的发布机构不承担识别专利的责任。</w:t>
      </w:r>
    </w:p>
    <w:p w14:paraId="69101622">
      <w:pPr>
        <w:pStyle w:val="84"/>
        <w:spacing w:line="360" w:lineRule="exact"/>
        <w:ind w:firstLine="428" w:firstLineChars="200"/>
        <w:rPr>
          <w:color w:val="000000" w:themeColor="text1"/>
          <w:spacing w:val="2"/>
          <w:szCs w:val="21"/>
          <w:highlight w:val="none"/>
          <w14:textFill>
            <w14:solidFill>
              <w14:schemeClr w14:val="tx1"/>
            </w14:solidFill>
          </w14:textFill>
        </w:rPr>
      </w:pPr>
      <w:r>
        <w:rPr>
          <w:color w:val="000000" w:themeColor="text1"/>
          <w:spacing w:val="2"/>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文件</w:t>
      </w:r>
      <w:r>
        <w:rPr>
          <w:color w:val="000000" w:themeColor="text1"/>
          <w:spacing w:val="2"/>
          <w:szCs w:val="21"/>
          <w:highlight w:val="none"/>
          <w14:textFill>
            <w14:solidFill>
              <w14:schemeClr w14:val="tx1"/>
            </w14:solidFill>
          </w14:textFill>
        </w:rPr>
        <w:t>由</w:t>
      </w:r>
      <w:r>
        <w:rPr>
          <w:color w:val="000000" w:themeColor="text1"/>
          <w:spacing w:val="2"/>
          <w:szCs w:val="21"/>
          <w:highlight w:val="none"/>
          <w14:textFill>
            <w14:solidFill>
              <w14:schemeClr w14:val="tx1"/>
            </w14:solidFill>
          </w14:textFill>
        </w:rPr>
        <w:t>中国建筑材料联合会</w:t>
      </w:r>
      <w:r>
        <w:rPr>
          <w:color w:val="000000" w:themeColor="text1"/>
          <w:spacing w:val="2"/>
          <w:szCs w:val="21"/>
          <w:highlight w:val="none"/>
          <w14:textFill>
            <w14:solidFill>
              <w14:schemeClr w14:val="tx1"/>
            </w14:solidFill>
          </w14:textFill>
        </w:rPr>
        <w:t>提出。</w:t>
      </w:r>
    </w:p>
    <w:p w14:paraId="43D571DB">
      <w:pPr>
        <w:pStyle w:val="8"/>
        <w:spacing w:line="360" w:lineRule="exact"/>
        <w:ind w:firstLine="420" w:firstLineChars="200"/>
        <w:rPr>
          <w:rFonts w:hint="eastAsia" w:ascii="Times New Roman" w:hAnsi="Times New Roman"/>
          <w:color w:val="000000" w:themeColor="text1"/>
          <w14:textFill>
            <w14:solidFill>
              <w14:schemeClr w14:val="tx1"/>
            </w14:solidFill>
          </w14:textFill>
        </w:rPr>
      </w:pPr>
      <w:r>
        <w:rPr>
          <w:rFonts w:hAnsi="宋体"/>
          <w:color w:val="000000" w:themeColor="text1"/>
          <w:szCs w:val="21"/>
          <w:highlight w:val="none"/>
          <w14:textFill>
            <w14:solidFill>
              <w14:schemeClr w14:val="tx1"/>
            </w14:solidFill>
          </w14:textFill>
        </w:rPr>
        <w:t>本</w:t>
      </w:r>
      <w:r>
        <w:rPr>
          <w:rFonts w:hint="eastAsia" w:hAnsi="宋体"/>
          <w:color w:val="000000" w:themeColor="text1"/>
          <w:szCs w:val="21"/>
          <w:highlight w:val="none"/>
          <w14:textFill>
            <w14:solidFill>
              <w14:schemeClr w14:val="tx1"/>
            </w14:solidFill>
          </w14:textFill>
        </w:rPr>
        <w:t>文件</w:t>
      </w:r>
      <w:r>
        <w:rPr>
          <w:rFonts w:hAnsi="宋体"/>
          <w:color w:val="000000" w:themeColor="text1"/>
          <w:szCs w:val="21"/>
          <w:highlight w:val="none"/>
          <w14:textFill>
            <w14:solidFill>
              <w14:schemeClr w14:val="tx1"/>
            </w14:solidFill>
          </w14:textFill>
        </w:rPr>
        <w:t>由</w:t>
      </w:r>
      <w:r>
        <w:rPr>
          <w:rFonts w:hint="eastAsia" w:hAnsi="宋体"/>
          <w:color w:val="000000" w:themeColor="text1"/>
          <w:szCs w:val="21"/>
          <w:highlight w:val="none"/>
          <w14:textFill>
            <w14:solidFill>
              <w14:schemeClr w14:val="tx1"/>
            </w14:solidFill>
          </w14:textFill>
        </w:rPr>
        <w:t>建材</w:t>
      </w:r>
      <w:r>
        <w:rPr>
          <w:rFonts w:hAnsi="宋体"/>
          <w:color w:val="000000" w:themeColor="text1"/>
          <w:szCs w:val="21"/>
          <w:highlight w:val="none"/>
          <w14:textFill>
            <w14:solidFill>
              <w14:schemeClr w14:val="tx1"/>
            </w14:solidFill>
          </w14:textFill>
        </w:rPr>
        <w:t>工业综合标准化技术委员会</w:t>
      </w:r>
      <w:r>
        <w:rPr>
          <w:rFonts w:hAnsi="宋体"/>
          <w:color w:val="000000" w:themeColor="text1"/>
          <w:szCs w:val="21"/>
          <w:highlight w:val="none"/>
          <w14:textFill>
            <w14:solidFill>
              <w14:schemeClr w14:val="tx1"/>
            </w14:solidFill>
          </w14:textFill>
        </w:rPr>
        <w:t>归口。</w:t>
      </w:r>
    </w:p>
    <w:p w14:paraId="0B972E9B">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本文件</w:t>
      </w:r>
      <w:r>
        <w:rPr>
          <w:rFonts w:hint="eastAsia" w:ascii="Times New Roman" w:hAnsi="Times New Roman"/>
          <w:color w:val="000000" w:themeColor="text1"/>
          <w:lang w:val="en-US" w:eastAsia="zh-CN"/>
          <w14:textFill>
            <w14:solidFill>
              <w14:schemeClr w14:val="tx1"/>
            </w14:solidFill>
          </w14:textFill>
        </w:rPr>
        <w:t>负责</w:t>
      </w:r>
      <w:r>
        <w:rPr>
          <w:rFonts w:hint="eastAsia" w:ascii="Times New Roman" w:hAnsi="Times New Roman"/>
          <w:color w:val="000000" w:themeColor="text1"/>
          <w14:textFill>
            <w14:solidFill>
              <w14:schemeClr w14:val="tx1"/>
            </w14:solidFill>
          </w14:textFill>
        </w:rPr>
        <w:t>起草单位：木材节约发展中心</w:t>
      </w:r>
      <w:r>
        <w:rPr>
          <w:rFonts w:hint="eastAsia" w:ascii="Times New Roman" w:hAnsi="Times New Roman"/>
          <w:color w:val="000000" w:themeColor="text1"/>
          <w:highlight w:val="none"/>
          <w14:textFill>
            <w14:solidFill>
              <w14:schemeClr w14:val="tx1"/>
            </w14:solidFill>
          </w14:textFill>
        </w:rPr>
        <w:t>、国家木材与木制品性能质量检验检测中心、西南林业</w:t>
      </w:r>
      <w:r>
        <w:rPr>
          <w:rFonts w:hint="eastAsia" w:ascii="Times New Roman" w:hAnsi="Times New Roman"/>
          <w:color w:val="000000" w:themeColor="text1"/>
          <w14:textFill>
            <w14:solidFill>
              <w14:schemeClr w14:val="tx1"/>
            </w14:solidFill>
          </w14:textFill>
        </w:rPr>
        <w:t>大学、北京林业大学，上海步增木业有限公司、上海御璟木结构工程有限公司、北京莱伯泰科仪器股份有限公司。</w:t>
      </w:r>
    </w:p>
    <w:p w14:paraId="41E39D1E">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本文件主要起草人：</w:t>
      </w:r>
      <w:r>
        <w:rPr>
          <w:rFonts w:hint="eastAsia" w:ascii="Times New Roman" w:hAnsi="Times New Roman"/>
          <w:color w:val="000000" w:themeColor="text1"/>
          <w:highlight w:val="yellow"/>
          <w14:textFill>
            <w14:solidFill>
              <w14:schemeClr w14:val="tx1"/>
            </w14:solidFill>
          </w14:textFill>
        </w:rPr>
        <w:t>×××等</w:t>
      </w:r>
      <w:r>
        <w:rPr>
          <w:rFonts w:hint="eastAsia" w:ascii="Times New Roman" w:hAnsi="Times New Roman"/>
          <w:color w:val="000000" w:themeColor="text1"/>
          <w14:textFill>
            <w14:solidFill>
              <w14:schemeClr w14:val="tx1"/>
            </w14:solidFill>
          </w14:textFill>
        </w:rPr>
        <w:t>。</w:t>
      </w:r>
    </w:p>
    <w:p w14:paraId="3CB7947B">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本文件</w:t>
      </w:r>
      <w:r>
        <w:rPr>
          <w:rFonts w:hint="eastAsia" w:ascii="Times New Roman" w:hAnsi="Times New Roman"/>
          <w:color w:val="000000" w:themeColor="text1"/>
          <w:lang w:val="en-US" w:eastAsia="zh-CN"/>
          <w14:textFill>
            <w14:solidFill>
              <w14:schemeClr w14:val="tx1"/>
            </w14:solidFill>
          </w14:textFill>
        </w:rPr>
        <w:t>于2</w:t>
      </w:r>
      <w:r>
        <w:rPr>
          <w:rFonts w:hint="eastAsia" w:ascii="Times New Roman" w:hAnsi="Times New Roman"/>
          <w:color w:val="000000" w:themeColor="text1"/>
          <w14:textFill>
            <w14:solidFill>
              <w14:schemeClr w14:val="tx1"/>
            </w14:solidFill>
          </w14:textFill>
        </w:rPr>
        <w:t>006年首次发布</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本次为第一次修订。</w:t>
      </w:r>
    </w:p>
    <w:p w14:paraId="69C80507">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br w:type="page"/>
      </w:r>
    </w:p>
    <w:p w14:paraId="3975CF49">
      <w:pPr>
        <w:pStyle w:val="79"/>
        <w:rPr>
          <w:rFonts w:ascii="Times New Roman" w:hAnsi="Times New Roman"/>
          <w:color w:val="000000" w:themeColor="text1"/>
          <w14:textFill>
            <w14:solidFill>
              <w14:schemeClr w14:val="tx1"/>
            </w14:solidFill>
          </w14:textFill>
        </w:rPr>
        <w:sectPr>
          <w:headerReference r:id="rId11" w:type="default"/>
          <w:footerReference r:id="rId12" w:type="default"/>
          <w:pgSz w:w="11906" w:h="16838"/>
          <w:pgMar w:top="567" w:right="1134" w:bottom="1134" w:left="1418" w:header="1418" w:footer="1134" w:gutter="0"/>
          <w:pgNumType w:fmt="upperRoman" w:start="1"/>
          <w:cols w:space="425" w:num="1"/>
          <w:formProt w:val="0"/>
          <w:docGrid w:type="lines" w:linePitch="312" w:charSpace="0"/>
        </w:sectPr>
      </w:pPr>
    </w:p>
    <w:p w14:paraId="779DF304">
      <w:pPr>
        <w:pStyle w:val="47"/>
        <w:rPr>
          <w:rFonts w:ascii="Times New Roman" w:hAnsi="Times New Roman"/>
          <w:color w:val="000000" w:themeColor="text1"/>
          <w:kern w:val="2"/>
          <w14:textFill>
            <w14:solidFill>
              <w14:schemeClr w14:val="tx1"/>
            </w14:solidFill>
          </w14:textFill>
        </w:rPr>
      </w:pPr>
      <w:bookmarkStart w:id="16" w:name="_Toc103159535"/>
      <w:bookmarkStart w:id="17" w:name="_Hlk103157022"/>
      <w:bookmarkStart w:id="18" w:name="_Toc94725671"/>
      <w:bookmarkStart w:id="19" w:name="_Toc94726007"/>
      <w:bookmarkStart w:id="20" w:name="_Toc94725570"/>
      <w:bookmarkStart w:id="21" w:name="_Toc94725176"/>
      <w:r>
        <w:rPr>
          <w:rFonts w:hint="eastAsia" w:ascii="Times New Roman" w:hAnsi="Times New Roman"/>
          <w:color w:val="000000" w:themeColor="text1"/>
          <w14:textFill>
            <w14:solidFill>
              <w14:schemeClr w14:val="tx1"/>
            </w14:solidFill>
          </w14:textFill>
        </w:rPr>
        <w:t>水载型防腐剂和阻燃剂</w:t>
      </w:r>
      <w:r>
        <w:rPr>
          <w:rFonts w:hint="eastAsia" w:ascii="Times New Roman" w:hAnsi="Times New Roman"/>
          <w:color w:val="000000" w:themeColor="text1"/>
          <w:lang w:val="en-US" w:eastAsia="zh-CN"/>
          <w14:textFill>
            <w14:solidFill>
              <w14:schemeClr w14:val="tx1"/>
            </w14:solidFill>
          </w14:textFill>
        </w:rPr>
        <w:t>主要</w:t>
      </w:r>
      <w:r>
        <w:rPr>
          <w:rFonts w:hint="eastAsia" w:ascii="Times New Roman" w:hAnsi="Times New Roman"/>
          <w:color w:val="000000" w:themeColor="text1"/>
          <w14:textFill>
            <w14:solidFill>
              <w14:schemeClr w14:val="tx1"/>
            </w14:solidFill>
          </w14:textFill>
        </w:rPr>
        <w:t>成分的测定</w:t>
      </w:r>
    </w:p>
    <w:bookmarkEnd w:id="16"/>
    <w:bookmarkEnd w:id="17"/>
    <w:bookmarkEnd w:id="18"/>
    <w:bookmarkEnd w:id="19"/>
    <w:bookmarkEnd w:id="20"/>
    <w:bookmarkEnd w:id="21"/>
    <w:p w14:paraId="0180D5F2">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22" w:name="_Toc78802403"/>
      <w:r>
        <w:rPr>
          <w:rFonts w:hint="eastAsia" w:ascii="Times New Roman" w:hAnsi="Times New Roman"/>
          <w:color w:val="000000" w:themeColor="text1"/>
          <w14:textFill>
            <w14:solidFill>
              <w14:schemeClr w14:val="tx1"/>
            </w14:solidFill>
          </w14:textFill>
        </w:rPr>
        <w:t>范围</w:t>
      </w:r>
      <w:bookmarkEnd w:id="22"/>
    </w:p>
    <w:p w14:paraId="469C5132">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本标准规定了水载型防腐剂及阻燃剂</w:t>
      </w:r>
      <w:r>
        <w:rPr>
          <w:rFonts w:hint="eastAsia" w:ascii="Times New Roman" w:hAnsi="Times New Roman"/>
          <w:color w:val="000000" w:themeColor="text1"/>
          <w:lang w:val="en-US" w:eastAsia="zh-CN"/>
          <w14:textFill>
            <w14:solidFill>
              <w14:schemeClr w14:val="tx1"/>
            </w14:solidFill>
          </w14:textFill>
        </w:rPr>
        <w:t>中</w:t>
      </w:r>
      <w:r>
        <w:rPr>
          <w:rFonts w:hint="eastAsia" w:ascii="Times New Roman" w:hAnsi="Times New Roman"/>
          <w:color w:val="000000" w:themeColor="text1"/>
          <w14:textFill>
            <w14:solidFill>
              <w14:schemeClr w14:val="tx1"/>
            </w14:solidFill>
          </w14:textFill>
        </w:rPr>
        <w:t>pH值、氨、砷、铬、铜、磷酸盐、硼、柠檬酸、二癸基二甲基氯化铵（DDAC）或十二烷基苄基二甲基氯化铵(BAC)、戊唑醇、丙环唑、环丙唑醇、己唑醇、三唑醇、丙硫菌唑、苯醚甲环唑、四氟咪唑、H</w:t>
      </w:r>
      <w:r>
        <w:rPr>
          <w:rFonts w:ascii="Times New Roman" w:hAnsi="Times New Roman"/>
          <w:color w:val="000000" w:themeColor="text1"/>
          <w14:textFill>
            <w14:solidFill>
              <w14:schemeClr w14:val="tx1"/>
            </w14:solidFill>
          </w14:textFill>
        </w:rPr>
        <w:t>DO</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DCOI</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OIT</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CMIT</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MIT</w:t>
      </w:r>
      <w:r>
        <w:rPr>
          <w:rFonts w:hint="eastAsia" w:ascii="Times New Roman" w:hAnsi="Times New Roman"/>
          <w:color w:val="000000" w:themeColor="text1"/>
          <w14:textFill>
            <w14:solidFill>
              <w14:schemeClr w14:val="tx1"/>
            </w14:solidFill>
          </w14:textFill>
        </w:rPr>
        <w:t>、I</w:t>
      </w:r>
      <w:r>
        <w:rPr>
          <w:rFonts w:ascii="Times New Roman" w:hAnsi="Times New Roman"/>
          <w:color w:val="000000" w:themeColor="text1"/>
          <w14:textFill>
            <w14:solidFill>
              <w14:schemeClr w14:val="tx1"/>
            </w14:solidFill>
          </w14:textFill>
        </w:rPr>
        <w:t>PBC</w:t>
      </w:r>
      <w:r>
        <w:rPr>
          <w:rFonts w:hint="eastAsia" w:ascii="Times New Roman" w:hAnsi="Times New Roman"/>
          <w:color w:val="000000" w:themeColor="text1"/>
          <w14:textFill>
            <w14:solidFill>
              <w14:schemeClr w14:val="tx1"/>
            </w14:solidFill>
          </w14:textFill>
        </w:rPr>
        <w:t>等成分的分析方法。</w:t>
      </w:r>
    </w:p>
    <w:p w14:paraId="75E3D26A">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本标准适用于</w:t>
      </w:r>
      <w:r>
        <w:rPr>
          <w:rFonts w:hint="eastAsia" w:ascii="Times New Roman" w:hAnsi="Times New Roman"/>
          <w:color w:val="000000" w:themeColor="text1"/>
          <w14:textFill>
            <w14:solidFill>
              <w14:schemeClr w14:val="tx1"/>
            </w14:solidFill>
          </w14:textFill>
        </w:rPr>
        <w:t>水载型防腐剂、阻燃剂及防腐木材、阻燃木材中有效成分的</w:t>
      </w:r>
      <w:r>
        <w:rPr>
          <w:rFonts w:ascii="Times New Roman" w:hAnsi="Times New Roman"/>
          <w:color w:val="000000" w:themeColor="text1"/>
          <w14:textFill>
            <w14:solidFill>
              <w14:schemeClr w14:val="tx1"/>
            </w14:solidFill>
          </w14:textFill>
        </w:rPr>
        <w:t>测定。</w:t>
      </w:r>
    </w:p>
    <w:p w14:paraId="400C1D5A">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23" w:name="_Toc103159536"/>
      <w:bookmarkStart w:id="24" w:name="_Toc78802404"/>
      <w:r>
        <w:rPr>
          <w:rFonts w:hint="eastAsia" w:ascii="Times New Roman" w:hAnsi="Times New Roman"/>
          <w:color w:val="000000" w:themeColor="text1"/>
          <w14:textFill>
            <w14:solidFill>
              <w14:schemeClr w14:val="tx1"/>
            </w14:solidFill>
          </w14:textFill>
        </w:rPr>
        <w:t>规范性引用文件</w:t>
      </w:r>
      <w:bookmarkEnd w:id="23"/>
      <w:bookmarkEnd w:id="24"/>
    </w:p>
    <w:p w14:paraId="2BCECE7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7D2F9E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GB/T 601 化学试剂   标准滴定溶液的制备</w:t>
      </w:r>
    </w:p>
    <w:p w14:paraId="33CAE55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GB/T 14019—1992 木材防腐术语</w:t>
      </w:r>
    </w:p>
    <w:p w14:paraId="09CE330C">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25" w:name="_Toc78802405"/>
      <w:bookmarkStart w:id="26" w:name="_Toc103159537"/>
      <w:r>
        <w:rPr>
          <w:rFonts w:hint="eastAsia" w:ascii="Times New Roman" w:hAnsi="Times New Roman"/>
          <w:color w:val="000000" w:themeColor="text1"/>
          <w14:textFill>
            <w14:solidFill>
              <w14:schemeClr w14:val="tx1"/>
            </w14:solidFill>
          </w14:textFill>
        </w:rPr>
        <w:t>术语和定义</w:t>
      </w:r>
      <w:bookmarkEnd w:id="25"/>
      <w:bookmarkEnd w:id="26"/>
    </w:p>
    <w:p w14:paraId="46891C6A">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GB/T 14019 确定的术语和定义适用于本标准。</w:t>
      </w:r>
      <w:r>
        <w:rPr>
          <w:rFonts w:ascii="Times New Roman" w:hAnsi="Times New Roman"/>
          <w:color w:val="000000" w:themeColor="text1"/>
          <w14:textFill>
            <w14:solidFill>
              <w14:schemeClr w14:val="tx1"/>
            </w14:solidFill>
          </w14:textFill>
        </w:rPr>
        <w:t xml:space="preserve"> </w:t>
      </w:r>
    </w:p>
    <w:p w14:paraId="1513EC2C">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27" w:name="_Toc103159538"/>
      <w:bookmarkStart w:id="28" w:name="_Toc94726010"/>
      <w:bookmarkStart w:id="29" w:name="_Toc25392"/>
      <w:r>
        <w:rPr>
          <w:rFonts w:hint="eastAsia" w:ascii="Times New Roman" w:hAnsi="Times New Roman"/>
          <w:color w:val="000000" w:themeColor="text1"/>
          <w14:textFill>
            <w14:solidFill>
              <w14:schemeClr w14:val="tx1"/>
            </w14:solidFill>
          </w14:textFill>
        </w:rPr>
        <w:t>试剂</w:t>
      </w:r>
      <w:r>
        <w:rPr>
          <w:rFonts w:ascii="Times New Roman" w:hAnsi="Times New Roman"/>
          <w:color w:val="000000" w:themeColor="text1"/>
          <w14:textFill>
            <w14:solidFill>
              <w14:schemeClr w14:val="tx1"/>
            </w14:solidFill>
          </w14:textFill>
        </w:rPr>
        <w:t>要求</w:t>
      </w:r>
      <w:bookmarkEnd w:id="27"/>
      <w:bookmarkEnd w:id="28"/>
      <w:r>
        <w:rPr>
          <w:rFonts w:ascii="Times New Roman" w:hAnsi="Times New Roman"/>
          <w:color w:val="000000" w:themeColor="text1"/>
          <w14:textFill>
            <w14:solidFill>
              <w14:schemeClr w14:val="tx1"/>
            </w14:solidFill>
          </w14:textFill>
        </w:rPr>
        <w:t xml:space="preserve"> </w:t>
      </w:r>
      <w:bookmarkEnd w:id="29"/>
    </w:p>
    <w:p w14:paraId="3858096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除特殊说明外，本标准中所使用的水均为蒸馏水或去离子水。所用的化学试剂除特别注明外，均为分析纯级的化学试剂。</w:t>
      </w:r>
    </w:p>
    <w:p w14:paraId="246DC82E">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30" w:name="_Toc114278682"/>
      <w:bookmarkStart w:id="31" w:name="_Toc125444390"/>
      <w:bookmarkStart w:id="32" w:name="_Toc114472335"/>
      <w:bookmarkStart w:id="33" w:name="_Toc125520529"/>
      <w:bookmarkStart w:id="34" w:name="_Toc114988879"/>
      <w:bookmarkStart w:id="35" w:name="_Toc114890300"/>
      <w:bookmarkStart w:id="36" w:name="_Toc125444222"/>
      <w:bookmarkStart w:id="37" w:name="_Toc125444450"/>
      <w:bookmarkStart w:id="38" w:name="_Toc114890144"/>
      <w:bookmarkStart w:id="39" w:name="_Toc125520620"/>
      <w:bookmarkStart w:id="40" w:name="_Toc114988794"/>
      <w:bookmarkStart w:id="41" w:name="_Toc125448481"/>
      <w:bookmarkStart w:id="42" w:name="_Toc114902055"/>
      <w:bookmarkStart w:id="43" w:name="_Toc113871024"/>
      <w:bookmarkStart w:id="44" w:name="_Toc113932437"/>
      <w:bookmarkStart w:id="45" w:name="_Toc114976778"/>
      <w:bookmarkStart w:id="46" w:name="_Toc114976846"/>
      <w:bookmarkStart w:id="47" w:name="_Toc167096314"/>
      <w:bookmarkStart w:id="48" w:name="_Toc125598194"/>
      <w:r>
        <w:rPr>
          <w:rFonts w:hint="eastAsia" w:ascii="Times New Roman" w:hAnsi="Times New Roman"/>
          <w:color w:val="000000" w:themeColor="text1"/>
          <w14:textFill>
            <w14:solidFill>
              <w14:schemeClr w14:val="tx1"/>
            </w14:solidFill>
          </w14:textFill>
        </w:rPr>
        <w:t>取样及试样制备</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2A547AE">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5.1取样</w:t>
      </w:r>
    </w:p>
    <w:p w14:paraId="39BBB62D">
      <w:pPr>
        <w:pStyle w:val="44"/>
        <w:numPr>
          <w:ilvl w:val="0"/>
          <w:numId w:val="0"/>
        </w:numPr>
        <w:autoSpaceDE/>
        <w:autoSpaceDN/>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5.1.1当被测的物品是液体时，应充分混和以保证均匀。试样至少有500mL，最好是1000 mL。可以随机取样，或用其它方式取到有代表性的试样。当被测物品是水溶液时，应使用玻璃或其它适宜的材料制成的密闭容器。</w:t>
      </w:r>
    </w:p>
    <w:p w14:paraId="7148BFA0">
      <w:pPr>
        <w:pStyle w:val="44"/>
        <w:numPr>
          <w:ilvl w:val="0"/>
          <w:numId w:val="0"/>
        </w:numPr>
        <w:autoSpaceDE/>
        <w:autoSpaceDN/>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5.1.2当被测的物品是固体混合物时，试样至少为300g。试样应取自容器内的不同部位以得到有代表性的试样。试样应放在密闭的容器内，以避免因含水率变化或与空气发生化学反应而使样品的成分改变。</w:t>
      </w:r>
    </w:p>
    <w:p w14:paraId="0EEC50D1">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5.2试样的制备</w:t>
      </w:r>
    </w:p>
    <w:p w14:paraId="1AE526C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eastAsia="zh-CN"/>
          <w14:textFill>
            <w14:solidFill>
              <w14:schemeClr w14:val="tx1"/>
            </w14:solidFill>
          </w14:textFill>
        </w:rPr>
        <w:t>准去称取一定量的固体或液体样品于</w:t>
      </w:r>
      <w:r>
        <w:rPr>
          <w:rFonts w:hint="eastAsia" w:ascii="Times New Roman" w:hAnsi="Times New Roman" w:eastAsiaTheme="minorEastAsia"/>
          <w:color w:val="000000" w:themeColor="text1"/>
          <w:lang w:val="en-US" w:eastAsia="zh-CN"/>
          <w14:textFill>
            <w14:solidFill>
              <w14:schemeClr w14:val="tx1"/>
            </w14:solidFill>
          </w14:textFill>
        </w:rPr>
        <w:t>100mL容量瓶中</w:t>
      </w:r>
      <w:r>
        <w:rPr>
          <w:rFonts w:hint="eastAsia" w:ascii="Times New Roman" w:hAnsi="Times New Roman" w:eastAsiaTheme="minorEastAsia"/>
          <w:color w:val="000000" w:themeColor="text1"/>
          <w:lang w:eastAsia="zh-CN"/>
          <w14:textFill>
            <w14:solidFill>
              <w14:schemeClr w14:val="tx1"/>
            </w14:solidFill>
          </w14:textFill>
        </w:rPr>
        <w:t>，使得容量中样品</w:t>
      </w:r>
      <w:r>
        <w:rPr>
          <w:rFonts w:hint="eastAsia" w:ascii="Times New Roman" w:hAnsi="Times New Roman" w:eastAsiaTheme="minorEastAsia"/>
          <w:color w:val="000000" w:themeColor="text1"/>
          <w14:textFill>
            <w14:solidFill>
              <w14:schemeClr w14:val="tx1"/>
            </w14:solidFill>
          </w14:textFill>
        </w:rPr>
        <w:t>含有</w:t>
      </w:r>
      <w:r>
        <w:rPr>
          <w:rFonts w:hint="eastAsia" w:ascii="Times New Roman" w:hAnsi="Times New Roman" w:eastAsiaTheme="minorEastAsia"/>
          <w:color w:val="000000" w:themeColor="text1"/>
          <w:lang w:eastAsia="zh-CN"/>
          <w14:textFill>
            <w14:solidFill>
              <w14:schemeClr w14:val="tx1"/>
            </w14:solidFill>
          </w14:textFill>
        </w:rPr>
        <w:t>约</w:t>
      </w:r>
      <w:r>
        <w:rPr>
          <w:rFonts w:hint="eastAsia" w:ascii="Times New Roman" w:hAnsi="Times New Roman" w:eastAsiaTheme="minorEastAsia"/>
          <w:color w:val="000000" w:themeColor="text1"/>
          <w:lang w:val="en-US" w:eastAsia="zh-CN"/>
          <w14:textFill>
            <w14:solidFill>
              <w14:schemeClr w14:val="tx1"/>
            </w14:solidFill>
          </w14:textFill>
        </w:rPr>
        <w:t>1g</w:t>
      </w:r>
      <w:r>
        <w:rPr>
          <w:rFonts w:hint="eastAsia" w:ascii="Times New Roman" w:hAnsi="Times New Roman" w:eastAsiaTheme="minorEastAsia"/>
          <w:color w:val="000000" w:themeColor="text1"/>
          <w14:textFill>
            <w14:solidFill>
              <w14:schemeClr w14:val="tx1"/>
            </w14:solidFill>
          </w14:textFill>
        </w:rPr>
        <w:t>被测的成分，</w:t>
      </w:r>
      <w:r>
        <w:rPr>
          <w:rFonts w:hint="eastAsia" w:ascii="Times New Roman" w:hAnsi="Times New Roman" w:eastAsiaTheme="minorEastAsia"/>
          <w:color w:val="000000" w:themeColor="text1"/>
          <w:lang w:eastAsia="zh-CN"/>
          <w14:textFill>
            <w14:solidFill>
              <w14:schemeClr w14:val="tx1"/>
            </w14:solidFill>
          </w14:textFill>
        </w:rPr>
        <w:t>然后稀释、定容、摇匀</w:t>
      </w:r>
      <w:r>
        <w:rPr>
          <w:rFonts w:hint="eastAsia" w:ascii="Times New Roman" w:hAnsi="Times New Roman" w:eastAsiaTheme="minorEastAsia"/>
          <w:color w:val="000000" w:themeColor="text1"/>
          <w14:textFill>
            <w14:solidFill>
              <w14:schemeClr w14:val="tx1"/>
            </w14:solidFill>
          </w14:textFill>
        </w:rPr>
        <w:t>，</w:t>
      </w:r>
      <w:r>
        <w:rPr>
          <w:rFonts w:hint="eastAsia" w:ascii="Times New Roman" w:hAnsi="Times New Roman" w:eastAsiaTheme="minorEastAsia"/>
          <w:color w:val="000000" w:themeColor="text1"/>
          <w:lang w:eastAsia="zh-CN"/>
          <w14:textFill>
            <w14:solidFill>
              <w14:schemeClr w14:val="tx1"/>
            </w14:solidFill>
          </w14:textFill>
        </w:rPr>
        <w:t>作为储备液，以备检测取用</w:t>
      </w:r>
      <w:r>
        <w:rPr>
          <w:rFonts w:hint="eastAsia" w:ascii="Times New Roman" w:hAnsi="Times New Roman" w:eastAsiaTheme="minorEastAsia"/>
          <w:color w:val="000000" w:themeColor="text1"/>
          <w14:textFill>
            <w14:solidFill>
              <w14:schemeClr w14:val="tx1"/>
            </w14:solidFill>
          </w14:textFill>
        </w:rPr>
        <w:t>。对于取自工作溶液贮槽或其它设备中的</w:t>
      </w:r>
      <w:r>
        <w:rPr>
          <w:rFonts w:hint="eastAsia" w:ascii="Times New Roman" w:hAnsi="Times New Roman" w:eastAsiaTheme="minorEastAsia"/>
          <w:color w:val="000000" w:themeColor="text1"/>
          <w:lang w:eastAsia="zh-CN"/>
          <w14:textFill>
            <w14:solidFill>
              <w14:schemeClr w14:val="tx1"/>
            </w14:solidFill>
          </w14:textFill>
        </w:rPr>
        <w:t>工作</w:t>
      </w:r>
      <w:r>
        <w:rPr>
          <w:rFonts w:hint="eastAsia" w:ascii="Times New Roman" w:hAnsi="Times New Roman" w:eastAsiaTheme="minorEastAsia"/>
          <w:color w:val="000000" w:themeColor="text1"/>
          <w14:textFill>
            <w14:solidFill>
              <w14:schemeClr w14:val="tx1"/>
            </w14:solidFill>
          </w14:textFill>
        </w:rPr>
        <w:t>液试样，应立即在室温下过滤，</w:t>
      </w:r>
      <w:r>
        <w:rPr>
          <w:rFonts w:hint="eastAsia" w:ascii="Times New Roman" w:hAnsi="Times New Roman" w:eastAsiaTheme="minorEastAsia"/>
          <w:color w:val="000000" w:themeColor="text1"/>
          <w:lang w:eastAsia="zh-CN"/>
          <w14:textFill>
            <w14:solidFill>
              <w14:schemeClr w14:val="tx1"/>
            </w14:solidFill>
          </w14:textFill>
        </w:rPr>
        <w:t>过滤后用上述相同的方法进行稀释</w:t>
      </w:r>
      <w:r>
        <w:rPr>
          <w:rFonts w:hint="eastAsia" w:ascii="Times New Roman" w:hAnsi="Times New Roman" w:eastAsiaTheme="minorEastAsia"/>
          <w:color w:val="000000" w:themeColor="text1"/>
          <w14:textFill>
            <w14:solidFill>
              <w14:schemeClr w14:val="tx1"/>
            </w14:solidFill>
          </w14:textFill>
        </w:rPr>
        <w:t>。</w:t>
      </w:r>
      <w:r>
        <w:rPr>
          <w:rFonts w:hint="eastAsia" w:ascii="Times New Roman" w:hAnsi="Times New Roman" w:eastAsiaTheme="minorEastAsia"/>
          <w:color w:val="000000" w:themeColor="text1"/>
          <w:lang w:eastAsia="zh-CN"/>
          <w14:textFill>
            <w14:solidFill>
              <w14:schemeClr w14:val="tx1"/>
            </w14:solidFill>
          </w14:textFill>
        </w:rPr>
        <w:t>如试样分析过程中</w:t>
      </w:r>
      <w:r>
        <w:rPr>
          <w:rFonts w:hint="eastAsia" w:ascii="Times New Roman" w:hAnsi="Times New Roman" w:eastAsiaTheme="minorEastAsia"/>
          <w:color w:val="000000" w:themeColor="text1"/>
          <w14:textFill>
            <w14:solidFill>
              <w14:schemeClr w14:val="tx1"/>
            </w14:solidFill>
          </w14:textFill>
        </w:rPr>
        <w:t>，发现有沉淀或有固体物质粘附在容器上时，须</w:t>
      </w:r>
      <w:r>
        <w:rPr>
          <w:rFonts w:hint="eastAsia" w:ascii="Times New Roman" w:hAnsi="Times New Roman" w:eastAsiaTheme="minorEastAsia"/>
          <w:color w:val="000000" w:themeColor="text1"/>
          <w:lang w:eastAsia="zh-CN"/>
          <w14:textFill>
            <w14:solidFill>
              <w14:schemeClr w14:val="tx1"/>
            </w14:solidFill>
          </w14:textFill>
        </w:rPr>
        <w:t>将储备液摇匀重新取有代表性的试样。</w:t>
      </w:r>
    </w:p>
    <w:p w14:paraId="640DC416">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当试样是由木粉经湿灰化处理而制得的溶液，</w:t>
      </w:r>
      <w:r>
        <w:rPr>
          <w:rFonts w:hint="eastAsia" w:ascii="Times New Roman" w:hAnsi="Times New Roman" w:eastAsiaTheme="minorEastAsia"/>
          <w:color w:val="000000" w:themeColor="text1"/>
          <w:lang w:eastAsia="zh-CN"/>
          <w14:textFill>
            <w14:solidFill>
              <w14:schemeClr w14:val="tx1"/>
            </w14:solidFill>
          </w14:textFill>
        </w:rPr>
        <w:t>该溶液即为储备液，以备检测取用</w:t>
      </w:r>
      <w:r>
        <w:rPr>
          <w:rFonts w:hint="eastAsia" w:ascii="Times New Roman" w:hAnsi="Times New Roman" w:eastAsiaTheme="minorEastAsia"/>
          <w:color w:val="000000" w:themeColor="text1"/>
          <w14:textFill>
            <w14:solidFill>
              <w14:schemeClr w14:val="tx1"/>
            </w14:solidFill>
          </w14:textFill>
        </w:rPr>
        <w:t>。</w:t>
      </w:r>
    </w:p>
    <w:p w14:paraId="78ECF42C">
      <w:pPr>
        <w:pStyle w:val="44"/>
        <w:numPr>
          <w:ilvl w:val="0"/>
          <w:numId w:val="0"/>
        </w:numPr>
        <w:autoSpaceDE/>
        <w:autoSpaceDN/>
        <w:ind w:firstLine="420" w:firstLineChars="200"/>
        <w:rPr>
          <w:rFonts w:hint="eastAsia" w:ascii="Times New Roman" w:hAnsi="Times New Roman" w:eastAsia="黑体"/>
          <w:color w:val="000000" w:themeColor="text1"/>
          <w:lang w:eastAsia="zh-CN"/>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以下分析方法中，如有其他样品制备方法，须单独在相应方法中列出。</w:t>
      </w:r>
    </w:p>
    <w:p w14:paraId="7F285C60">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49" w:name="_Toc125520621"/>
      <w:bookmarkStart w:id="50" w:name="_Toc125444451"/>
      <w:bookmarkStart w:id="51" w:name="_Toc125444223"/>
      <w:bookmarkStart w:id="52" w:name="_Toc167096315"/>
      <w:bookmarkStart w:id="53" w:name="_Toc125444391"/>
      <w:bookmarkStart w:id="54" w:name="_Toc125520530"/>
      <w:bookmarkStart w:id="55" w:name="_Toc125448482"/>
      <w:bookmarkStart w:id="56" w:name="_Toc125598195"/>
      <w:bookmarkStart w:id="57" w:name="_Toc114890301"/>
      <w:bookmarkStart w:id="58" w:name="_Toc114472336"/>
      <w:bookmarkStart w:id="59" w:name="_Toc101928919"/>
      <w:bookmarkStart w:id="60" w:name="_Toc113868715"/>
      <w:bookmarkStart w:id="61" w:name="_Toc114890145"/>
      <w:bookmarkStart w:id="62" w:name="_Toc113433764"/>
      <w:bookmarkStart w:id="63" w:name="_Toc114976779"/>
      <w:bookmarkStart w:id="64" w:name="_Toc114278683"/>
      <w:bookmarkStart w:id="65" w:name="_Toc113418206"/>
      <w:bookmarkStart w:id="66" w:name="_Toc101925999"/>
      <w:bookmarkStart w:id="67" w:name="_Toc113868789"/>
      <w:bookmarkStart w:id="68" w:name="_Toc101928721"/>
      <w:bookmarkStart w:id="69" w:name="_Toc113871025"/>
      <w:bookmarkStart w:id="70" w:name="_Toc114976847"/>
      <w:bookmarkStart w:id="71" w:name="_Toc114988880"/>
      <w:bookmarkStart w:id="72" w:name="_Toc114902056"/>
      <w:bookmarkStart w:id="73" w:name="_Toc113333919"/>
      <w:bookmarkStart w:id="74" w:name="_Toc114988795"/>
      <w:bookmarkStart w:id="75" w:name="_Toc113932438"/>
      <w:r>
        <w:rPr>
          <w:rFonts w:hint="eastAsia" w:ascii="Times New Roman" w:hAnsi="Times New Roman"/>
          <w:color w:val="000000" w:themeColor="text1"/>
          <w14:textFill>
            <w14:solidFill>
              <w14:schemeClr w14:val="tx1"/>
            </w14:solidFill>
          </w14:textFill>
        </w:rPr>
        <w:t>处理溶液pH值的测定</w:t>
      </w:r>
      <w:bookmarkEnd w:id="49"/>
      <w:bookmarkEnd w:id="50"/>
      <w:bookmarkEnd w:id="51"/>
      <w:bookmarkEnd w:id="52"/>
      <w:bookmarkEnd w:id="53"/>
      <w:bookmarkEnd w:id="54"/>
      <w:bookmarkEnd w:id="55"/>
      <w:bookmarkEnd w:id="56"/>
    </w:p>
    <w:p w14:paraId="4A6CCDA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pH值应该用玻璃电极或其它任何常用的方法测定，但所测得的结果应位于用玻璃电极测得的pH值相差0.1的范围之内。</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B1A6665">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76" w:name="_Toc167096316"/>
      <w:bookmarkStart w:id="77" w:name="_Toc125448483"/>
      <w:bookmarkStart w:id="78" w:name="_Toc125598196"/>
      <w:bookmarkStart w:id="79" w:name="_Toc125520622"/>
      <w:bookmarkStart w:id="80" w:name="_Toc125520531"/>
      <w:r>
        <w:rPr>
          <w:rFonts w:hint="eastAsia" w:ascii="Times New Roman" w:hAnsi="Times New Roman"/>
          <w:color w:val="000000" w:themeColor="text1"/>
          <w14:textFill>
            <w14:solidFill>
              <w14:schemeClr w14:val="tx1"/>
            </w14:solidFill>
          </w14:textFill>
        </w:rPr>
        <w:t>氨溶防腐剂及阻燃剂配方中氨的测定</w:t>
      </w:r>
      <w:bookmarkEnd w:id="76"/>
      <w:bookmarkEnd w:id="77"/>
      <w:bookmarkEnd w:id="78"/>
      <w:bookmarkEnd w:id="79"/>
      <w:bookmarkEnd w:id="80"/>
    </w:p>
    <w:p w14:paraId="4ED70BA7">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7.1 试剂</w:t>
      </w:r>
    </w:p>
    <w:p w14:paraId="2AE6F32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（1）0.1%溴甲酚绿指示剂溶液；</w:t>
      </w:r>
    </w:p>
    <w:p w14:paraId="790A6E0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（2）氧化镁粉末；</w:t>
      </w:r>
    </w:p>
    <w:p w14:paraId="202B634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（3）邻苯二甲酸氢钾，优级纯；</w:t>
      </w:r>
    </w:p>
    <w:p w14:paraId="3B8D3E5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（4）4%硼酸溶液；</w:t>
      </w:r>
    </w:p>
    <w:p w14:paraId="349D606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（5）1.0%酚酞指示剂溶液；</w:t>
      </w:r>
    </w:p>
    <w:p w14:paraId="14873BB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（6）硫酸溶液：c(1/2H2SO4)=0.2mol/L；</w:t>
      </w:r>
    </w:p>
    <w:p w14:paraId="230B749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（7）氢氧化钠溶液：0.2mol/L。</w:t>
      </w:r>
    </w:p>
    <w:p w14:paraId="0985724C">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7.2 仪器设备</w:t>
      </w:r>
    </w:p>
    <w:p w14:paraId="5F7E771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用橡皮塞将雾滴分离器和500mL凯氏烧瓶连接起来的装置。</w:t>
      </w:r>
    </w:p>
    <w:p w14:paraId="11ACABDE">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7.3 分析步骤</w:t>
      </w:r>
    </w:p>
    <w:p w14:paraId="284A21B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按要求安装好蒸馏装置，但不要与500mL凯氏烧瓶连接起来。将约75mL的硼酸溶液放入作为受器的500mL锥形瓶中，加4～5滴溴甲酚绿指示剂，调节锥形瓶的位置，使冷凝管的管尖正好浸没在硼酸溶液中；</w:t>
      </w:r>
    </w:p>
    <w:p w14:paraId="3EFB461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用分析天平称取试样（精确至0.0001g，相当于0.15g NH3或NH4+），放入凯氏烧瓶，用蒸馏水稀释至200mL，加入几粒玻璃珠以防溶液暴沸，再加入5.0g氧化镁，立即通过雾滴分离器上的橡皮塞将凯氏烧瓶连接至装置的其余部分；</w:t>
      </w:r>
    </w:p>
    <w:p w14:paraId="48BBA79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确定所有的连接处都很紧密，且冷凝器的管尖正好低于硼酸溶液的液面后，用文火加热装有内容物的凯氏烧瓶。在整个蒸馏过程中注意调节锥形瓶的高度，使冷凝管的管尖始终低于但又接近锥形瓶中的硼酸溶液液面；</w:t>
      </w:r>
    </w:p>
    <w:p w14:paraId="6218DBD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蒸馏完成后，降低受器的位置，移去热源，用蒸馏水洗涤冷凝管和管尖，并将洗涤水收集在受器中；</w:t>
      </w:r>
    </w:p>
    <w:p w14:paraId="6EB5AED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用硫酸标准溶液滴定形成的硼酸铵溶液。</w:t>
      </w:r>
    </w:p>
    <w:p w14:paraId="4B01B770">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7.4 计算</w:t>
      </w:r>
    </w:p>
    <w:p w14:paraId="1BE7203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试样中氨</w:t>
      </w:r>
      <w:r>
        <w:rPr>
          <w:rFonts w:hint="eastAsia" w:ascii="Times New Roman" w:hAnsi="Times New Roman" w:eastAsiaTheme="minorEastAsia"/>
          <w:color w:val="000000" w:themeColor="text1"/>
          <w:lang w:eastAsia="zh-CN"/>
          <w14:textFill>
            <w14:solidFill>
              <w14:schemeClr w14:val="tx1"/>
            </w14:solidFill>
          </w14:textFill>
        </w:rPr>
        <w:t>有效</w:t>
      </w:r>
      <w:r>
        <w:rPr>
          <w:rFonts w:hint="eastAsia" w:ascii="Times New Roman" w:hAnsi="Times New Roman" w:eastAsiaTheme="minorEastAsia"/>
          <w:color w:val="000000" w:themeColor="text1"/>
          <w14:textFill>
            <w14:solidFill>
              <w14:schemeClr w14:val="tx1"/>
            </w14:solidFill>
          </w14:textFill>
        </w:rPr>
        <w:t>成分的含量ω，以NH3或NH4+计，数值以%表示，按式（1）计算：</w:t>
      </w:r>
    </w:p>
    <w:p w14:paraId="0CCC1110">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W=V×c×f ×100/M    ………………………………………（1）</w:t>
      </w:r>
    </w:p>
    <w:p w14:paraId="0BB74AF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11C28E8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V——硫酸标准溶液的消耗量，单位为毫升（mL）；</w:t>
      </w:r>
    </w:p>
    <w:p w14:paraId="6FE3043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c——硫酸标准溶液的摩尔浓度，单位为摩尔每升(mol/L)；</w:t>
      </w:r>
    </w:p>
    <w:p w14:paraId="7324D79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f——</w:t>
      </w:r>
      <w:r>
        <w:rPr>
          <w:rFonts w:hint="eastAsia" w:ascii="Times New Roman" w:hAnsi="Times New Roman" w:eastAsiaTheme="minorEastAsia"/>
          <w:color w:val="000000" w:themeColor="text1"/>
          <w:lang w:eastAsia="zh-CN"/>
          <w14:textFill>
            <w14:solidFill>
              <w14:schemeClr w14:val="tx1"/>
            </w14:solidFill>
          </w14:textFill>
        </w:rPr>
        <w:t>有效</w:t>
      </w:r>
      <w:r>
        <w:rPr>
          <w:rFonts w:hint="eastAsia" w:ascii="Times New Roman" w:hAnsi="Times New Roman" w:eastAsiaTheme="minorEastAsia"/>
          <w:color w:val="000000" w:themeColor="text1"/>
          <w14:textFill>
            <w14:solidFill>
              <w14:schemeClr w14:val="tx1"/>
            </w14:solidFill>
          </w14:textFill>
        </w:rPr>
        <w:t>成分系数；</w:t>
      </w:r>
    </w:p>
    <w:p w14:paraId="6770A02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M——试样的质量，单位为克（g）。</w:t>
      </w:r>
    </w:p>
    <w:p w14:paraId="66BC538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eastAsia="zh-CN"/>
          <w14:textFill>
            <w14:solidFill>
              <w14:schemeClr w14:val="tx1"/>
            </w14:solidFill>
          </w14:textFill>
        </w:rPr>
        <w:t>有效</w:t>
      </w:r>
      <w:r>
        <w:rPr>
          <w:rFonts w:hint="eastAsia" w:ascii="Times New Roman" w:hAnsi="Times New Roman" w:eastAsiaTheme="minorEastAsia"/>
          <w:color w:val="000000" w:themeColor="text1"/>
          <w14:textFill>
            <w14:solidFill>
              <w14:schemeClr w14:val="tx1"/>
            </w14:solidFill>
          </w14:textFill>
        </w:rPr>
        <w:t>成分                       系数</w:t>
      </w:r>
    </w:p>
    <w:p w14:paraId="61DD42B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NH3                            1.703</w:t>
      </w:r>
    </w:p>
    <w:p w14:paraId="0054B30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NH4+                           1.804</w:t>
      </w:r>
    </w:p>
    <w:p w14:paraId="4C640F5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bookmarkStart w:id="81" w:name="_Toc114890146"/>
      <w:bookmarkStart w:id="82" w:name="_Toc113433765"/>
      <w:bookmarkStart w:id="83" w:name="_Toc114988796"/>
      <w:bookmarkStart w:id="84" w:name="_Toc113868716"/>
      <w:bookmarkStart w:id="85" w:name="_Toc101926000"/>
      <w:bookmarkStart w:id="86" w:name="_Toc113868790"/>
      <w:bookmarkStart w:id="87" w:name="_Toc113333920"/>
      <w:bookmarkStart w:id="88" w:name="_Toc101928722"/>
      <w:bookmarkStart w:id="89" w:name="_Toc113932439"/>
      <w:bookmarkStart w:id="90" w:name="_Toc113418207"/>
      <w:bookmarkStart w:id="91" w:name="_Toc114278684"/>
      <w:bookmarkStart w:id="92" w:name="_Toc125444452"/>
      <w:bookmarkStart w:id="93" w:name="_Toc125444392"/>
      <w:bookmarkStart w:id="94" w:name="_Toc114976848"/>
      <w:bookmarkStart w:id="95" w:name="_Toc114988881"/>
      <w:bookmarkStart w:id="96" w:name="_Toc101928920"/>
      <w:bookmarkStart w:id="97" w:name="_Toc125444224"/>
      <w:bookmarkStart w:id="98" w:name="_Toc114890302"/>
      <w:bookmarkStart w:id="99" w:name="_Toc114902057"/>
      <w:bookmarkStart w:id="100" w:name="_Toc114472337"/>
      <w:bookmarkStart w:id="101" w:name="_Toc113871026"/>
      <w:bookmarkStart w:id="102" w:name="_Toc114976780"/>
      <w:r>
        <w:rPr>
          <w:rFonts w:hint="eastAsia" w:ascii="Times New Roman" w:hAnsi="Times New Roman" w:eastAsiaTheme="minorEastAsia"/>
          <w:color w:val="000000" w:themeColor="text1"/>
          <w14:textFill>
            <w14:solidFill>
              <w14:schemeClr w14:val="tx1"/>
            </w14:solidFill>
          </w14:textFill>
        </w:rPr>
        <w:t>取两次平行测定的算术平均值为测定结果，两次平行测定结果之差不大于0.2%。</w:t>
      </w:r>
    </w:p>
    <w:p w14:paraId="35AE7978">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103" w:name="_Toc167096317"/>
      <w:bookmarkStart w:id="104" w:name="_Toc125598197"/>
      <w:bookmarkStart w:id="105" w:name="_Toc125520532"/>
      <w:bookmarkStart w:id="106" w:name="_Toc125520623"/>
      <w:bookmarkStart w:id="107" w:name="_Toc125448484"/>
      <w:r>
        <w:rPr>
          <w:rFonts w:hint="eastAsia" w:ascii="Times New Roman" w:hAnsi="Times New Roman"/>
          <w:color w:val="000000" w:themeColor="text1"/>
          <w14:textFill>
            <w14:solidFill>
              <w14:schemeClr w14:val="tx1"/>
            </w14:solidFill>
          </w14:textFill>
        </w:rPr>
        <w:t>含砷防腐剂中砷的测定</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176BD2D">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8.1 试剂</w:t>
      </w:r>
    </w:p>
    <w:p w14:paraId="43440CE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（1）浓盐酸（36%）；</w:t>
      </w:r>
    </w:p>
    <w:p w14:paraId="24AF3A6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（2）次磷酸（50%；</w:t>
      </w:r>
    </w:p>
    <w:p w14:paraId="715F7F5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（3）浓硫酸（98%）；</w:t>
      </w:r>
    </w:p>
    <w:p w14:paraId="77A5203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（4）溴酸钾溶液：c(1/6 KBrO3)=0.1 mol/L；</w:t>
      </w:r>
    </w:p>
    <w:p w14:paraId="14D1E8A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（5）0.1%甲基橙溶液；</w:t>
      </w:r>
    </w:p>
    <w:p w14:paraId="53D7F0B7">
      <w:pPr>
        <w:pStyle w:val="58"/>
        <w:numPr>
          <w:ilvl w:val="2"/>
          <w:numId w:val="0"/>
        </w:numPr>
        <w:spacing w:before="156" w:after="156"/>
        <w:rPr>
          <w:rFonts w:ascii="Times New Roman" w:hAnsi="Times New Roman"/>
          <w:color w:val="000000" w:themeColor="text1"/>
          <w14:textFill>
            <w14:solidFill>
              <w14:schemeClr w14:val="tx1"/>
            </w14:solidFill>
          </w14:textFill>
        </w:rPr>
      </w:pPr>
    </w:p>
    <w:p w14:paraId="1E3A7B58">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8.2 分析步骤</w:t>
      </w:r>
    </w:p>
    <w:p w14:paraId="449A90C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称取样品（精确至0.0001g，当于0.03g As2O5），放入250mL的高脚烧杯中，加入足够的水以使总体积达到约50mL；</w:t>
      </w:r>
    </w:p>
    <w:p w14:paraId="78B1B3E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加入50mL浓盐酸；</w:t>
      </w:r>
    </w:p>
    <w:p w14:paraId="545098C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加入20mL次磷酸，充分混和，在蒸汽浴上加热至形成沉淀；</w:t>
      </w:r>
    </w:p>
    <w:p w14:paraId="3302437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将混合物加热至沸腾，慢火煮15min；</w:t>
      </w:r>
    </w:p>
    <w:p w14:paraId="78E2198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用10mL的古氏坩锅，垫上酸洗石棉，趁热过滤溶液，用水充分洗涤沉淀物及高脚烧杯；</w:t>
      </w:r>
    </w:p>
    <w:p w14:paraId="14F9EA7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将装有沉淀物的古氏坩锅放在产生沉淀的同一高脚烧杯中，弃去滤液；</w:t>
      </w:r>
    </w:p>
    <w:p w14:paraId="52A5C24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在烧杯中加入10mL硫酸，在明火上边加热边搅拌，直至产生大量烟气（应在通风橱里进行）；</w:t>
      </w:r>
    </w:p>
    <w:p w14:paraId="3C1A39B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当烧杯和内容物冷却后，缓慢小心地加入100mL水。开始加入时尤其需要注意，因为加水会产生大量的热；</w:t>
      </w:r>
    </w:p>
    <w:p w14:paraId="5523FB5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加入5mL盐酸和2滴0.1%甲基橙溶液，立即用装在10mL 酸式滴定管中的溴酸钾标准溶液滴定；</w:t>
      </w:r>
    </w:p>
    <w:p w14:paraId="606F043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当溶液变成无色，即达到终点。</w:t>
      </w:r>
    </w:p>
    <w:p w14:paraId="1E026FC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注意：</w:t>
      </w:r>
    </w:p>
    <w:p w14:paraId="5E85FF8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如果分析的试样是由高氯酸混合物消化的木材试样，那么由于试样中含有高氯酸和强还原剂次磷酸，如果蒸发太快，可能发生强烈危险的爆炸。不要煮沸超过规定的时间，并用一小块表面皿盖在高脚烧杯口上，以减少蒸发。</w:t>
      </w:r>
    </w:p>
    <w:p w14:paraId="55A9A627">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8.3 计算</w:t>
      </w:r>
    </w:p>
    <w:p w14:paraId="68580F8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试样中砷</w:t>
      </w:r>
      <w:r>
        <w:rPr>
          <w:rFonts w:hint="eastAsia" w:ascii="Times New Roman" w:hAnsi="Times New Roman" w:eastAsiaTheme="minorEastAsia"/>
          <w:color w:val="000000" w:themeColor="text1"/>
          <w:lang w:eastAsia="zh-CN"/>
          <w14:textFill>
            <w14:solidFill>
              <w14:schemeClr w14:val="tx1"/>
            </w14:solidFill>
          </w14:textFill>
        </w:rPr>
        <w:t>有效成分</w:t>
      </w:r>
      <w:r>
        <w:rPr>
          <w:rFonts w:hint="eastAsia" w:ascii="Times New Roman" w:hAnsi="Times New Roman" w:eastAsiaTheme="minorEastAsia"/>
          <w:color w:val="000000" w:themeColor="text1"/>
          <w14:textFill>
            <w14:solidFill>
              <w14:schemeClr w14:val="tx1"/>
            </w14:solidFill>
          </w14:textFill>
        </w:rPr>
        <w:t>的含量，以五氧化二砷（As2O5）计，数值以%表示，按式（2）计算：</w:t>
      </w:r>
    </w:p>
    <w:p w14:paraId="155823A2">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W=0.5746V/M     ………………………………………（2）</w:t>
      </w:r>
    </w:p>
    <w:p w14:paraId="715BA7C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6441A59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W—试样中As2O5的含量，% ；</w:t>
      </w:r>
    </w:p>
    <w:p w14:paraId="457B43C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V——溴酸钾标准溶液的滴定用量，单位为毫升(mL)；</w:t>
      </w:r>
    </w:p>
    <w:p w14:paraId="24E4685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M——试样的质量，单位为克（g）；</w:t>
      </w:r>
    </w:p>
    <w:p w14:paraId="6984724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0.5746——换算系数。</w:t>
      </w:r>
    </w:p>
    <w:p w14:paraId="1921EED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若以木材试样中As2O5载药量R 来表示，数值以（ kg/m3）表示，按式（3）计算：</w:t>
      </w:r>
    </w:p>
    <w:p w14:paraId="45D51D34">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R= W×d/100     ………………………………………（3）</w:t>
      </w:r>
    </w:p>
    <w:p w14:paraId="1BCE1EF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4D86EA1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W——木材试样中As2O5的含量，% ；</w:t>
      </w:r>
    </w:p>
    <w:p w14:paraId="4BCF073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d——木材试样密度，单位为千克每立方米（kg/m3）。</w:t>
      </w:r>
    </w:p>
    <w:p w14:paraId="6055804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bookmarkStart w:id="108" w:name="_Toc113433766"/>
      <w:bookmarkStart w:id="109" w:name="_Toc114278685"/>
      <w:bookmarkStart w:id="110" w:name="_Toc114988797"/>
      <w:bookmarkStart w:id="111" w:name="_Toc125444453"/>
      <w:bookmarkStart w:id="112" w:name="_Toc114976849"/>
      <w:bookmarkStart w:id="113" w:name="_Toc125444225"/>
      <w:bookmarkStart w:id="114" w:name="_Toc101928723"/>
      <w:bookmarkStart w:id="115" w:name="_Toc125448485"/>
      <w:bookmarkStart w:id="116" w:name="_Toc101926001"/>
      <w:bookmarkStart w:id="117" w:name="_Toc114976781"/>
      <w:bookmarkStart w:id="118" w:name="_Toc114902058"/>
      <w:bookmarkStart w:id="119" w:name="_Toc114472338"/>
      <w:bookmarkStart w:id="120" w:name="_Toc113868791"/>
      <w:bookmarkStart w:id="121" w:name="_Toc113871027"/>
      <w:bookmarkStart w:id="122" w:name="_Toc114988882"/>
      <w:bookmarkStart w:id="123" w:name="_Toc101928921"/>
      <w:bookmarkStart w:id="124" w:name="_Toc113418208"/>
      <w:bookmarkStart w:id="125" w:name="_Toc125444393"/>
      <w:bookmarkStart w:id="126" w:name="_Toc114890303"/>
      <w:bookmarkStart w:id="127" w:name="_Toc114890147"/>
      <w:bookmarkStart w:id="128" w:name="_Toc113868717"/>
      <w:bookmarkStart w:id="129" w:name="_Toc113932440"/>
      <w:bookmarkStart w:id="130" w:name="_Toc113333921"/>
      <w:r>
        <w:rPr>
          <w:rFonts w:hint="eastAsia" w:ascii="Times New Roman" w:hAnsi="Times New Roman" w:eastAsiaTheme="minorEastAsia"/>
          <w:color w:val="000000" w:themeColor="text1"/>
          <w14:textFill>
            <w14:solidFill>
              <w14:schemeClr w14:val="tx1"/>
            </w14:solidFill>
          </w14:textFill>
        </w:rPr>
        <w:t>取两次平行测定的算术平均值为测定结果，两次平行测定结果之差不大于0.3%。</w:t>
      </w:r>
    </w:p>
    <w:p w14:paraId="4B2825AC">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131" w:name="_Toc167096318"/>
      <w:bookmarkStart w:id="132" w:name="_Toc125598198"/>
      <w:bookmarkStart w:id="133" w:name="_Toc125520624"/>
      <w:bookmarkStart w:id="134" w:name="_Toc125520533"/>
      <w:r>
        <w:rPr>
          <w:rFonts w:hint="eastAsia" w:ascii="Times New Roman" w:hAnsi="Times New Roman"/>
          <w:color w:val="000000" w:themeColor="text1"/>
          <w14:textFill>
            <w14:solidFill>
              <w14:schemeClr w14:val="tx1"/>
            </w14:solidFill>
          </w14:textFill>
        </w:rPr>
        <w:t>含铬防腐剂中铬的测定</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ascii="Times New Roman" w:hAnsi="Times New Roman"/>
          <w:color w:val="000000" w:themeColor="text1"/>
          <w14:textFill>
            <w14:solidFill>
              <w14:schemeClr w14:val="tx1"/>
            </w14:solidFill>
          </w14:textFill>
        </w:rPr>
        <w:tab/>
      </w:r>
    </w:p>
    <w:p w14:paraId="5E3A228E">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9.1试剂</w:t>
      </w:r>
    </w:p>
    <w:p w14:paraId="774C9114">
      <w:pPr>
        <w:pStyle w:val="58"/>
        <w:numPr>
          <w:ilvl w:val="2"/>
          <w:numId w:val="0"/>
        </w:numPr>
        <w:spacing w:before="156" w:after="156"/>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（1）磷酸（85%，密度为1.71）；</w:t>
      </w:r>
    </w:p>
    <w:p w14:paraId="4F6690E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（2）0.2%二苯胺磺酸钡水溶液；</w:t>
      </w:r>
    </w:p>
    <w:p w14:paraId="2CD178E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（3）硫酸亚铁铵-硫酸混和溶液：将50g硫酸亚铁铵（Fe(NH4)2(SO4)2.6H2O）和25mL浓硫酸混和，用水配成1000mL的溶液；</w:t>
      </w:r>
    </w:p>
    <w:p w14:paraId="7B19373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（4）1:1硫酸水溶液(体积比)；</w:t>
      </w:r>
    </w:p>
    <w:p w14:paraId="1167793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（5）重铬酸钾溶液：c（1/6 K2Cr2O7）＝0.02000mol／L。</w:t>
      </w:r>
    </w:p>
    <w:p w14:paraId="49A21D27">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9.2 分析步骤(取样后应尽快分析)</w:t>
      </w:r>
    </w:p>
    <w:p w14:paraId="6B4549C4">
      <w:pPr>
        <w:pStyle w:val="44"/>
        <w:numPr>
          <w:ilvl w:val="0"/>
          <w:numId w:val="0"/>
        </w:numPr>
        <w:autoSpaceDE/>
        <w:autoSpaceDN/>
        <w:ind w:firstLine="0" w:firstLineChars="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9.2.2空白试验</w:t>
      </w:r>
    </w:p>
    <w:p w14:paraId="5B22DAA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向500mL的锥形瓶中，加入约200mL的蒸馏水，再加入3mL磷酸和6mL体积比为1:1的硫酸水溶液，摇匀；准确吸取1~10.00 mL硫酸亚铁铵-硫酸混和溶液加入至上述溶液中，并加入10滴0.2%二苯胺磺酸钡溶液；立刻滴加浓度为0.02~0.10mol/L的重铬酸钾标准溶液，当溶液颜色变为深紫色或深绿色时即到达终点，记录消耗的重铬酸钾标准溶液的体积，为空白滴定体积。</w:t>
      </w:r>
    </w:p>
    <w:p w14:paraId="632A213C">
      <w:pPr>
        <w:pStyle w:val="44"/>
        <w:numPr>
          <w:ilvl w:val="0"/>
          <w:numId w:val="0"/>
        </w:numPr>
        <w:autoSpaceDE/>
        <w:autoSpaceDN/>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9.2.2样品滴定</w:t>
      </w:r>
    </w:p>
    <w:p w14:paraId="6249F75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准确吸取稀释后防腐剂溶液或消解溶液1~20mL，置于500mL的锥形瓶中，加入一定量的蒸馏水，使其总体积约为200mL；加入加入3mL磷酸和6mL体积比为1:1的硫酸水溶液，摇匀；准确吸取1~10.00 mL硫酸亚铁铵-硫酸混和溶液加入至上述溶液中，并加入10滴0.2%二苯胺磺酸钡溶液；立刻滴加浓度为0.02~0.10mol/L的重铬酸钾标准溶液，当溶液颜色变为深紫色或深绿色时即到达终点，记录消耗的重铬酸钾标准溶液的体积，为样品滴定体积。</w:t>
      </w:r>
    </w:p>
    <w:p w14:paraId="4AA22702">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9.3 计算</w:t>
      </w:r>
    </w:p>
    <w:p w14:paraId="49BF5B3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试样中铬</w:t>
      </w:r>
      <w:r>
        <w:rPr>
          <w:rFonts w:hint="eastAsia" w:ascii="Times New Roman" w:hAnsi="Times New Roman" w:eastAsiaTheme="minorEastAsia"/>
          <w:color w:val="000000" w:themeColor="text1"/>
          <w:lang w:eastAsia="zh-CN"/>
          <w14:textFill>
            <w14:solidFill>
              <w14:schemeClr w14:val="tx1"/>
            </w14:solidFill>
          </w14:textFill>
        </w:rPr>
        <w:t>有效成分</w:t>
      </w:r>
      <w:r>
        <w:rPr>
          <w:rFonts w:hint="eastAsia" w:ascii="Times New Roman" w:hAnsi="Times New Roman" w:eastAsiaTheme="minorEastAsia"/>
          <w:color w:val="000000" w:themeColor="text1"/>
          <w14:textFill>
            <w14:solidFill>
              <w14:schemeClr w14:val="tx1"/>
            </w14:solidFill>
          </w14:textFill>
        </w:rPr>
        <w:t>的含量，以三氧化铬（CrO3）计，数值以%表示，按式（4）计算：</w:t>
      </w:r>
    </w:p>
    <w:p w14:paraId="4D1BC8AA">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W=3.3333×c (V2-V1)×稀释倍数/ M ……………………………………（4）</w:t>
      </w:r>
    </w:p>
    <w:p w14:paraId="3DEE009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6E9A859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W——试样中CrO3的含量，% ；</w:t>
      </w:r>
    </w:p>
    <w:p w14:paraId="3903C3A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V2——滴定空白溶液中所用去的重铬酸钾标准溶液的体积，单位为毫升 (mL)；</w:t>
      </w:r>
    </w:p>
    <w:p w14:paraId="6076AB2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V1——滴定试样溶液中所用去的重铬酸钾标准溶液的体积，单位为毫升(mL)；</w:t>
      </w:r>
    </w:p>
    <w:p w14:paraId="4391A35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M——试样的质量，单位为克（g）；</w:t>
      </w:r>
    </w:p>
    <w:p w14:paraId="4533C06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c——重铬酸钾的浓度，单位为mol/L;</w:t>
      </w:r>
    </w:p>
    <w:p w14:paraId="6D68348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3.3333——换算系数。</w:t>
      </w:r>
    </w:p>
    <w:p w14:paraId="51B449C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若以木材试样中CrO3载药量R（kg/m3）表示，按式（5）计算：</w:t>
      </w:r>
    </w:p>
    <w:p w14:paraId="0C803C2E">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R=W×d/100 …………………………………………（5）</w:t>
      </w:r>
    </w:p>
    <w:p w14:paraId="2E916A1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1BA06CE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W——木材试样中CrO3的含量，%  ；</w:t>
      </w:r>
    </w:p>
    <w:p w14:paraId="747E53E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d——木材试样密度，单位为千克每立方米（kg/m3）。</w:t>
      </w:r>
    </w:p>
    <w:p w14:paraId="2D66708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bookmarkStart w:id="135" w:name="_Toc114890148"/>
      <w:bookmarkStart w:id="136" w:name="_Toc101926002"/>
      <w:bookmarkStart w:id="137" w:name="_Toc101928922"/>
      <w:bookmarkStart w:id="138" w:name="_Toc125444226"/>
      <w:bookmarkStart w:id="139" w:name="_Toc125444454"/>
      <w:bookmarkStart w:id="140" w:name="_Toc114278686"/>
      <w:bookmarkStart w:id="141" w:name="_Toc114976782"/>
      <w:bookmarkStart w:id="142" w:name="_Toc113333922"/>
      <w:bookmarkStart w:id="143" w:name="_Toc113871028"/>
      <w:bookmarkStart w:id="144" w:name="_Toc114890304"/>
      <w:bookmarkStart w:id="145" w:name="_Toc113418209"/>
      <w:bookmarkStart w:id="146" w:name="_Toc114976850"/>
      <w:bookmarkStart w:id="147" w:name="_Toc113868792"/>
      <w:bookmarkStart w:id="148" w:name="_Toc125448486"/>
      <w:bookmarkStart w:id="149" w:name="_Toc125444394"/>
      <w:bookmarkStart w:id="150" w:name="_Toc113932441"/>
      <w:bookmarkStart w:id="151" w:name="_Toc114902059"/>
      <w:bookmarkStart w:id="152" w:name="_Toc113433767"/>
      <w:bookmarkStart w:id="153" w:name="_Toc114988883"/>
      <w:bookmarkStart w:id="154" w:name="_Toc113868718"/>
      <w:bookmarkStart w:id="155" w:name="_Toc114988798"/>
      <w:bookmarkStart w:id="156" w:name="_Toc114472339"/>
      <w:bookmarkStart w:id="157" w:name="_Toc101928724"/>
      <w:r>
        <w:rPr>
          <w:rFonts w:hint="eastAsia" w:ascii="Times New Roman" w:hAnsi="Times New Roman" w:eastAsiaTheme="minorEastAsia"/>
          <w:color w:val="000000" w:themeColor="text1"/>
          <w14:textFill>
            <w14:solidFill>
              <w14:schemeClr w14:val="tx1"/>
            </w14:solidFill>
          </w14:textFill>
        </w:rPr>
        <w:t>取两次平行测定的算术平均值为测定结果，两次平行测定结果之差不大于0.2%。</w:t>
      </w:r>
    </w:p>
    <w:p w14:paraId="4DF8E01C">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158" w:name="_Toc167096319"/>
      <w:bookmarkStart w:id="159" w:name="_Toc125520625"/>
      <w:bookmarkStart w:id="160" w:name="_Toc125520534"/>
      <w:bookmarkStart w:id="161" w:name="_Toc125598199"/>
      <w:r>
        <w:rPr>
          <w:rFonts w:hint="eastAsia" w:ascii="Times New Roman" w:hAnsi="Times New Roman"/>
          <w:color w:val="000000" w:themeColor="text1"/>
          <w14:textFill>
            <w14:solidFill>
              <w14:schemeClr w14:val="tx1"/>
            </w14:solidFill>
          </w14:textFill>
        </w:rPr>
        <w:t>含铜防腐剂中铜的测定</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FBA7AEC">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10.1 试剂</w:t>
      </w:r>
    </w:p>
    <w:p w14:paraId="100A870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（1）浓氢氧化铵（25%）；</w:t>
      </w:r>
    </w:p>
    <w:p w14:paraId="7EEAE27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（2）浓盐酸（36%）；</w:t>
      </w:r>
    </w:p>
    <w:p w14:paraId="13FF080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（3）浓硫酸（98%）；</w:t>
      </w:r>
    </w:p>
    <w:p w14:paraId="39E31CA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（4）甲醇或乙醇；</w:t>
      </w:r>
    </w:p>
    <w:p w14:paraId="58CF0A0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（5）20%的碘化钾溶液；</w:t>
      </w:r>
    </w:p>
    <w:p w14:paraId="19C0CD2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（6）20%硫氰酸钠溶液；</w:t>
      </w:r>
    </w:p>
    <w:p w14:paraId="148BB28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（7）1%淀粉指示剂溶液；</w:t>
      </w:r>
    </w:p>
    <w:p w14:paraId="4E4DB37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（8）0.1000mol/L硫代硫酸钠溶液：取26g硫代硫酸钠（Na2S2O3·5H2O），加入新鲜经冷却的蒸馏水使之溶解，加1.0g Na2CO3 作为防腐剂并稀释至1000mL，混匀，保存于棕色瓶中，在暗处放置（7～14）天后标定；</w:t>
      </w:r>
    </w:p>
    <w:p w14:paraId="15EA0FA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（9）0.0500mol/L硫代硫酸钠溶液：准确吸取0.1000mol/L硫代硫酸钠溶液25mL，加新煮沸并冷却的蒸馏水至50mL。该溶液应该在使用前制备并标定；</w:t>
      </w:r>
    </w:p>
    <w:p w14:paraId="4F67617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（10）氯酸钾-硝酸混合液：将5g氯酸钾溶解在100mL的浓硝酸中，该溶液应在使用时即配即用，不能使用过期的溶液。</w:t>
      </w:r>
    </w:p>
    <w:p w14:paraId="4C121BD8">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10.2 分析步骤</w:t>
      </w:r>
    </w:p>
    <w:p w14:paraId="6DC3079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用分析天平准确称取试样（精确至0.0001g，相当于0.02gCuO）。置于300 mL的锥形瓶中，加10 mL水、10 mL浓盐酸和几粒玻璃珠，小心地加入15 mL乙醇，慢慢加热至沸腾，继续加热至溶液的黄绿色完全消失，这表示所有的铬都已经被还原，此时，溶液应是清澈的蓝绿色（如果试样是氨溶砷酸铜锌，那么应该在通风橱中进行沸腾操作）；</w:t>
      </w:r>
    </w:p>
    <w:p w14:paraId="6E07B2D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水冲洗锥形瓶壁，煮沸1min，冷却，小心地用浓氢氧化铵中和至刚刚出现永久性沉淀，当样品中含铜量较少时，可能不会形成沉淀。此时，用浓氢氧化铵来调节pH值，直至用pH试纸检测时溶液略呈碱性。逐滴加入浓硫酸至溶液变成酸性（pH3～4）为止。将溶液煮沸蒸发至30mL，冷却到20℃以下，然后稀释到125mL；</w:t>
      </w:r>
    </w:p>
    <w:p w14:paraId="3865449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加入10mL 20%的碘化钾溶液和5 mL 20%硫氰酸钠溶液，并摇动锥形瓶使之充分混合，用0.05mol/L的硫代硫酸钠标准溶液来滴定。当碘的浅棕色刚要消失前加入2 mL淀粉溶液，当溶液颜色从深蓝色变为浅绿色时，停止滴定。对于氨溶砷酸铜锌试样而言，终点则是从深蓝色变成乳白色(如果终点不明显,看10.3中的注)。</w:t>
      </w:r>
    </w:p>
    <w:p w14:paraId="200618C6">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10.3计算</w:t>
      </w:r>
    </w:p>
    <w:p w14:paraId="24F1205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试样中铜</w:t>
      </w:r>
      <w:r>
        <w:rPr>
          <w:rFonts w:hint="eastAsia" w:ascii="Times New Roman" w:hAnsi="Times New Roman" w:eastAsiaTheme="minorEastAsia"/>
          <w:color w:val="000000" w:themeColor="text1"/>
          <w:lang w:eastAsia="zh-CN"/>
          <w14:textFill>
            <w14:solidFill>
              <w14:schemeClr w14:val="tx1"/>
            </w14:solidFill>
          </w14:textFill>
        </w:rPr>
        <w:t>有效成分</w:t>
      </w:r>
      <w:r>
        <w:rPr>
          <w:rFonts w:hint="eastAsia" w:ascii="Times New Roman" w:hAnsi="Times New Roman" w:eastAsiaTheme="minorEastAsia"/>
          <w:color w:val="000000" w:themeColor="text1"/>
          <w14:textFill>
            <w14:solidFill>
              <w14:schemeClr w14:val="tx1"/>
            </w14:solidFill>
          </w14:textFill>
        </w:rPr>
        <w:t>的含量，以氧化铜（CuO）计，数值以%表示，按式（6）计算：</w:t>
      </w:r>
    </w:p>
    <w:p w14:paraId="5171D310">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 =V×c×7.96/M…………………………………………（6）</w:t>
      </w:r>
    </w:p>
    <w:p w14:paraId="16BAEE8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式中： </w:t>
      </w:r>
    </w:p>
    <w:p w14:paraId="1C5D38C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 试样中CuO的含量，% ；</w:t>
      </w:r>
    </w:p>
    <w:p w14:paraId="3F575F8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 ——滴定所用硫代硫酸钠标准溶液体积，单位为毫升（mL）；</w:t>
      </w:r>
    </w:p>
    <w:p w14:paraId="15F81A2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 —— 硫代硫酸钠标准溶液摩尔浓度，单位为摩尔每升（mol/L）；</w:t>
      </w:r>
    </w:p>
    <w:p w14:paraId="6A1023C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M——试样质量，单位为克（g）；</w:t>
      </w:r>
    </w:p>
    <w:p w14:paraId="083992C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7.96——换算系数。</w:t>
      </w:r>
    </w:p>
    <w:p w14:paraId="23C10EC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若以木材试样中CuO载药量R（kg/m3）表示，按式（7）计算：</w:t>
      </w:r>
    </w:p>
    <w:p w14:paraId="40608F08">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R=W×ｄ/100…………………………………………（7）</w:t>
      </w:r>
    </w:p>
    <w:p w14:paraId="535BFC3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0AE7FA2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W——木材试样中CuO的含量，%  ； </w:t>
      </w:r>
    </w:p>
    <w:p w14:paraId="0073EBF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d——木材试样密度，单位为千克每立方米（kg/m3）</w:t>
      </w:r>
    </w:p>
    <w:p w14:paraId="7A30B8C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注: 试样如果含有机物质，会干扰铜的分析，滴定不正常，在分析前可用如下方法消除干扰：</w:t>
      </w:r>
    </w:p>
    <w:p w14:paraId="3A2E684A">
      <w:pPr>
        <w:pStyle w:val="44"/>
        <w:numPr>
          <w:ilvl w:val="0"/>
          <w:numId w:val="6"/>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将试样置于300 mL的锥形瓶中，加入10mL氯酸钾-硝酸混合物，然后不停搅动，煮到干，然后在明火上烘烤残留物约1min；</w:t>
      </w:r>
    </w:p>
    <w:p w14:paraId="2163BFC4">
      <w:pPr>
        <w:pStyle w:val="44"/>
        <w:numPr>
          <w:ilvl w:val="0"/>
          <w:numId w:val="6"/>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冷却，加入20 mL水和10 mL浓盐酸，煮沸以破坏过量的氯酸盐并溶解盐类；</w:t>
      </w:r>
    </w:p>
    <w:p w14:paraId="0AC096BA">
      <w:pPr>
        <w:pStyle w:val="44"/>
        <w:numPr>
          <w:ilvl w:val="0"/>
          <w:numId w:val="6"/>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冷却，然后按照10.2描述的方法从“加入15 mL乙醇”开始，继续往下进行分析。</w:t>
      </w:r>
    </w:p>
    <w:p w14:paraId="19630CD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bookmarkStart w:id="162" w:name="_Toc101928727"/>
      <w:bookmarkStart w:id="163" w:name="_Toc101928925"/>
      <w:bookmarkStart w:id="164" w:name="_Toc101926005"/>
      <w:bookmarkStart w:id="165" w:name="_Toc114472341"/>
      <w:bookmarkStart w:id="166" w:name="_Toc125444455"/>
      <w:bookmarkStart w:id="167" w:name="_Toc114976784"/>
      <w:bookmarkStart w:id="168" w:name="_Toc113333924"/>
      <w:bookmarkStart w:id="169" w:name="_Toc114890150"/>
      <w:bookmarkStart w:id="170" w:name="_Toc114890306"/>
      <w:bookmarkStart w:id="171" w:name="_Toc114278688"/>
      <w:bookmarkStart w:id="172" w:name="_Toc125448487"/>
      <w:bookmarkStart w:id="173" w:name="_Toc125444227"/>
      <w:bookmarkStart w:id="174" w:name="_Toc113868794"/>
      <w:bookmarkStart w:id="175" w:name="_Toc113932443"/>
      <w:bookmarkStart w:id="176" w:name="_Toc114902061"/>
      <w:bookmarkStart w:id="177" w:name="_Toc113418211"/>
      <w:bookmarkStart w:id="178" w:name="_Toc114988800"/>
      <w:bookmarkStart w:id="179" w:name="_Toc113871030"/>
      <w:bookmarkStart w:id="180" w:name="_Toc114976852"/>
      <w:bookmarkStart w:id="181" w:name="_Toc113868720"/>
      <w:bookmarkStart w:id="182" w:name="_Toc114988885"/>
      <w:bookmarkStart w:id="183" w:name="_Toc113433769"/>
      <w:bookmarkStart w:id="184" w:name="_Toc125444395"/>
      <w:r>
        <w:rPr>
          <w:rFonts w:hint="eastAsia" w:ascii="Times New Roman" w:hAnsi="Times New Roman" w:eastAsiaTheme="minorEastAsia"/>
          <w:color w:val="000000" w:themeColor="text1"/>
          <w14:textFill>
            <w14:solidFill>
              <w14:schemeClr w14:val="tx1"/>
            </w14:solidFill>
          </w14:textFill>
        </w:rPr>
        <w:t>取两次平行测定的算术平均值为测定结果，两次平行测定结果之差不大于0.2%。</w:t>
      </w:r>
    </w:p>
    <w:p w14:paraId="07F0D247">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185" w:name="_Toc125520535"/>
      <w:bookmarkStart w:id="186" w:name="_Toc125598200"/>
      <w:bookmarkStart w:id="187" w:name="_Toc167096320"/>
      <w:bookmarkStart w:id="188" w:name="_Toc125520626"/>
      <w:r>
        <w:rPr>
          <w:rFonts w:hint="eastAsia" w:ascii="Times New Roman" w:hAnsi="Times New Roman"/>
          <w:color w:val="000000" w:themeColor="text1"/>
          <w14:textFill>
            <w14:solidFill>
              <w14:schemeClr w14:val="tx1"/>
            </w14:solidFill>
          </w14:textFill>
        </w:rPr>
        <w:t>磷酸盐的测定</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CBFA16B">
      <w:pPr>
        <w:pStyle w:val="44"/>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试剂</w:t>
      </w:r>
    </w:p>
    <w:p w14:paraId="1EA0657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（1）1%酚酞指示剂溶液；</w:t>
      </w:r>
    </w:p>
    <w:p w14:paraId="0A61F0D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（2）1mol/L HCl溶液；</w:t>
      </w:r>
    </w:p>
    <w:p w14:paraId="6A60EA5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（3）1mol/L NaOH溶液；</w:t>
      </w:r>
    </w:p>
    <w:p w14:paraId="230B69C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（4）钼酸铵溶液：取150g钼酸铵，用1000mL蒸馏水溶解，把390mL浓硝酸注入610mL的蒸馏水中。然后将稀释的硝酸溶液加进钼酸溶液中，静置几天后，倾析出清液，存放在玻璃瓶中；</w:t>
      </w:r>
    </w:p>
    <w:p w14:paraId="07E573B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（5）1%硝酸溶液；</w:t>
      </w:r>
    </w:p>
    <w:p w14:paraId="0894584C">
      <w:pPr>
        <w:pStyle w:val="44"/>
        <w:numPr>
          <w:ilvl w:val="0"/>
          <w:numId w:val="7"/>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浓硝酸（70%）；</w:t>
      </w:r>
    </w:p>
    <w:p w14:paraId="3E0C0CEA">
      <w:pPr>
        <w:pStyle w:val="44"/>
        <w:numPr>
          <w:ilvl w:val="0"/>
          <w:numId w:val="7"/>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浓盐酸（36%）；</w:t>
      </w:r>
    </w:p>
    <w:p w14:paraId="6F583469">
      <w:pPr>
        <w:pStyle w:val="44"/>
        <w:numPr>
          <w:ilvl w:val="0"/>
          <w:numId w:val="7"/>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浓氢氧化铵（25%）；</w:t>
      </w:r>
    </w:p>
    <w:p w14:paraId="25DFA452">
      <w:pPr>
        <w:pStyle w:val="44"/>
        <w:numPr>
          <w:ilvl w:val="0"/>
          <w:numId w:val="7"/>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1%硝酸铵溶液；</w:t>
      </w:r>
    </w:p>
    <w:p w14:paraId="0FAFA127">
      <w:pPr>
        <w:pStyle w:val="44"/>
        <w:numPr>
          <w:ilvl w:val="0"/>
          <w:numId w:val="7"/>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邻苯二甲酸氢钾；</w:t>
      </w:r>
    </w:p>
    <w:p w14:paraId="5FC613F5">
      <w:pPr>
        <w:pStyle w:val="44"/>
        <w:numPr>
          <w:ilvl w:val="0"/>
          <w:numId w:val="7"/>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石蕊试纸。</w:t>
      </w:r>
    </w:p>
    <w:p w14:paraId="4CF88016">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11.2 分析步骤</w:t>
      </w:r>
    </w:p>
    <w:p w14:paraId="74569CE9">
      <w:pPr>
        <w:pStyle w:val="64"/>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11.2.1 容量分析方法</w:t>
      </w:r>
    </w:p>
    <w:p w14:paraId="39CE9D7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准确吸取10.00mL溶液至500mL的锥形瓶中，加入30mL浓硝酸和5mL浓盐酸，煮沸至棕色烟变为无色蒸气，继续煮沸至剩下约5mL液体。冷却到38℃；</w:t>
      </w:r>
    </w:p>
    <w:p w14:paraId="467AC93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加入5mL浓氢氧化铵，并在溶液中投入一片石蕊试纸，试纸将变成蓝色。如果未变蓝，则再加几滴浓氢氧化铵，直至试纸变蓝；</w:t>
      </w:r>
    </w:p>
    <w:p w14:paraId="6F85788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用浓硝酸来调节溶液的酸度，直至新投入的石蕊试纸刚好变红，再加3滴使其过量；</w:t>
      </w:r>
    </w:p>
    <w:p w14:paraId="6E6CB19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将盛有溶液的锥形瓶放在24℃～27℃的恒温水浴中；</w:t>
      </w:r>
    </w:p>
    <w:p w14:paraId="5AE51D9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对于磷酸盐浓度小于或等于15%的溶液，加50mL已过滤的钼酸铵溶液；对于浓度介于16%～25%之间的溶液，加75mL的钼酸铵溶液；对于浓度大于25%的溶液，加100mL的钼酸铵溶液；</w:t>
      </w:r>
    </w:p>
    <w:p w14:paraId="22ADAEF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加钼酸铵溶液时要强力振荡，然后再间歇振荡30min；</w:t>
      </w:r>
    </w:p>
    <w:p w14:paraId="7C1EADB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0.5h后用中性石棉纤维垫在古氏坩埚上抽真空过滤；用1%的硝酸溶液洗净锥形瓶，并用1%的硝酸溶液洗涤古氏坩埚中的沉淀物2次；</w:t>
      </w:r>
    </w:p>
    <w:p w14:paraId="3FFA6FB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用1%的硝酸铵溶液洗涤沉淀物几次，再用水洗涤沉淀物1次，弃去所有的滤液；</w:t>
      </w:r>
    </w:p>
    <w:p w14:paraId="059B8DA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将盛有黄色沉淀的古氏坩埚转移至400mL的烧杯中，吸取25.00mL 1mol/L 氢氧化钠溶液加至古氏坩埚中，并用搅拌棒搅松石棉垫；</w:t>
      </w:r>
    </w:p>
    <w:p w14:paraId="3B96FE6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用水洗净古氏坩埚并将其取走。此时所有的黄色沉淀物都应该完全溶解，如果还未完全溶解，则再加25.00mL 1mol/L 氢氧化钠溶液，直至沉淀完全溶解；</w:t>
      </w:r>
    </w:p>
    <w:p w14:paraId="2AAAF6C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加3滴酚酞指示剂，并用1mol/L 盐酸标准溶液滴定至由红色变成无色即为终点；</w:t>
      </w:r>
    </w:p>
    <w:p w14:paraId="7BCB35E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吸取与溶解黄色沉淀相同体积的1mol/L的氢氧化钠(准确至0.01mL)和酚酞指示剂，制备一个空白样品，用同样的1mol/L 盐酸标准溶液来滴定。</w:t>
      </w:r>
    </w:p>
    <w:p w14:paraId="3DE06697">
      <w:pPr>
        <w:pStyle w:val="64"/>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11.2.2重量分析方法</w:t>
      </w:r>
    </w:p>
    <w:p w14:paraId="64CC902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与在容量分析法一样吸收10mL溶液试样进行消化，将溶液洗进400mL的烧杯中，按容量分析法加入钼酸铵，包括间歇振荡30min；</w:t>
      </w:r>
    </w:p>
    <w:p w14:paraId="16C4596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0.5h后用已称过的铺有中等纤维细度的石棉垫的古氏坩埚进行真空抽滤；</w:t>
      </w:r>
    </w:p>
    <w:p w14:paraId="05A6A7B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用1%硝酸清洗烧杯直至所有的黄色沉淀被转移至古氏坩埚里；</w:t>
      </w:r>
    </w:p>
    <w:p w14:paraId="657C4B5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用1%硝酸溶液加满古氏坩埚，洗涤黄色沉淀5次，两次洗涤之间都要将沉淀物吸干；</w:t>
      </w:r>
    </w:p>
    <w:p w14:paraId="6C63A6E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最后，用蒸馏水加满古氏坩埚，洗涤沉淀物，并尽量将水吸干；</w:t>
      </w:r>
    </w:p>
    <w:p w14:paraId="46075C7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在104℃烘箱中将古氏坩埚和沉淀物烘干2h，称重。</w:t>
      </w:r>
    </w:p>
    <w:p w14:paraId="2372113A">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11.3 计算</w:t>
      </w:r>
    </w:p>
    <w:p w14:paraId="6A0B9E0F">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11.3.1容量法计算</w:t>
      </w:r>
    </w:p>
    <w:p w14:paraId="5ABB83E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试样中磷酸盐</w:t>
      </w:r>
      <w:r>
        <w:rPr>
          <w:rFonts w:hint="eastAsia" w:ascii="Times New Roman" w:hAnsi="Times New Roman" w:eastAsiaTheme="minorEastAsia"/>
          <w:color w:val="000000" w:themeColor="text1"/>
          <w:lang w:eastAsia="zh-CN"/>
          <w14:textFill>
            <w14:solidFill>
              <w14:schemeClr w14:val="tx1"/>
            </w14:solidFill>
          </w14:textFill>
        </w:rPr>
        <w:t>有效成分</w:t>
      </w:r>
      <w:r>
        <w:rPr>
          <w:rFonts w:hint="eastAsia" w:ascii="Times New Roman" w:hAnsi="Times New Roman" w:eastAsiaTheme="minorEastAsia"/>
          <w:color w:val="000000" w:themeColor="text1"/>
          <w14:textFill>
            <w14:solidFill>
              <w14:schemeClr w14:val="tx1"/>
            </w14:solidFill>
          </w14:textFill>
        </w:rPr>
        <w:t>的含量，以磷酸氢二铵(NH4)2HPO4计，数值以%表示，按式（8）计算：</w:t>
      </w:r>
    </w:p>
    <w:p w14:paraId="66C14389">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W=（V1-V2）×0.05744×c/d……………………………………（8）</w:t>
      </w:r>
    </w:p>
    <w:p w14:paraId="1F48C53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45C1F49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W——试样中（NH4）2HPO4的含量，% ；</w:t>
      </w:r>
    </w:p>
    <w:p w14:paraId="3CD228F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V1——滴定空白样品所耗用盐酸标准溶液体积，单位为毫升（mL）；</w:t>
      </w:r>
    </w:p>
    <w:p w14:paraId="657B58B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V2——滴定试样所耗用盐酸标准溶液体积，单位为毫升（mL）；</w:t>
      </w:r>
    </w:p>
    <w:p w14:paraId="4807200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c——盐酸标准溶液的摩尔浓度，单位为摩尔每升（mol/L）；</w:t>
      </w:r>
    </w:p>
    <w:p w14:paraId="546555B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d——试样溶液密度，单位为千克每立方米（kg/m3）；</w:t>
      </w:r>
    </w:p>
    <w:p w14:paraId="4E95E96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0.05744——换算系数。</w:t>
      </w:r>
    </w:p>
    <w:p w14:paraId="6828F14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取两次平行测定的算术平均值为测定结果，两次平行测定结果之差不大于0.2%。</w:t>
      </w:r>
    </w:p>
    <w:p w14:paraId="05BD4C93">
      <w:pPr>
        <w:pStyle w:val="44"/>
        <w:numPr>
          <w:ilvl w:val="0"/>
          <w:numId w:val="0"/>
        </w:numPr>
        <w:autoSpaceDE/>
        <w:autoSpaceDN/>
        <w:rPr>
          <w:rFonts w:ascii="Times New Roman" w:hAnsi="Times New Roman"/>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11.3.2</w:t>
      </w:r>
      <w:r>
        <w:rPr>
          <w:rFonts w:hint="eastAsia" w:ascii="Times New Roman" w:hAnsi="Times New Roman"/>
          <w:color w:val="000000" w:themeColor="text1"/>
          <w14:textFill>
            <w14:solidFill>
              <w14:schemeClr w14:val="tx1"/>
            </w14:solidFill>
          </w14:textFill>
        </w:rPr>
        <w:t>重量法计算</w:t>
      </w:r>
    </w:p>
    <w:p w14:paraId="4A2F48B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试样中磷酸盐</w:t>
      </w:r>
      <w:r>
        <w:rPr>
          <w:rFonts w:hint="eastAsia" w:ascii="Times New Roman" w:hAnsi="Times New Roman" w:eastAsiaTheme="minorEastAsia"/>
          <w:color w:val="000000" w:themeColor="text1"/>
          <w:lang w:eastAsia="zh-CN"/>
          <w14:textFill>
            <w14:solidFill>
              <w14:schemeClr w14:val="tx1"/>
            </w14:solidFill>
          </w14:textFill>
        </w:rPr>
        <w:t>有效成分</w:t>
      </w:r>
      <w:r>
        <w:rPr>
          <w:rFonts w:hint="eastAsia" w:ascii="Times New Roman" w:hAnsi="Times New Roman" w:eastAsiaTheme="minorEastAsia"/>
          <w:color w:val="000000" w:themeColor="text1"/>
          <w14:textFill>
            <w14:solidFill>
              <w14:schemeClr w14:val="tx1"/>
            </w14:solidFill>
          </w14:textFill>
        </w:rPr>
        <w:t>的含量，以磷酸氢二铵(NH4)2HPO4计，数值以%表示，按式（9）计算：</w:t>
      </w:r>
    </w:p>
    <w:p w14:paraId="13057FDB">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W=M×0.704/d…………………………………………（9）</w:t>
      </w:r>
    </w:p>
    <w:p w14:paraId="5506B33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7D157FA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W——试样中(NH4)2HPO4的含量，% ；</w:t>
      </w:r>
    </w:p>
    <w:p w14:paraId="3CCFC2A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M——黄色沉淀物重量，单位为克（g）；</w:t>
      </w:r>
    </w:p>
    <w:p w14:paraId="096B3A2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d——试样溶液密度，单位为克每立方厘米（g/cm3）；</w:t>
      </w:r>
    </w:p>
    <w:p w14:paraId="71A236C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0.704——换算系数。</w:t>
      </w:r>
    </w:p>
    <w:p w14:paraId="771BE62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取两次平行测定的算术平均值为测定结果，两次平行测定结果之差不大于0.3%。</w:t>
      </w:r>
    </w:p>
    <w:p w14:paraId="045A389F">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189" w:name="_Toc113871031"/>
      <w:bookmarkStart w:id="190" w:name="_Toc125444228"/>
      <w:bookmarkStart w:id="191" w:name="_Toc101928927"/>
      <w:bookmarkStart w:id="192" w:name="_Toc114976785"/>
      <w:bookmarkStart w:id="193" w:name="_Toc114976853"/>
      <w:bookmarkStart w:id="194" w:name="_Toc113932444"/>
      <w:bookmarkStart w:id="195" w:name="_Toc113333925"/>
      <w:bookmarkStart w:id="196" w:name="_Toc125444456"/>
      <w:bookmarkStart w:id="197" w:name="_Toc113868721"/>
      <w:bookmarkStart w:id="198" w:name="_Toc114890151"/>
      <w:bookmarkStart w:id="199" w:name="_Toc125520536"/>
      <w:bookmarkStart w:id="200" w:name="_Toc113418212"/>
      <w:bookmarkStart w:id="201" w:name="_Toc101926007"/>
      <w:bookmarkStart w:id="202" w:name="_Toc125444396"/>
      <w:bookmarkStart w:id="203" w:name="_Toc125598201"/>
      <w:bookmarkStart w:id="204" w:name="_Toc113433770"/>
      <w:bookmarkStart w:id="205" w:name="_Toc125448488"/>
      <w:bookmarkStart w:id="206" w:name="_Toc114278689"/>
      <w:bookmarkStart w:id="207" w:name="_Toc167096321"/>
      <w:bookmarkStart w:id="208" w:name="_Toc114988886"/>
      <w:bookmarkStart w:id="209" w:name="_Toc114472342"/>
      <w:bookmarkStart w:id="210" w:name="_Toc113868795"/>
      <w:bookmarkStart w:id="211" w:name="_Toc125520627"/>
      <w:bookmarkStart w:id="212" w:name="_Toc114988801"/>
      <w:bookmarkStart w:id="213" w:name="_Toc114902062"/>
      <w:bookmarkStart w:id="214" w:name="_Toc101928729"/>
      <w:bookmarkStart w:id="215" w:name="_Toc114890307"/>
      <w:r>
        <w:rPr>
          <w:rFonts w:hint="eastAsia" w:ascii="Times New Roman" w:hAnsi="Times New Roman"/>
          <w:color w:val="000000" w:themeColor="text1"/>
          <w14:textFill>
            <w14:solidFill>
              <w14:schemeClr w14:val="tx1"/>
            </w14:solidFill>
          </w14:textFill>
        </w:rPr>
        <w:t>三氧化二硼的测定</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43AF160">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12.1 试剂</w:t>
      </w:r>
    </w:p>
    <w:p w14:paraId="344A9989">
      <w:pPr>
        <w:pStyle w:val="44"/>
        <w:numPr>
          <w:ilvl w:val="1"/>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（1）甘露糖醇粉末；</w:t>
      </w:r>
    </w:p>
    <w:p w14:paraId="2CF0F64F">
      <w:pPr>
        <w:pStyle w:val="44"/>
        <w:numPr>
          <w:ilvl w:val="1"/>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（2）盐酸：约0.5mol/L，不必标定；</w:t>
      </w:r>
    </w:p>
    <w:p w14:paraId="332610DD">
      <w:pPr>
        <w:pStyle w:val="44"/>
        <w:numPr>
          <w:ilvl w:val="1"/>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（3）氢氧化钠溶液：0.5mol/L，用试剂级的硼酸标定并精确测定其摩尔浓度，用c碱表示；</w:t>
      </w:r>
    </w:p>
    <w:p w14:paraId="5661B1CB">
      <w:pPr>
        <w:pStyle w:val="44"/>
        <w:numPr>
          <w:ilvl w:val="1"/>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（4）1%酚酞指示剂；</w:t>
      </w:r>
    </w:p>
    <w:p w14:paraId="7CEEABD5">
      <w:pPr>
        <w:pStyle w:val="44"/>
        <w:numPr>
          <w:ilvl w:val="1"/>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（5）0.1%甲基红指示剂 。</w:t>
      </w:r>
    </w:p>
    <w:p w14:paraId="6B430A94">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12.2分析步骤</w:t>
      </w:r>
    </w:p>
    <w:p w14:paraId="05F9C7E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将约1.0g（精确至0.001g）的固体防腐剂溶解在约100mL的水中，文火加热，在滴定之前要冷却至室温；</w:t>
      </w:r>
    </w:p>
    <w:p w14:paraId="5A75BCC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加3滴甲基红指示剂，并搅拌均匀，加入盐酸至溶液变成桃红色，再加入1mL盐酸，使其过量；</w:t>
      </w:r>
    </w:p>
    <w:p w14:paraId="71D9224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慢慢煮沸该溶液3min以除去二氧化碳，在冰浴中冷却至室温；</w:t>
      </w:r>
    </w:p>
    <w:p w14:paraId="32049F7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用氢氧化钠标准溶液滴定至桃黄色(甲基红的中和点)，不需记录到此中和点所用的酸和碱的体积；</w:t>
      </w:r>
    </w:p>
    <w:p w14:paraId="7665549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加6滴甲基红指示剂，8滴酚酞指示剂和过量的甘露糖醇粉末（约30g ～35g），搅拌至完全溶解，溶液将变成红/桃红色；</w:t>
      </w:r>
    </w:p>
    <w:p w14:paraId="286B1AF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用氢氧化钠标准溶液小心地慢慢滴定该溶液，颜色将从红/桃红色变至黄色，最后又回到桃红色，即为终点；</w:t>
      </w:r>
    </w:p>
    <w:p w14:paraId="2FF5739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为确定滴定是否完成，再加大约10 g甘露糖醇粉末至溶液中，并搅拌溶解，如果溶液变回黄色，则需继续滴定。如果加入甘露糖醇粉末后，溶液的颜色不变，说明滴定已经完成了。记录所加入的氢氧化钠标准溶液体积读数（mL），用V碱表示。</w:t>
      </w:r>
    </w:p>
    <w:p w14:paraId="765FE16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在分析处理溶液试样时，准确称取5g～7g（精确至0.001g）处理溶液放入250mL的锥形瓶中，作为试样的质量，以g表示，加蒸馏水，使其总体积约为100mL，混合均匀，从本分析步骤的“加3滴甲基红指示剂”开始进行分析。</w:t>
      </w:r>
    </w:p>
    <w:p w14:paraId="57576185">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12.3 计算</w:t>
      </w:r>
    </w:p>
    <w:p w14:paraId="4E45063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试样中硼</w:t>
      </w:r>
      <w:r>
        <w:rPr>
          <w:rFonts w:hint="eastAsia" w:ascii="Times New Roman" w:hAnsi="Times New Roman" w:eastAsiaTheme="minorEastAsia"/>
          <w:color w:val="000000" w:themeColor="text1"/>
          <w:lang w:eastAsia="zh-CN"/>
          <w14:textFill>
            <w14:solidFill>
              <w14:schemeClr w14:val="tx1"/>
            </w14:solidFill>
          </w14:textFill>
        </w:rPr>
        <w:t>有效成分</w:t>
      </w:r>
      <w:r>
        <w:rPr>
          <w:rFonts w:hint="eastAsia" w:ascii="Times New Roman" w:hAnsi="Times New Roman" w:eastAsiaTheme="minorEastAsia"/>
          <w:color w:val="000000" w:themeColor="text1"/>
          <w14:textFill>
            <w14:solidFill>
              <w14:schemeClr w14:val="tx1"/>
            </w14:solidFill>
          </w14:textFill>
        </w:rPr>
        <w:t>含量，以三氧化二硼（B2O3）计，数值以%表示，按式（10）计算：</w:t>
      </w:r>
    </w:p>
    <w:p w14:paraId="490BDF64">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W=3.481×V碱×c碱/M…………………………………………（10）</w:t>
      </w:r>
    </w:p>
    <w:p w14:paraId="6785EBB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17B1F83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W——试样中B2O3的含量,% ；</w:t>
      </w:r>
    </w:p>
    <w:p w14:paraId="218C638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V碱——氢氧化钠标准溶液消耗量，单位为毫升（mL）；</w:t>
      </w:r>
    </w:p>
    <w:p w14:paraId="21D2C3B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c碱——氢氧化钠标准溶液浓度，单位为摩尔每升（mol/L）；</w:t>
      </w:r>
    </w:p>
    <w:p w14:paraId="2DAB8B5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M——试样质量，单位为克（g）；</w:t>
      </w:r>
    </w:p>
    <w:p w14:paraId="290C669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3.481—换算系数。</w:t>
      </w:r>
    </w:p>
    <w:p w14:paraId="5BC953C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换算成硼（B）的含量，则按式（11）计算：</w:t>
      </w:r>
    </w:p>
    <w:p w14:paraId="559EC7DD">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W1 =0.3106×W………………………………………（11）</w:t>
      </w:r>
    </w:p>
    <w:p w14:paraId="47663E5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3871FC9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W1—— 试样中B的含量，% ；</w:t>
      </w:r>
    </w:p>
    <w:p w14:paraId="07F3680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 试样中B2O3的含量，% ；</w:t>
      </w:r>
    </w:p>
    <w:p w14:paraId="1FE97E4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0.3106——换算系数。</w:t>
      </w:r>
    </w:p>
    <w:p w14:paraId="5B9D243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bookmarkStart w:id="216" w:name="_Toc113868796"/>
      <w:bookmarkStart w:id="217" w:name="_Toc101926008"/>
      <w:bookmarkStart w:id="218" w:name="_Toc113433771"/>
      <w:bookmarkStart w:id="219" w:name="_Toc113418213"/>
      <w:bookmarkStart w:id="220" w:name="_Toc114890152"/>
      <w:bookmarkStart w:id="221" w:name="_Toc114988887"/>
      <w:bookmarkStart w:id="222" w:name="_Toc114902063"/>
      <w:bookmarkStart w:id="223" w:name="_Toc114278690"/>
      <w:bookmarkStart w:id="224" w:name="_Toc101928928"/>
      <w:bookmarkStart w:id="225" w:name="_Toc113868722"/>
      <w:bookmarkStart w:id="226" w:name="_Toc114988802"/>
      <w:bookmarkStart w:id="227" w:name="_Toc113932445"/>
      <w:bookmarkStart w:id="228" w:name="_Toc114976854"/>
      <w:bookmarkStart w:id="229" w:name="_Toc113333926"/>
      <w:bookmarkStart w:id="230" w:name="_Toc113871032"/>
      <w:bookmarkStart w:id="231" w:name="_Toc114976786"/>
      <w:bookmarkStart w:id="232" w:name="_Toc114472343"/>
      <w:bookmarkStart w:id="233" w:name="_Toc101928730"/>
      <w:bookmarkStart w:id="234" w:name="_Toc114890308"/>
      <w:bookmarkStart w:id="235" w:name="_Toc125444229"/>
      <w:bookmarkStart w:id="236" w:name="_Toc125448489"/>
      <w:bookmarkStart w:id="237" w:name="_Toc125444457"/>
      <w:bookmarkStart w:id="238" w:name="_Toc125444397"/>
      <w:r>
        <w:rPr>
          <w:rFonts w:hint="eastAsia" w:ascii="Times New Roman" w:hAnsi="Times New Roman" w:eastAsiaTheme="minorEastAsia"/>
          <w:color w:val="000000" w:themeColor="text1"/>
          <w14:textFill>
            <w14:solidFill>
              <w14:schemeClr w14:val="tx1"/>
            </w14:solidFill>
          </w14:textFill>
        </w:rPr>
        <w:t>取两次平行测定的算术平均值为测定结果，两次平行测定结果之差不大于0.3%。</w:t>
      </w:r>
    </w:p>
    <w:p w14:paraId="3682DF9E">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239" w:name="_Toc167096322"/>
      <w:bookmarkStart w:id="240" w:name="_Toc125520628"/>
      <w:bookmarkStart w:id="241" w:name="_Toc125598202"/>
      <w:bookmarkStart w:id="242" w:name="_Toc125520537"/>
      <w:r>
        <w:rPr>
          <w:rFonts w:hint="eastAsia" w:ascii="Times New Roman" w:hAnsi="Times New Roman"/>
          <w:color w:val="000000" w:themeColor="text1"/>
          <w14:textFill>
            <w14:solidFill>
              <w14:schemeClr w14:val="tx1"/>
            </w14:solidFill>
          </w14:textFill>
        </w:rPr>
        <w:t>柠檬酸</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Pr>
          <w:rFonts w:hint="eastAsia" w:ascii="Times New Roman" w:hAnsi="Times New Roman"/>
          <w:color w:val="000000" w:themeColor="text1"/>
          <w14:textFill>
            <w14:solidFill>
              <w14:schemeClr w14:val="tx1"/>
            </w14:solidFill>
          </w14:textFill>
        </w:rPr>
        <w:t>的测定</w:t>
      </w:r>
      <w:bookmarkEnd w:id="235"/>
      <w:bookmarkEnd w:id="236"/>
      <w:bookmarkEnd w:id="237"/>
      <w:bookmarkEnd w:id="238"/>
      <w:bookmarkEnd w:id="239"/>
      <w:bookmarkEnd w:id="240"/>
      <w:bookmarkEnd w:id="241"/>
      <w:bookmarkEnd w:id="242"/>
    </w:p>
    <w:p w14:paraId="55C98C7C">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13.1 试剂</w:t>
      </w:r>
    </w:p>
    <w:p w14:paraId="301F53F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（1）乙酸酐；</w:t>
      </w:r>
    </w:p>
    <w:p w14:paraId="3CE4887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（2）吡啶；</w:t>
      </w:r>
    </w:p>
    <w:p w14:paraId="2654FCE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 三氯乙酸溶液：0.18mol/L，将30.0g三氯乙酸溶解在软水中，并稀释至1000mL；</w:t>
      </w:r>
    </w:p>
    <w:p w14:paraId="2575F29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（4）柠檬酸标准溶液（1000μg/mL C6H8O7）：将1.5307g试剂级的二水柠檬酸三钠溶解在软水中，并稀释至1000mL。</w:t>
      </w:r>
    </w:p>
    <w:p w14:paraId="38E792AC">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13.2 设备装置</w:t>
      </w:r>
    </w:p>
    <w:p w14:paraId="26F29CD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（1）磨木机；</w:t>
      </w:r>
    </w:p>
    <w:p w14:paraId="44779B1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（2）灵敏度为0.1mg的分析天平；</w:t>
      </w:r>
    </w:p>
    <w:p w14:paraId="3B861AB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（3）可读420nm的分光光度计；</w:t>
      </w:r>
    </w:p>
    <w:p w14:paraId="22BC02B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（4）具有搅拌功能的恒温水浴。</w:t>
      </w:r>
    </w:p>
    <w:p w14:paraId="21C1530B">
      <w:pPr>
        <w:pStyle w:val="44"/>
        <w:numPr>
          <w:ilvl w:val="0"/>
          <w:numId w:val="0"/>
        </w:num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13.3 试样的制备</w:t>
      </w:r>
    </w:p>
    <w:p w14:paraId="109B8CB0">
      <w:pPr>
        <w:pStyle w:val="64"/>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13.3.1木材试样</w:t>
      </w:r>
    </w:p>
    <w:p w14:paraId="3A70FE8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将木材试样在105℃干燥4h～24h，放在干燥器中冷却，然后磨碎至可通过1.0mm的筛网；</w:t>
      </w:r>
    </w:p>
    <w:p w14:paraId="1BE22D0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称取7g～10g试样，准确至0.001g，并将其放至250mL的锥形瓶中，向每个装有分析试样的锥形瓶中加入100g 0.18mol/L三氯乙酸；</w:t>
      </w:r>
    </w:p>
    <w:p w14:paraId="4EE7570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 盖上盖子，在搅拌下萃取柠檬酸6h，用玻璃纤维滤纸过滤，收集萃取液作分析用。</w:t>
      </w:r>
    </w:p>
    <w:p w14:paraId="1C0201A2">
      <w:pPr>
        <w:pStyle w:val="44"/>
        <w:numPr>
          <w:ilvl w:val="1"/>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13.3.2 处理液试样</w:t>
      </w:r>
    </w:p>
    <w:p w14:paraId="14055AC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称取（0.5～5）g试样(准确至0.1mg)，置于100mL容量瓶中，用0.18mol/L三氯乙酸稀释至100g。试样的数量取决于试样中柠檬酸的浓度，在分析前将试样稀释到100μg/mL～400μg/mL的浓度。</w:t>
      </w:r>
    </w:p>
    <w:p w14:paraId="2C783D3D">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13.4 分析步骤</w:t>
      </w:r>
    </w:p>
    <w:p w14:paraId="1BD228C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配制柠檬酸浓度为0μg/mL，50μg/mL，100μg/mL，200μg/mL，300μg/mL及500μg/mL的0.18mol/L三氯乙酸标准溶液，用于标准曲线的制作；</w:t>
      </w:r>
    </w:p>
    <w:p w14:paraId="6873F99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用移液管准确吸取1mL试样和标准溶液置于不同的试管中；</w:t>
      </w:r>
    </w:p>
    <w:p w14:paraId="443A194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每支试管加入1.3mL吡啶和5.7mL乙酸酐，充分混合均匀；</w:t>
      </w:r>
    </w:p>
    <w:p w14:paraId="03E7837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然后立即把试管放在水浴中，在30min后，颜色变化完成。再在室温下稳定30min，用分光光度计测量其在420nm处的吸光度。用0μg/mL柠檬酸标准溶液作为参照物；</w:t>
      </w:r>
    </w:p>
    <w:p w14:paraId="63AB568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作标准曲线并根据试样的吸光度得出其柠檬酸浓度。对于每一组分析都应该做一个空白木材试样的分析。</w:t>
      </w:r>
    </w:p>
    <w:p w14:paraId="3F2455C2">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13.5 计算</w:t>
      </w:r>
    </w:p>
    <w:p w14:paraId="6FFADAF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试样中柠檬酸</w:t>
      </w:r>
      <w:r>
        <w:rPr>
          <w:rFonts w:hint="eastAsia" w:ascii="Times New Roman" w:hAnsi="Times New Roman" w:eastAsiaTheme="minorEastAsia"/>
          <w:color w:val="000000" w:themeColor="text1"/>
          <w:lang w:eastAsia="zh-CN"/>
          <w14:textFill>
            <w14:solidFill>
              <w14:schemeClr w14:val="tx1"/>
            </w14:solidFill>
          </w14:textFill>
        </w:rPr>
        <w:t>有效成分</w:t>
      </w:r>
      <w:r>
        <w:rPr>
          <w:rFonts w:hint="eastAsia" w:ascii="Times New Roman" w:hAnsi="Times New Roman" w:eastAsiaTheme="minorEastAsia"/>
          <w:color w:val="000000" w:themeColor="text1"/>
          <w14:textFill>
            <w14:solidFill>
              <w14:schemeClr w14:val="tx1"/>
            </w14:solidFill>
          </w14:textFill>
        </w:rPr>
        <w:t>含量，以C6H4O7计，数值以%表示，按式（12）计算：</w:t>
      </w:r>
    </w:p>
    <w:p w14:paraId="05AE9690">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W=c×(9.79 × 10</w:t>
      </w:r>
      <w:r>
        <w:rPr>
          <w:rFonts w:hint="eastAsia" w:ascii="Times New Roman" w:hAnsi="Times New Roman" w:eastAsiaTheme="minorEastAsia"/>
          <w:color w:val="000000" w:themeColor="text1"/>
          <w:vertAlign w:val="superscript"/>
          <w14:textFill>
            <w14:solidFill>
              <w14:schemeClr w14:val="tx1"/>
            </w14:solidFill>
          </w14:textFill>
        </w:rPr>
        <w:t>-5</w:t>
      </w:r>
      <w:r>
        <w:rPr>
          <w:rFonts w:hint="eastAsia" w:ascii="Times New Roman" w:hAnsi="Times New Roman" w:eastAsiaTheme="minorEastAsia"/>
          <w:color w:val="000000" w:themeColor="text1"/>
          <w14:textFill>
            <w14:solidFill>
              <w14:schemeClr w14:val="tx1"/>
            </w14:solidFill>
          </w14:textFill>
        </w:rPr>
        <w:t>)×100/M…………………………………………（12）</w:t>
      </w:r>
    </w:p>
    <w:p w14:paraId="15D2D69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式中：   </w:t>
      </w:r>
    </w:p>
    <w:p w14:paraId="547E8B1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 W——试样中C6H4O7含量，% ；</w:t>
      </w:r>
    </w:p>
    <w:p w14:paraId="15AAA1F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c——柠檬酸(C6H8O7)浓度，单位为微克每毫升（µg/mL）；     </w:t>
      </w:r>
    </w:p>
    <w:p w14:paraId="4E1515F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 M——试样质量，单位为克（g）；</w:t>
      </w:r>
    </w:p>
    <w:p w14:paraId="19F8814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9.79 × 10</w:t>
      </w:r>
      <w:r>
        <w:rPr>
          <w:rFonts w:hint="eastAsia" w:ascii="Times New Roman" w:hAnsi="Times New Roman" w:eastAsiaTheme="minorEastAsia"/>
          <w:color w:val="000000" w:themeColor="text1"/>
          <w:vertAlign w:val="superscript"/>
          <w14:textFill>
            <w14:solidFill>
              <w14:schemeClr w14:val="tx1"/>
            </w14:solidFill>
          </w14:textFill>
        </w:rPr>
        <w:t>-5</w:t>
      </w:r>
      <w:r>
        <w:rPr>
          <w:rFonts w:hint="eastAsia" w:ascii="Times New Roman" w:hAnsi="Times New Roman" w:eastAsiaTheme="minorEastAsia"/>
          <w:color w:val="000000" w:themeColor="text1"/>
          <w14:textFill>
            <w14:solidFill>
              <w14:schemeClr w14:val="tx1"/>
            </w14:solidFill>
          </w14:textFill>
        </w:rPr>
        <w:t>——换算系数。</w:t>
      </w:r>
    </w:p>
    <w:p w14:paraId="6D83F40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若以木材中柠檬酸载药量R （kg/m3）表示，按式（13）计算：</w:t>
      </w:r>
    </w:p>
    <w:p w14:paraId="7A369B91">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R= W×d/100…………………………………………（13）</w:t>
      </w:r>
    </w:p>
    <w:p w14:paraId="1BFB0BD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09018B2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W——木材试样中C6H4O7的含量，% ；  </w:t>
      </w:r>
    </w:p>
    <w:p w14:paraId="1B430C9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d——木材试样密度，单位为千克每立方米（kg/m3）。</w:t>
      </w:r>
    </w:p>
    <w:p w14:paraId="7645C42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bookmarkStart w:id="243" w:name="_Toc113433772"/>
      <w:bookmarkStart w:id="244" w:name="_Toc113932446"/>
      <w:bookmarkStart w:id="245" w:name="_Toc125448490"/>
      <w:bookmarkStart w:id="246" w:name="_Toc113868797"/>
      <w:bookmarkStart w:id="247" w:name="_Toc114902064"/>
      <w:bookmarkStart w:id="248" w:name="_Toc125444230"/>
      <w:bookmarkStart w:id="249" w:name="_Toc114890153"/>
      <w:bookmarkStart w:id="250" w:name="_Toc114278691"/>
      <w:bookmarkStart w:id="251" w:name="_Toc113871033"/>
      <w:bookmarkStart w:id="252" w:name="_Toc114976787"/>
      <w:bookmarkStart w:id="253" w:name="_Toc114988888"/>
      <w:bookmarkStart w:id="254" w:name="_Toc114976855"/>
      <w:bookmarkStart w:id="255" w:name="_Toc114890309"/>
      <w:bookmarkStart w:id="256" w:name="_Toc113868723"/>
      <w:bookmarkStart w:id="257" w:name="_Toc125444398"/>
      <w:bookmarkStart w:id="258" w:name="_Toc114988803"/>
      <w:bookmarkStart w:id="259" w:name="_Toc113418214"/>
      <w:bookmarkStart w:id="260" w:name="_Toc114472344"/>
      <w:bookmarkStart w:id="261" w:name="_Toc125444458"/>
      <w:r>
        <w:rPr>
          <w:rFonts w:hint="eastAsia" w:ascii="Times New Roman" w:hAnsi="Times New Roman" w:eastAsiaTheme="minorEastAsia"/>
          <w:color w:val="000000" w:themeColor="text1"/>
          <w14:textFill>
            <w14:solidFill>
              <w14:schemeClr w14:val="tx1"/>
            </w14:solidFill>
          </w14:textFill>
        </w:rPr>
        <w:t>取两次平行测定的算术平均值为测定结果，两次平行测定结果之差不大于0.2%。</w:t>
      </w:r>
    </w:p>
    <w:p w14:paraId="6D83162F">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bookmarkStart w:id="262" w:name="_Toc125520538"/>
      <w:bookmarkStart w:id="263" w:name="_Toc167096323"/>
      <w:bookmarkStart w:id="264" w:name="_Toc125520629"/>
      <w:bookmarkStart w:id="265" w:name="_Toc125598203"/>
      <w:r>
        <w:rPr>
          <w:rFonts w:hint="eastAsia" w:ascii="Times New Roman" w:hAnsi="Times New Roman"/>
          <w:color w:val="000000" w:themeColor="text1"/>
          <w14:textFill>
            <w14:solidFill>
              <w14:schemeClr w14:val="tx1"/>
            </w14:solidFill>
          </w14:textFill>
        </w:rPr>
        <w:t>ACQ防腐剂中DDAC(BAC)的测定</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8F6F964">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14.1试剂</w:t>
      </w:r>
    </w:p>
    <w:p w14:paraId="15CA55F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（1）0.0025mol/L的四苯硼钠溶液：称取0.865g四苯硼钠，用蒸馏水溶解，然后转移至1000mL的容量瓶中，并用蒸馏水稀释至刻度；</w:t>
      </w:r>
    </w:p>
    <w:p w14:paraId="0E506FA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（2）0.1%的2′,7′-二氯荧光黄指示剂溶液：将0.1g 2′,7′-二氯荧光黄溶解在100 mL异丙醇中；</w:t>
      </w:r>
    </w:p>
    <w:p w14:paraId="3ED8E0E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（3）0.004mol/L的海明1622溶液：在105℃将海明1622烘至恒重，然后称取1.75g～1.85g(准确至0.1 mg ) 用蒸馏水溶解，转移到容量瓶中并稀释至1000mL；</w:t>
      </w:r>
    </w:p>
    <w:p w14:paraId="213868A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（4）20%的磷酸溶液;</w:t>
      </w:r>
    </w:p>
    <w:p w14:paraId="0C131EF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（5）四苯硼钠溶液的标定：吸取10.00 mL海明1622溶液，置于125mL的锥形瓶中，加入25mL蒸馏水和7滴2′,7′-二氯荧光黄指示剂溶液，用四苯硼钠溶液慢慢滴定至溶液呈柠檬绿色时即为终点，通常在终点前有沉淀出现。</w:t>
      </w:r>
    </w:p>
    <w:p w14:paraId="5496C257">
      <w:pPr>
        <w:pStyle w:val="58"/>
        <w:numPr>
          <w:ilvl w:val="2"/>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14.2 分析步骤</w:t>
      </w:r>
    </w:p>
    <w:p w14:paraId="36AA65B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称取2 g（精确到0.1 mg）试样放进125mL的锥形瓶中，加入25mL蒸馏水，滴入20%的磷酸溶液，将溶液中和至pH≈7，加14滴2′,7′-二氯荧光黄指示剂溶液，该溶液将呈桃红色。通过溶液颜色从深蓝色变为带有沉淀的浅蓝色来判断。pH值应该用pH试纸来检测，以确保溶液已经中和，避免加入过量的酸；</w:t>
      </w:r>
    </w:p>
    <w:p w14:paraId="420BE1D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用四苯硼钠溶液滴定至出现柠檬绿色，表明已到终点，记下所用四苯硼钠（STPB）的体积（mL）。</w:t>
      </w:r>
    </w:p>
    <w:p w14:paraId="5CE4955A">
      <w:pPr>
        <w:pStyle w:val="58"/>
        <w:numPr>
          <w:ilvl w:val="2"/>
          <w:numId w:val="0"/>
        </w:numPr>
        <w:spacing w:before="156" w:after="156"/>
        <w:ind w:left="14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14.3 计算</w:t>
      </w:r>
    </w:p>
    <w:p w14:paraId="4842952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海明1622标准溶液浓度c1 按式（14）计算： </w:t>
      </w:r>
    </w:p>
    <w:p w14:paraId="3D60015C">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 c1= m/448.1…………………………………………（14）</w:t>
      </w:r>
    </w:p>
    <w:p w14:paraId="2720EF4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3587595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c1——海明1622标准溶液浓度,单位为摩尔每升（mol/L）；</w:t>
      </w:r>
    </w:p>
    <w:p w14:paraId="247C534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m——海明1622质量，单位为克(g)；</w:t>
      </w:r>
    </w:p>
    <w:p w14:paraId="509476E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448.1——海明1622的摩尔质量，单位为克(g)。</w:t>
      </w:r>
    </w:p>
    <w:p w14:paraId="6AA181A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四苯硼钠浓度c2按式（15）计算：</w:t>
      </w:r>
    </w:p>
    <w:p w14:paraId="50F71345">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c2= c1×V1/V2…………………………………………（15）</w:t>
      </w:r>
    </w:p>
    <w:p w14:paraId="31AB1BB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bookmarkStart w:id="266" w:name="_Toc114278692"/>
      <w:r>
        <w:rPr>
          <w:rFonts w:hint="eastAsia" w:ascii="Times New Roman" w:hAnsi="Times New Roman" w:eastAsiaTheme="minorEastAsia"/>
          <w:color w:val="000000" w:themeColor="text1"/>
          <w14:textFill>
            <w14:solidFill>
              <w14:schemeClr w14:val="tx1"/>
            </w14:solidFill>
          </w14:textFill>
        </w:rPr>
        <w:t>式中：</w:t>
      </w:r>
      <w:bookmarkEnd w:id="266"/>
    </w:p>
    <w:p w14:paraId="0C538A5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c2——四苯硼钠溶液的浓度，单位为摩尔每升（mol/L）；</w:t>
      </w:r>
    </w:p>
    <w:p w14:paraId="7BEFB27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c1——海明1622标准溶液的浓度，单位为摩尔每升（mol/L）；</w:t>
      </w:r>
    </w:p>
    <w:p w14:paraId="359DED7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V1——滴定时吸取海明1622标准溶液的体积，单位为毫升（mL）；</w:t>
      </w:r>
    </w:p>
    <w:p w14:paraId="06AC130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V2——滴定所用四苯硼钠溶液的体积，单位为毫升（mL）。</w:t>
      </w:r>
    </w:p>
    <w:p w14:paraId="1261AAE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w:t>
      </w:r>
      <w:r>
        <w:rPr>
          <w:rFonts w:hint="eastAsia" w:ascii="Times New Roman" w:hAnsi="Times New Roman" w:eastAsiaTheme="minorEastAsia"/>
          <w:color w:val="000000" w:themeColor="text1"/>
          <w:lang w:eastAsia="zh-CN"/>
          <w14:textFill>
            <w14:solidFill>
              <w14:schemeClr w14:val="tx1"/>
            </w14:solidFill>
          </w14:textFill>
        </w:rPr>
        <w:t>有效成分</w:t>
      </w:r>
      <w:r>
        <w:rPr>
          <w:rFonts w:hint="eastAsia" w:ascii="Times New Roman" w:hAnsi="Times New Roman" w:eastAsiaTheme="minorEastAsia"/>
          <w:color w:val="000000" w:themeColor="text1"/>
          <w14:textFill>
            <w14:solidFill>
              <w14:schemeClr w14:val="tx1"/>
            </w14:solidFill>
          </w14:textFill>
        </w:rPr>
        <w:t xml:space="preserve">二癸基二甲基氯化铵（DDAC）或十二烷基苄基二甲基氯化铵(BAC)的含量W，以DDAC或BAC计，数值以%表示，按式（16）计算： </w:t>
      </w:r>
    </w:p>
    <w:p w14:paraId="47E58FAB">
      <w:pPr>
        <w:pStyle w:val="44"/>
        <w:numPr>
          <w:ilvl w:val="0"/>
          <w:numId w:val="0"/>
        </w:numPr>
        <w:autoSpaceDE/>
        <w:autoSpaceDN/>
        <w:ind w:firstLine="420" w:firstLineChars="200"/>
        <w:jc w:val="right"/>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W=V × c×Mw/10M…………………………………………（16）</w:t>
      </w:r>
    </w:p>
    <w:p w14:paraId="4CC57EB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4F9B2C6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 ——试样中DDAC（BAC）的含量，% ；</w:t>
      </w:r>
    </w:p>
    <w:p w14:paraId="0F02C01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 ——滴定所用四苯硼钠溶液的体积，单位为毫升（mL）；</w:t>
      </w:r>
    </w:p>
    <w:p w14:paraId="7790CC7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C——四苯硼钠溶液的浓度，单位为摩尔每升（mol/L）；</w:t>
      </w:r>
    </w:p>
    <w:p w14:paraId="09009FF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Mw ——季铵盐分子质量，DDAC=362.1，BBAC=339.5</w:t>
      </w:r>
    </w:p>
    <w:p w14:paraId="78066D9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 ——试样质量，单位为克（g）。</w:t>
      </w:r>
    </w:p>
    <w:p w14:paraId="29A670E1">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取两次平行测定的算术平均值为测定结果，两次平行测定结果之差不大于0.3%。</w:t>
      </w:r>
    </w:p>
    <w:p w14:paraId="71451E82">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电感耦合等离子体发射光谱</w:t>
      </w:r>
      <w:r>
        <w:rPr>
          <w:rFonts w:hint="eastAsia" w:ascii="Times New Roman" w:hAnsi="Times New Roman"/>
          <w:color w:val="000000" w:themeColor="text1"/>
          <w:lang w:val="en-US" w:eastAsia="zh-CN"/>
          <w14:textFill>
            <w14:solidFill>
              <w14:schemeClr w14:val="tx1"/>
            </w14:solidFill>
          </w14:textFill>
        </w:rPr>
        <w:t>法</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ICP-oes</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测CCA型防腐剂中铜铬砷硼</w:t>
      </w:r>
    </w:p>
    <w:p w14:paraId="03B058F7">
      <w:pPr>
        <w:pStyle w:val="44"/>
        <w:numPr>
          <w:ilvl w:val="1"/>
          <w:numId w:val="0"/>
        </w:numPr>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15.1 原理</w:t>
      </w:r>
    </w:p>
    <w:p w14:paraId="1F51B96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试样经稀释或消解后，由电感耦合等离子体发射光谱仪测定，以元素的特定谱线波长定性，待测元素谱线信号强度与元素浓度成正比进行定量分析。</w:t>
      </w:r>
    </w:p>
    <w:p w14:paraId="1D424457">
      <w:pPr>
        <w:pStyle w:val="44"/>
        <w:numPr>
          <w:ilvl w:val="0"/>
          <w:numId w:val="0"/>
        </w:numPr>
        <w:autoSpaceDE/>
        <w:autoSpaceDN/>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15.2 试剂和耗材</w:t>
      </w:r>
    </w:p>
    <w:p w14:paraId="12447F9F">
      <w:pPr>
        <w:pStyle w:val="44"/>
        <w:numPr>
          <w:ilvl w:val="0"/>
          <w:numId w:val="0"/>
        </w:numPr>
        <w:autoSpaceDE/>
        <w:autoSpaceDN/>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除非另有说明，本方法所用试剂均为优级纯，水为GB/T 6682规定的一级水。</w:t>
      </w:r>
    </w:p>
    <w:p w14:paraId="68E0AB36">
      <w:pPr>
        <w:pStyle w:val="44"/>
        <w:keepNext w:val="0"/>
        <w:keepLines w:val="0"/>
        <w:pageBreakBefore w:val="0"/>
        <w:widowControl/>
        <w:numPr>
          <w:ilvl w:val="0"/>
          <w:numId w:val="8"/>
        </w:numPr>
        <w:kinsoku/>
        <w:wordWrap/>
        <w:overflowPunct/>
        <w:topLinePunct w:val="0"/>
        <w:autoSpaceDE/>
        <w:autoSpaceDN/>
        <w:bidi w:val="0"/>
        <w:adjustRightInd/>
        <w:snapToGrid/>
        <w:ind w:left="0" w:firstLine="420" w:firstLineChars="200"/>
        <w:textAlignment w:val="auto"/>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硝酸（HNO3）：优级纯或更高纯度。</w:t>
      </w:r>
    </w:p>
    <w:p w14:paraId="0E151627">
      <w:pPr>
        <w:pStyle w:val="44"/>
        <w:keepNext w:val="0"/>
        <w:keepLines w:val="0"/>
        <w:pageBreakBefore w:val="0"/>
        <w:widowControl/>
        <w:numPr>
          <w:ilvl w:val="0"/>
          <w:numId w:val="8"/>
        </w:numPr>
        <w:kinsoku/>
        <w:wordWrap/>
        <w:overflowPunct/>
        <w:topLinePunct w:val="0"/>
        <w:autoSpaceDE/>
        <w:autoSpaceDN/>
        <w:bidi w:val="0"/>
        <w:adjustRightInd/>
        <w:snapToGrid/>
        <w:ind w:left="0" w:firstLine="420" w:firstLineChars="200"/>
        <w:textAlignment w:val="auto"/>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高氯酸（HClO4）：优级纯或更高级纯。</w:t>
      </w:r>
    </w:p>
    <w:p w14:paraId="59FFA059">
      <w:pPr>
        <w:pStyle w:val="44"/>
        <w:keepNext w:val="0"/>
        <w:keepLines w:val="0"/>
        <w:pageBreakBefore w:val="0"/>
        <w:widowControl/>
        <w:numPr>
          <w:ilvl w:val="0"/>
          <w:numId w:val="8"/>
        </w:numPr>
        <w:kinsoku/>
        <w:wordWrap/>
        <w:overflowPunct/>
        <w:topLinePunct w:val="0"/>
        <w:autoSpaceDE/>
        <w:autoSpaceDN/>
        <w:bidi w:val="0"/>
        <w:adjustRightInd/>
        <w:snapToGrid/>
        <w:ind w:left="0" w:firstLine="420" w:firstLineChars="200"/>
        <w:textAlignment w:val="auto"/>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氩气（Ar）：氩气（≥99.995%）或液氩。</w:t>
      </w:r>
    </w:p>
    <w:p w14:paraId="3EB7496E">
      <w:pPr>
        <w:pStyle w:val="44"/>
        <w:keepNext w:val="0"/>
        <w:keepLines w:val="0"/>
        <w:pageBreakBefore w:val="0"/>
        <w:widowControl/>
        <w:numPr>
          <w:ilvl w:val="0"/>
          <w:numId w:val="8"/>
        </w:numPr>
        <w:kinsoku/>
        <w:wordWrap/>
        <w:overflowPunct/>
        <w:topLinePunct w:val="0"/>
        <w:autoSpaceDE/>
        <w:autoSpaceDN/>
        <w:bidi w:val="0"/>
        <w:adjustRightInd/>
        <w:snapToGrid/>
        <w:ind w:left="0" w:firstLine="420" w:firstLineChars="200"/>
        <w:textAlignment w:val="auto"/>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双氧水（H2O2）：优级纯或更高纯度。</w:t>
      </w:r>
    </w:p>
    <w:p w14:paraId="1888C54C">
      <w:pPr>
        <w:pStyle w:val="44"/>
        <w:keepNext w:val="0"/>
        <w:keepLines w:val="0"/>
        <w:pageBreakBefore w:val="0"/>
        <w:widowControl/>
        <w:numPr>
          <w:ilvl w:val="0"/>
          <w:numId w:val="8"/>
        </w:numPr>
        <w:kinsoku/>
        <w:wordWrap/>
        <w:overflowPunct/>
        <w:topLinePunct w:val="0"/>
        <w:autoSpaceDE/>
        <w:autoSpaceDN/>
        <w:bidi w:val="0"/>
        <w:adjustRightInd/>
        <w:snapToGrid/>
        <w:ind w:left="0" w:firstLine="420" w:firstLineChars="200"/>
        <w:textAlignment w:val="auto"/>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硝酸溶液（5+95）：取50mL硝酸，缓慢加入950mL水中，混匀。</w:t>
      </w:r>
    </w:p>
    <w:p w14:paraId="5205C143">
      <w:pPr>
        <w:pStyle w:val="44"/>
        <w:keepNext w:val="0"/>
        <w:keepLines w:val="0"/>
        <w:pageBreakBefore w:val="0"/>
        <w:widowControl/>
        <w:numPr>
          <w:ilvl w:val="0"/>
          <w:numId w:val="8"/>
        </w:numPr>
        <w:kinsoku/>
        <w:wordWrap/>
        <w:overflowPunct/>
        <w:topLinePunct w:val="0"/>
        <w:autoSpaceDE/>
        <w:autoSpaceDN/>
        <w:bidi w:val="0"/>
        <w:adjustRightInd/>
        <w:snapToGrid/>
        <w:ind w:left="0" w:firstLine="420" w:firstLineChars="200"/>
        <w:textAlignment w:val="auto"/>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硝酸-高氯酸（10+1）：取10mL高氯酸，缓慢加入100mL硝酸中，混匀</w:t>
      </w:r>
    </w:p>
    <w:p w14:paraId="41D3FA36">
      <w:pPr>
        <w:pStyle w:val="44"/>
        <w:numPr>
          <w:ilvl w:val="0"/>
          <w:numId w:val="0"/>
        </w:numPr>
        <w:autoSpaceDE/>
        <w:autoSpaceDN/>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15.3 标准品</w:t>
      </w:r>
    </w:p>
    <w:p w14:paraId="7C32BF6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（1）元素贮备液（1000mg/L或10000mg/L）：铜、铬、砷，采用经国家认证并授予标准物质证书的单元素或者多元素贮备液。</w:t>
      </w:r>
    </w:p>
    <w:p w14:paraId="41E5F82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（2）标准溶液的配制：精确吸取适量单元素或多元素混合标准贮备液，用硝酸溶液（5+95）逐级稀释配成混合标准溶液系列。</w:t>
      </w:r>
    </w:p>
    <w:p w14:paraId="2E6E0EA5">
      <w:pPr>
        <w:pStyle w:val="58"/>
        <w:numPr>
          <w:ilvl w:val="2"/>
          <w:numId w:val="0"/>
        </w:numPr>
        <w:spacing w:before="156" w:after="156"/>
        <w:rPr>
          <w:rFonts w:ascii="Times New Roman" w:hAnsi="Times New Roman" w:eastAsia="宋体"/>
          <w:color w:val="000000" w:themeColor="text1"/>
          <w:sz w:val="18"/>
          <w:szCs w:val="18"/>
          <w14:textFill>
            <w14:solidFill>
              <w14:schemeClr w14:val="tx1"/>
            </w14:solidFill>
          </w14:textFill>
        </w:rPr>
      </w:pPr>
      <w:bookmarkStart w:id="267" w:name="_Toc29104"/>
      <w:r>
        <w:rPr>
          <w:rFonts w:hint="eastAsia" w:ascii="Times New Roman" w:hAnsi="Times New Roman" w:eastAsia="宋体"/>
          <w:color w:val="000000" w:themeColor="text1"/>
          <w:sz w:val="18"/>
          <w:szCs w:val="18"/>
          <w14:textFill>
            <w14:solidFill>
              <w14:schemeClr w14:val="tx1"/>
            </w14:solidFill>
          </w14:textFill>
        </w:rPr>
        <w:t>注：依据样品消解溶液中元素质量浓度水平，适当调整标准系列中各元素浓度范围。</w:t>
      </w:r>
      <w:bookmarkEnd w:id="267"/>
      <w:bookmarkStart w:id="268" w:name="_Toc14080"/>
    </w:p>
    <w:p w14:paraId="4F3489EF">
      <w:pPr>
        <w:pStyle w:val="58"/>
        <w:numPr>
          <w:ilvl w:val="2"/>
          <w:numId w:val="0"/>
        </w:numPr>
        <w:spacing w:before="156" w:after="156"/>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15.4仪器和设备</w:t>
      </w:r>
      <w:bookmarkEnd w:id="268"/>
    </w:p>
    <w:p w14:paraId="2D9C864B">
      <w:pPr>
        <w:pStyle w:val="44"/>
        <w:numPr>
          <w:ilvl w:val="0"/>
          <w:numId w:val="9"/>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电感耦合等离子体发射光谱仪（ICP-OES）。</w:t>
      </w:r>
    </w:p>
    <w:p w14:paraId="68D8B75F">
      <w:pPr>
        <w:pStyle w:val="44"/>
        <w:numPr>
          <w:ilvl w:val="0"/>
          <w:numId w:val="9"/>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天平：感量为0.1mg和1mg。</w:t>
      </w:r>
    </w:p>
    <w:p w14:paraId="5CFFA654">
      <w:pPr>
        <w:pStyle w:val="44"/>
        <w:numPr>
          <w:ilvl w:val="0"/>
          <w:numId w:val="9"/>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微波消解仪</w:t>
      </w:r>
    </w:p>
    <w:p w14:paraId="569CD728">
      <w:pPr>
        <w:pStyle w:val="44"/>
        <w:numPr>
          <w:ilvl w:val="0"/>
          <w:numId w:val="9"/>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鼓风电热干燥箱。</w:t>
      </w:r>
    </w:p>
    <w:p w14:paraId="59F6EFEC">
      <w:pPr>
        <w:pStyle w:val="44"/>
        <w:numPr>
          <w:ilvl w:val="0"/>
          <w:numId w:val="9"/>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控温电热板</w:t>
      </w:r>
    </w:p>
    <w:p w14:paraId="715F1B21">
      <w:pPr>
        <w:pStyle w:val="44"/>
        <w:numPr>
          <w:ilvl w:val="0"/>
          <w:numId w:val="9"/>
        </w:numPr>
        <w:autoSpaceDE/>
        <w:autoSpaceDN/>
        <w:ind w:firstLine="420" w:firstLineChars="200"/>
        <w:rPr>
          <w:rFonts w:ascii="Times New Roman" w:hAnsi="Times New Roman" w:cs="黑体"/>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样品粉碎机</w:t>
      </w:r>
      <w:bookmarkStart w:id="269" w:name="_Toc8141"/>
    </w:p>
    <w:p w14:paraId="68A0BE7E">
      <w:pPr>
        <w:pStyle w:val="44"/>
        <w:numPr>
          <w:ilvl w:val="1"/>
          <w:numId w:val="0"/>
        </w:numPr>
        <w:autoSpaceDE/>
        <w:autoSpaceDN/>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15.5 分析步骤</w:t>
      </w:r>
      <w:bookmarkEnd w:id="269"/>
    </w:p>
    <w:p w14:paraId="79B8CB33">
      <w:pPr>
        <w:pStyle w:val="44"/>
        <w:numPr>
          <w:ilvl w:val="1"/>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15.5.1 试样制备</w:t>
      </w:r>
    </w:p>
    <w:p w14:paraId="4158652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试样制备参照SB/T 10405 《防腐木材化学分析前的湿灰化方法》</w:t>
      </w:r>
    </w:p>
    <w:p w14:paraId="772D6C4C">
      <w:pPr>
        <w:pStyle w:val="44"/>
        <w:numPr>
          <w:ilvl w:val="1"/>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15.5.2 试样消解</w:t>
      </w:r>
    </w:p>
    <w:p w14:paraId="24A0855D">
      <w:pPr>
        <w:pStyle w:val="44"/>
        <w:numPr>
          <w:ilvl w:val="0"/>
          <w:numId w:val="0"/>
        </w:numPr>
        <w:autoSpaceDE/>
        <w:autoSpaceDN/>
        <w:ind w:firstLine="420" w:firstLineChars="200"/>
        <w:rPr>
          <w:rFonts w:ascii="Times New Roman" w:hAnsi="Times New Roman" w:eastAsia="宋体"/>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试样消解参照SB/T 10405 《防腐木材化学分析前的湿灰化方法》</w:t>
      </w:r>
    </w:p>
    <w:p w14:paraId="3D290E09">
      <w:pPr>
        <w:pStyle w:val="58"/>
        <w:numPr>
          <w:ilvl w:val="0"/>
          <w:numId w:val="0"/>
        </w:numPr>
        <w:spacing w:before="156" w:after="156"/>
        <w:rPr>
          <w:rFonts w:ascii="Times New Roman" w:hAnsi="Times New Roman"/>
          <w:color w:val="000000" w:themeColor="text1"/>
          <w14:textFill>
            <w14:solidFill>
              <w14:schemeClr w14:val="tx1"/>
            </w14:solidFill>
          </w14:textFill>
        </w:rPr>
      </w:pPr>
      <w:bookmarkStart w:id="270" w:name="_Toc15770"/>
      <w:r>
        <w:rPr>
          <w:rFonts w:hint="eastAsia" w:ascii="Times New Roman" w:hAnsi="Times New Roman"/>
          <w:color w:val="000000" w:themeColor="text1"/>
          <w14:textFill>
            <w14:solidFill>
              <w14:schemeClr w14:val="tx1"/>
            </w14:solidFill>
          </w14:textFill>
        </w:rPr>
        <w:t>15.6 仪器参考条件</w:t>
      </w:r>
      <w:bookmarkEnd w:id="270"/>
    </w:p>
    <w:tbl>
      <w:tblPr>
        <w:tblStyle w:val="20"/>
        <w:tblW w:w="5662" w:type="dxa"/>
        <w:jc w:val="center"/>
        <w:tblLayout w:type="autofit"/>
        <w:tblCellMar>
          <w:top w:w="0" w:type="dxa"/>
          <w:left w:w="0" w:type="dxa"/>
          <w:bottom w:w="0" w:type="dxa"/>
          <w:right w:w="0" w:type="dxa"/>
        </w:tblCellMar>
      </w:tblPr>
      <w:tblGrid>
        <w:gridCol w:w="2724"/>
        <w:gridCol w:w="2938"/>
      </w:tblGrid>
      <w:tr w14:paraId="6C931EBC">
        <w:trPr>
          <w:trHeight w:val="285" w:hRule="atLeast"/>
          <w:jc w:val="center"/>
        </w:trPr>
        <w:tc>
          <w:tcPr>
            <w:tcW w:w="27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B0C538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参数名称</w:t>
            </w:r>
          </w:p>
        </w:tc>
        <w:tc>
          <w:tcPr>
            <w:tcW w:w="29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2ED16D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设定值</w:t>
            </w:r>
          </w:p>
        </w:tc>
      </w:tr>
      <w:tr w14:paraId="1D46D821">
        <w:trPr>
          <w:trHeight w:val="285" w:hRule="atLeast"/>
          <w:jc w:val="center"/>
        </w:trPr>
        <w:tc>
          <w:tcPr>
            <w:tcW w:w="27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30EF53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高频频率</w:t>
            </w:r>
          </w:p>
        </w:tc>
        <w:tc>
          <w:tcPr>
            <w:tcW w:w="29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FE19CB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27.12 MHz</w:t>
            </w:r>
          </w:p>
        </w:tc>
      </w:tr>
      <w:tr w14:paraId="22B5E517">
        <w:trPr>
          <w:trHeight w:val="285" w:hRule="atLeast"/>
          <w:jc w:val="center"/>
        </w:trPr>
        <w:tc>
          <w:tcPr>
            <w:tcW w:w="27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1DE18D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高频功率</w:t>
            </w:r>
          </w:p>
        </w:tc>
        <w:tc>
          <w:tcPr>
            <w:tcW w:w="29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6AF7E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1.20 kW</w:t>
            </w:r>
          </w:p>
        </w:tc>
      </w:tr>
      <w:tr w14:paraId="2C77A829">
        <w:trPr>
          <w:trHeight w:val="285" w:hRule="atLeast"/>
          <w:jc w:val="center"/>
        </w:trPr>
        <w:tc>
          <w:tcPr>
            <w:tcW w:w="27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7225A5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等离子体气</w:t>
            </w:r>
          </w:p>
        </w:tc>
        <w:tc>
          <w:tcPr>
            <w:tcW w:w="29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BF1207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10.0 L/min</w:t>
            </w:r>
          </w:p>
        </w:tc>
      </w:tr>
      <w:tr w14:paraId="3F8E580B">
        <w:trPr>
          <w:trHeight w:val="285" w:hRule="atLeast"/>
          <w:jc w:val="center"/>
        </w:trPr>
        <w:tc>
          <w:tcPr>
            <w:tcW w:w="27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57AFD7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辅助气</w:t>
            </w:r>
          </w:p>
        </w:tc>
        <w:tc>
          <w:tcPr>
            <w:tcW w:w="29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A59BC0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0.60 L/min</w:t>
            </w:r>
          </w:p>
        </w:tc>
      </w:tr>
      <w:tr w14:paraId="0772D8A8">
        <w:trPr>
          <w:trHeight w:val="285" w:hRule="atLeast"/>
          <w:jc w:val="center"/>
        </w:trPr>
        <w:tc>
          <w:tcPr>
            <w:tcW w:w="27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2D4642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载气</w:t>
            </w:r>
          </w:p>
        </w:tc>
        <w:tc>
          <w:tcPr>
            <w:tcW w:w="29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912206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0.70 L/min</w:t>
            </w:r>
          </w:p>
        </w:tc>
      </w:tr>
      <w:tr w14:paraId="7C7551B9">
        <w:trPr>
          <w:trHeight w:val="285" w:hRule="atLeast"/>
          <w:jc w:val="center"/>
        </w:trPr>
        <w:tc>
          <w:tcPr>
            <w:tcW w:w="27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BEE5D7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等离子体炬管</w:t>
            </w:r>
          </w:p>
        </w:tc>
        <w:tc>
          <w:tcPr>
            <w:tcW w:w="29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283FC5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Mini炬管</w:t>
            </w:r>
          </w:p>
        </w:tc>
      </w:tr>
      <w:tr w14:paraId="56C25CEC">
        <w:trPr>
          <w:trHeight w:val="285" w:hRule="atLeast"/>
          <w:jc w:val="center"/>
        </w:trPr>
        <w:tc>
          <w:tcPr>
            <w:tcW w:w="27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BCD338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观测方向</w:t>
            </w:r>
          </w:p>
        </w:tc>
        <w:tc>
          <w:tcPr>
            <w:tcW w:w="29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3E655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轴向</w:t>
            </w:r>
          </w:p>
        </w:tc>
      </w:tr>
      <w:tr w14:paraId="32050B94">
        <w:trPr>
          <w:trHeight w:val="285" w:hRule="atLeast"/>
          <w:jc w:val="center"/>
        </w:trPr>
        <w:tc>
          <w:tcPr>
            <w:tcW w:w="27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973AAE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雾化器类型</w:t>
            </w:r>
          </w:p>
        </w:tc>
        <w:tc>
          <w:tcPr>
            <w:tcW w:w="29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570C36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同心雾化器</w:t>
            </w:r>
          </w:p>
        </w:tc>
      </w:tr>
      <w:tr w14:paraId="7199F4EC">
        <w:trPr>
          <w:trHeight w:val="99" w:hRule="atLeast"/>
          <w:jc w:val="center"/>
        </w:trPr>
        <w:tc>
          <w:tcPr>
            <w:tcW w:w="27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699F95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雾室类型</w:t>
            </w:r>
          </w:p>
        </w:tc>
        <w:tc>
          <w:tcPr>
            <w:tcW w:w="29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BFF70D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旋流雾室</w:t>
            </w:r>
          </w:p>
        </w:tc>
      </w:tr>
    </w:tbl>
    <w:p w14:paraId="3A5600BD">
      <w:pPr>
        <w:pStyle w:val="58"/>
        <w:numPr>
          <w:ilvl w:val="0"/>
          <w:numId w:val="0"/>
        </w:numPr>
        <w:spacing w:before="156" w:after="156"/>
        <w:rPr>
          <w:rFonts w:ascii="Times New Roman" w:hAnsi="Times New Roman"/>
          <w:color w:val="000000" w:themeColor="text1"/>
          <w14:textFill>
            <w14:solidFill>
              <w14:schemeClr w14:val="tx1"/>
            </w14:solidFill>
          </w14:textFill>
        </w:rPr>
      </w:pPr>
      <w:bookmarkStart w:id="271" w:name="_Toc5185"/>
      <w:r>
        <w:rPr>
          <w:rFonts w:hint="eastAsia" w:ascii="Times New Roman" w:hAnsi="Times New Roman"/>
          <w:color w:val="000000" w:themeColor="text1"/>
          <w14:textFill>
            <w14:solidFill>
              <w14:schemeClr w14:val="tx1"/>
            </w14:solidFill>
          </w14:textFill>
        </w:rPr>
        <w:t>15.7 标准曲线的绘制</w:t>
      </w:r>
      <w:bookmarkEnd w:id="271"/>
    </w:p>
    <w:p w14:paraId="1067280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将混合标准溶液注入电感耦合等离子体发射光谱仪（ICP-OES）中，测定待测元素分析谱线的 强度信号响应值，以待测元素的浓度为横坐标，其分析谱线强度响应值为纵坐标，绘制标准曲线，线性相关系数须大于0.999。</w:t>
      </w:r>
    </w:p>
    <w:p w14:paraId="607683EE">
      <w:pPr>
        <w:pStyle w:val="58"/>
        <w:numPr>
          <w:ilvl w:val="0"/>
          <w:numId w:val="0"/>
        </w:numPr>
        <w:spacing w:before="156" w:after="156"/>
        <w:rPr>
          <w:rFonts w:ascii="Times New Roman" w:hAnsi="Times New Roman"/>
          <w:color w:val="000000" w:themeColor="text1"/>
          <w14:textFill>
            <w14:solidFill>
              <w14:schemeClr w14:val="tx1"/>
            </w14:solidFill>
          </w14:textFill>
        </w:rPr>
      </w:pPr>
      <w:bookmarkStart w:id="272" w:name="_Toc5655"/>
      <w:r>
        <w:rPr>
          <w:rFonts w:hint="eastAsia" w:ascii="Times New Roman" w:hAnsi="Times New Roman"/>
          <w:color w:val="000000" w:themeColor="text1"/>
          <w14:textFill>
            <w14:solidFill>
              <w14:schemeClr w14:val="tx1"/>
            </w14:solidFill>
          </w14:textFill>
        </w:rPr>
        <w:t>15.8 试样溶液的测定</w:t>
      </w:r>
      <w:bookmarkEnd w:id="272"/>
    </w:p>
    <w:p w14:paraId="3DB02BE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将空白溶液和试样溶液分别注入电感耦合等离子体发射光谱仪（ICP-OES），测定待测元素分析谱线强度的信号响应值，根据标准曲线得到消解液中待测元素的浓度。</w:t>
      </w:r>
    </w:p>
    <w:p w14:paraId="2A924DF0">
      <w:pPr>
        <w:pStyle w:val="58"/>
        <w:numPr>
          <w:ilvl w:val="0"/>
          <w:numId w:val="0"/>
        </w:numPr>
        <w:spacing w:before="156" w:after="156"/>
        <w:rPr>
          <w:rFonts w:ascii="Times New Roman" w:hAnsi="Times New Roman"/>
          <w:color w:val="000000" w:themeColor="text1"/>
          <w14:textFill>
            <w14:solidFill>
              <w14:schemeClr w14:val="tx1"/>
            </w14:solidFill>
          </w14:textFill>
        </w:rPr>
      </w:pPr>
      <w:bookmarkStart w:id="273" w:name="_Toc32102"/>
      <w:r>
        <w:rPr>
          <w:rFonts w:hint="eastAsia" w:ascii="Times New Roman" w:hAnsi="Times New Roman"/>
          <w:color w:val="000000" w:themeColor="text1"/>
          <w14:textFill>
            <w14:solidFill>
              <w14:schemeClr w14:val="tx1"/>
            </w14:solidFill>
          </w14:textFill>
        </w:rPr>
        <w:t>15.9 分析结果及计算</w:t>
      </w:r>
      <w:bookmarkEnd w:id="273"/>
    </w:p>
    <w:p w14:paraId="49C4A90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p>
    <w:p w14:paraId="1896791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试样中待测元素的含量按式（1</w:t>
      </w:r>
      <w:r>
        <w:rPr>
          <w:rFonts w:hint="eastAsia" w:ascii="Times New Roman" w:hAnsi="Times New Roman" w:eastAsiaTheme="minorEastAsia"/>
          <w:color w:val="000000" w:themeColor="text1"/>
          <w:lang w:val="en-US" w:eastAsia="zh-CN"/>
          <w14:textFill>
            <w14:solidFill>
              <w14:schemeClr w14:val="tx1"/>
            </w14:solidFill>
          </w14:textFill>
        </w:rPr>
        <w:t>7</w:t>
      </w:r>
      <w:r>
        <w:rPr>
          <w:rFonts w:hint="eastAsia" w:ascii="Times New Roman" w:hAnsi="Times New Roman" w:eastAsiaTheme="minorEastAsia"/>
          <w:color w:val="000000" w:themeColor="text1"/>
          <w14:textFill>
            <w14:solidFill>
              <w14:schemeClr w14:val="tx1"/>
            </w14:solidFill>
          </w14:textFill>
        </w:rPr>
        <w:t>）计算：</w:t>
      </w:r>
    </w:p>
    <w:p w14:paraId="3D305621">
      <w:pPr>
        <w:pStyle w:val="44"/>
        <w:numPr>
          <w:ilvl w:val="0"/>
          <w:numId w:val="0"/>
        </w:numPr>
        <w:autoSpaceDE/>
        <w:autoSpaceDN/>
        <w:ind w:firstLine="420" w:firstLineChars="200"/>
        <w:jc w:val="right"/>
        <w:rPr>
          <w:rFonts w:hint="eastAsia" w:ascii="Times New Roman" w:hAnsi="Times New Roman" w:eastAsiaTheme="minorEastAsia"/>
          <w:color w:val="000000" w:themeColor="text1"/>
          <w:lang w:eastAsia="zh-CN"/>
          <w14:textFill>
            <w14:solidFill>
              <w14:schemeClr w14:val="tx1"/>
            </w14:solidFill>
          </w14:textFill>
        </w:rPr>
      </w:pPr>
      <m:oMath>
        <m:r>
          <m:rPr>
            <m:sty m:val="p"/>
          </m:rPr>
          <w:rPr>
            <w:rFonts w:ascii="Times New Roman" w:hAnsi="Times New Roman" w:eastAsiaTheme="minorEastAsia"/>
            <w:color w:val="000000" w:themeColor="text1"/>
            <w14:textFill>
              <w14:solidFill>
                <w14:schemeClr w14:val="tx1"/>
              </w14:solidFill>
            </w14:textFill>
          </w:rPr>
          <m:t>W=</m:t>
        </m:r>
        <m:f>
          <m:fPr>
            <m:ctrlPr>
              <w:rPr>
                <w:rFonts w:ascii="DejaVu Math TeX Gyre" w:hAnsi="DejaVu Math TeX Gyre" w:eastAsiaTheme="minorEastAsia"/>
                <w:color w:val="000000" w:themeColor="text1"/>
                <w14:textFill>
                  <w14:solidFill>
                    <w14:schemeClr w14:val="tx1"/>
                  </w14:solidFill>
                </w14:textFill>
              </w:rPr>
            </m:ctrlPr>
          </m:fPr>
          <m:num>
            <m:r>
              <m:rPr>
                <m:sty m:val="p"/>
              </m:rPr>
              <w:rPr>
                <w:rFonts w:ascii="Times New Roman" w:hAnsi="Times New Roman" w:eastAsiaTheme="minorEastAsia"/>
                <w:color w:val="000000" w:themeColor="text1"/>
                <w14:textFill>
                  <w14:solidFill>
                    <w14:schemeClr w14:val="tx1"/>
                  </w14:solidFill>
                </w14:textFill>
              </w:rPr>
              <m:t>(ρ−</m:t>
            </m:r>
            <m:sSub>
              <m:sSubPr>
                <m:ctrlPr>
                  <w:rPr>
                    <w:rFonts w:ascii="DejaVu Math TeX Gyre" w:hAnsi="DejaVu Math TeX Gyre" w:eastAsiaTheme="minorEastAsia"/>
                    <w:color w:val="000000" w:themeColor="text1"/>
                    <w14:textFill>
                      <w14:solidFill>
                        <w14:schemeClr w14:val="tx1"/>
                      </w14:solidFill>
                    </w14:textFill>
                  </w:rPr>
                </m:ctrlPr>
              </m:sSubPr>
              <m:e>
                <m:r>
                  <m:rPr>
                    <m:sty m:val="p"/>
                  </m:rPr>
                  <w:rPr>
                    <w:rFonts w:ascii="Times New Roman" w:hAnsi="Times New Roman" w:eastAsiaTheme="minorEastAsia"/>
                    <w:color w:val="000000" w:themeColor="text1"/>
                    <w14:textFill>
                      <w14:solidFill>
                        <w14:schemeClr w14:val="tx1"/>
                      </w14:solidFill>
                    </w14:textFill>
                  </w:rPr>
                  <m:t>ρ</m:t>
                </m:r>
                <m:ctrlPr>
                  <w:rPr>
                    <w:rFonts w:ascii="DejaVu Math TeX Gyre" w:hAnsi="DejaVu Math TeX Gyre" w:eastAsiaTheme="minorEastAsia"/>
                    <w:color w:val="000000" w:themeColor="text1"/>
                    <w14:textFill>
                      <w14:solidFill>
                        <w14:schemeClr w14:val="tx1"/>
                      </w14:solidFill>
                    </w14:textFill>
                  </w:rPr>
                </m:ctrlPr>
              </m:e>
              <m:sub>
                <m:r>
                  <m:rPr>
                    <m:sty m:val="p"/>
                  </m:rPr>
                  <w:rPr>
                    <w:rFonts w:ascii="Times New Roman" w:hAnsi="Times New Roman" w:eastAsiaTheme="minorEastAsia"/>
                    <w:color w:val="000000" w:themeColor="text1"/>
                    <w14:textFill>
                      <w14:solidFill>
                        <w14:schemeClr w14:val="tx1"/>
                      </w14:solidFill>
                    </w14:textFill>
                  </w:rPr>
                  <m:t>0</m:t>
                </m:r>
                <m:ctrlPr>
                  <w:rPr>
                    <w:rFonts w:ascii="DejaVu Math TeX Gyre" w:hAnsi="DejaVu Math TeX Gyre" w:eastAsiaTheme="minorEastAsia"/>
                    <w:color w:val="000000" w:themeColor="text1"/>
                    <w14:textFill>
                      <w14:solidFill>
                        <w14:schemeClr w14:val="tx1"/>
                      </w14:solidFill>
                    </w14:textFill>
                  </w:rPr>
                </m:ctrlPr>
              </m:sub>
            </m:sSub>
            <m:r>
              <m:rPr>
                <m:sty m:val="p"/>
              </m:rPr>
              <w:rPr>
                <w:rFonts w:ascii="Times New Roman" w:hAnsi="Times New Roman" w:eastAsiaTheme="minorEastAsia"/>
                <w:color w:val="000000" w:themeColor="text1"/>
                <w14:textFill>
                  <w14:solidFill>
                    <w14:schemeClr w14:val="tx1"/>
                  </w14:solidFill>
                </w14:textFill>
              </w:rPr>
              <m:t>)×V×f</m:t>
            </m:r>
            <m:ctrlPr>
              <w:rPr>
                <w:rFonts w:ascii="DejaVu Math TeX Gyre" w:hAnsi="DejaVu Math TeX Gyre" w:eastAsiaTheme="minorEastAsia"/>
                <w:color w:val="000000" w:themeColor="text1"/>
                <w14:textFill>
                  <w14:solidFill>
                    <w14:schemeClr w14:val="tx1"/>
                  </w14:solidFill>
                </w14:textFill>
              </w:rPr>
            </m:ctrlPr>
          </m:num>
          <m:den>
            <m:r>
              <m:rPr>
                <m:sty m:val="p"/>
              </m:rPr>
              <w:rPr>
                <w:rFonts w:ascii="Times New Roman" w:hAnsi="Times New Roman" w:eastAsiaTheme="minorEastAsia"/>
                <w:color w:val="000000" w:themeColor="text1"/>
                <w14:textFill>
                  <w14:solidFill>
                    <w14:schemeClr w14:val="tx1"/>
                  </w14:solidFill>
                </w14:textFill>
              </w:rPr>
              <m:t>m×</m:t>
            </m:r>
            <m:sSup>
              <m:sSupPr>
                <m:ctrlPr>
                  <w:rPr>
                    <w:rFonts w:ascii="DejaVu Math TeX Gyre" w:hAnsi="DejaVu Math TeX Gyre" w:eastAsiaTheme="minorEastAsia"/>
                    <w:color w:val="000000" w:themeColor="text1"/>
                    <w14:textFill>
                      <w14:solidFill>
                        <w14:schemeClr w14:val="tx1"/>
                      </w14:solidFill>
                    </w14:textFill>
                  </w:rPr>
                </m:ctrlPr>
              </m:sSupPr>
              <m:e>
                <m:r>
                  <m:rPr>
                    <m:sty m:val="p"/>
                  </m:rPr>
                  <w:rPr>
                    <w:rFonts w:ascii="Times New Roman" w:hAnsi="Times New Roman" w:eastAsiaTheme="minorEastAsia"/>
                    <w:color w:val="000000" w:themeColor="text1"/>
                    <w14:textFill>
                      <w14:solidFill>
                        <w14:schemeClr w14:val="tx1"/>
                      </w14:solidFill>
                    </w14:textFill>
                  </w:rPr>
                  <m:t>10</m:t>
                </m:r>
                <m:ctrlPr>
                  <w:rPr>
                    <w:rFonts w:ascii="DejaVu Math TeX Gyre" w:hAnsi="DejaVu Math TeX Gyre" w:eastAsiaTheme="minorEastAsia"/>
                    <w:color w:val="000000" w:themeColor="text1"/>
                    <w14:textFill>
                      <w14:solidFill>
                        <w14:schemeClr w14:val="tx1"/>
                      </w14:solidFill>
                    </w14:textFill>
                  </w:rPr>
                </m:ctrlPr>
              </m:e>
              <m:sup>
                <m:r>
                  <m:rPr>
                    <m:sty m:val="p"/>
                  </m:rPr>
                  <w:rPr>
                    <w:rFonts w:ascii="Times New Roman" w:hAnsi="Times New Roman" w:eastAsiaTheme="minorEastAsia"/>
                    <w:color w:val="000000" w:themeColor="text1"/>
                    <w14:textFill>
                      <w14:solidFill>
                        <w14:schemeClr w14:val="tx1"/>
                      </w14:solidFill>
                    </w14:textFill>
                  </w:rPr>
                  <m:t>4</m:t>
                </m:r>
                <m:ctrlPr>
                  <w:rPr>
                    <w:rFonts w:ascii="DejaVu Math TeX Gyre" w:hAnsi="DejaVu Math TeX Gyre" w:eastAsiaTheme="minorEastAsia"/>
                    <w:color w:val="000000" w:themeColor="text1"/>
                    <w14:textFill>
                      <w14:solidFill>
                        <w14:schemeClr w14:val="tx1"/>
                      </w14:solidFill>
                    </w14:textFill>
                  </w:rPr>
                </m:ctrlPr>
              </m:sup>
            </m:sSup>
            <m:ctrlPr>
              <w:rPr>
                <w:rFonts w:ascii="DejaVu Math TeX Gyre" w:hAnsi="DejaVu Math TeX Gyre" w:eastAsiaTheme="minorEastAsia"/>
                <w:color w:val="000000" w:themeColor="text1"/>
                <w14:textFill>
                  <w14:solidFill>
                    <w14:schemeClr w14:val="tx1"/>
                  </w14:solidFill>
                </w14:textFill>
              </w:rPr>
            </m:ctrlPr>
          </m:den>
        </m:f>
      </m:oMath>
      <w:r>
        <w:rPr>
          <w:rFonts w:hint="eastAsia" w:ascii="Times New Roman" w:hAnsi="Times New Roman" w:eastAsiaTheme="minorEastAsia"/>
          <w:i w:val="0"/>
          <w:color w:val="000000" w:themeColor="text1"/>
          <w:lang w:eastAsia="zh-CN"/>
          <w14:textFill>
            <w14:solidFill>
              <w14:schemeClr w14:val="tx1"/>
            </w14:solidFill>
          </w14:textFill>
        </w:rPr>
        <w:t>…………………………………………（</w:t>
      </w:r>
      <w:r>
        <w:rPr>
          <w:rFonts w:hint="eastAsia" w:ascii="Times New Roman" w:hAnsi="Times New Roman" w:eastAsiaTheme="minorEastAsia"/>
          <w:i w:val="0"/>
          <w:color w:val="000000" w:themeColor="text1"/>
          <w:lang w:val="en-US" w:eastAsia="zh-CN"/>
          <w14:textFill>
            <w14:solidFill>
              <w14:schemeClr w14:val="tx1"/>
            </w14:solidFill>
          </w14:textFill>
        </w:rPr>
        <w:t>17</w:t>
      </w:r>
      <w:r>
        <w:rPr>
          <w:rFonts w:hint="eastAsia" w:ascii="Times New Roman" w:hAnsi="Times New Roman" w:eastAsiaTheme="minorEastAsia"/>
          <w:i w:val="0"/>
          <w:color w:val="000000" w:themeColor="text1"/>
          <w:lang w:eastAsia="zh-CN"/>
          <w14:textFill>
            <w14:solidFill>
              <w14:schemeClr w14:val="tx1"/>
            </w14:solidFill>
          </w14:textFill>
        </w:rPr>
        <w:t>）</w:t>
      </w:r>
    </w:p>
    <w:p w14:paraId="3175CC85">
      <w:pPr>
        <w:pStyle w:val="44"/>
        <w:numPr>
          <w:ilvl w:val="0"/>
          <w:numId w:val="0"/>
        </w:numPr>
        <w:autoSpaceDE/>
        <w:autoSpaceDN/>
        <w:ind w:firstLine="0" w:firstLineChars="0"/>
        <w:rPr>
          <w:rFonts w:ascii="Times New Roman" w:hAnsi="Times New Roman" w:eastAsiaTheme="minorEastAsia"/>
          <w:color w:val="000000" w:themeColor="text1"/>
          <w14:textFill>
            <w14:solidFill>
              <w14:schemeClr w14:val="tx1"/>
            </w14:solidFill>
          </w14:textFill>
        </w:rPr>
      </w:pPr>
    </w:p>
    <w:p w14:paraId="0F33E50F">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54E722A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 ----试样中待测元素含量，单位为百分比（%）；</w:t>
      </w:r>
    </w:p>
    <w:p w14:paraId="42292EF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m:oMath>
        <m:r>
          <m:rPr>
            <m:sty m:val="p"/>
          </m:rPr>
          <w:rPr>
            <w:rFonts w:ascii="Times New Roman" w:hAnsi="Times New Roman" w:eastAsiaTheme="minorEastAsia"/>
            <w:color w:val="000000" w:themeColor="text1"/>
            <w14:textFill>
              <w14:solidFill>
                <w14:schemeClr w14:val="tx1"/>
              </w14:solidFill>
            </w14:textFill>
          </w:rPr>
          <m:t>ρ</m:t>
        </m:r>
      </m:oMath>
      <w:r>
        <w:rPr>
          <w:rFonts w:hint="eastAsia" w:ascii="Times New Roman" w:hAnsi="Times New Roman" w:eastAsiaTheme="minorEastAsia"/>
          <w:color w:val="000000" w:themeColor="text1"/>
          <w14:textFill>
            <w14:solidFill>
              <w14:schemeClr w14:val="tx1"/>
            </w14:solidFill>
          </w14:textFill>
        </w:rPr>
        <w:t xml:space="preserve"> ----试样溶液中被测元素质量浓度，单位为毫克每升（mg/L）；</w:t>
      </w:r>
    </w:p>
    <w:p w14:paraId="40FBB2D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m:oMath>
        <m:sSub>
          <m:sSubPr>
            <m:ctrlPr>
              <w:rPr>
                <w:rFonts w:ascii="DejaVu Math TeX Gyre" w:hAnsi="DejaVu Math TeX Gyre" w:eastAsiaTheme="minorEastAsia"/>
                <w:color w:val="000000" w:themeColor="text1"/>
                <w14:textFill>
                  <w14:solidFill>
                    <w14:schemeClr w14:val="tx1"/>
                  </w14:solidFill>
                </w14:textFill>
              </w:rPr>
            </m:ctrlPr>
          </m:sSubPr>
          <m:e>
            <m:r>
              <m:rPr>
                <m:sty m:val="p"/>
              </m:rPr>
              <w:rPr>
                <w:rFonts w:ascii="Times New Roman" w:hAnsi="Times New Roman" w:eastAsiaTheme="minorEastAsia"/>
                <w:color w:val="000000" w:themeColor="text1"/>
                <w14:textFill>
                  <w14:solidFill>
                    <w14:schemeClr w14:val="tx1"/>
                  </w14:solidFill>
                </w14:textFill>
              </w:rPr>
              <m:t>ρ</m:t>
            </m:r>
            <m:ctrlPr>
              <w:rPr>
                <w:rFonts w:ascii="DejaVu Math TeX Gyre" w:hAnsi="DejaVu Math TeX Gyre" w:eastAsiaTheme="minorEastAsia"/>
                <w:color w:val="000000" w:themeColor="text1"/>
                <w14:textFill>
                  <w14:solidFill>
                    <w14:schemeClr w14:val="tx1"/>
                  </w14:solidFill>
                </w14:textFill>
              </w:rPr>
            </m:ctrlPr>
          </m:e>
          <m:sub>
            <m:r>
              <m:rPr>
                <m:sty m:val="p"/>
              </m:rPr>
              <w:rPr>
                <w:rFonts w:ascii="Times New Roman" w:hAnsi="Times New Roman" w:eastAsiaTheme="minorEastAsia"/>
                <w:color w:val="000000" w:themeColor="text1"/>
                <w14:textFill>
                  <w14:solidFill>
                    <w14:schemeClr w14:val="tx1"/>
                  </w14:solidFill>
                </w14:textFill>
              </w:rPr>
              <m:t>0</m:t>
            </m:r>
            <m:ctrlPr>
              <w:rPr>
                <w:rFonts w:ascii="DejaVu Math TeX Gyre" w:hAnsi="DejaVu Math TeX Gyre" w:eastAsiaTheme="minorEastAsia"/>
                <w:color w:val="000000" w:themeColor="text1"/>
                <w14:textFill>
                  <w14:solidFill>
                    <w14:schemeClr w14:val="tx1"/>
                  </w14:solidFill>
                </w14:textFill>
              </w:rPr>
            </m:ctrlPr>
          </m:sub>
        </m:sSub>
      </m:oMath>
      <w:r>
        <w:rPr>
          <w:rFonts w:hint="eastAsia" w:ascii="Times New Roman" w:hAnsi="Times New Roman" w:eastAsiaTheme="minorEastAsia"/>
          <w:color w:val="000000" w:themeColor="text1"/>
          <w14:textFill>
            <w14:solidFill>
              <w14:schemeClr w14:val="tx1"/>
            </w14:solidFill>
          </w14:textFill>
        </w:rPr>
        <w:t>----试样空白溶液被测元素质量浓度，单位为毫克每升（mg/L）；</w:t>
      </w:r>
    </w:p>
    <w:p w14:paraId="1307C3C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V----试样定容体积，单位为毫升（mL）；</w:t>
      </w:r>
    </w:p>
    <w:p w14:paraId="2BEEB0E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f----试样稀释倍数；</w:t>
      </w:r>
    </w:p>
    <w:p w14:paraId="7F05D20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m----试样称取的质量，单位为克（g）。</w:t>
      </w:r>
    </w:p>
    <w:p w14:paraId="1D5657C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计算结果保留三位有效数字。</w:t>
      </w:r>
    </w:p>
    <w:p w14:paraId="1471C72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bookmarkStart w:id="274" w:name="_Toc18033"/>
      <w:r>
        <w:rPr>
          <w:rFonts w:hint="eastAsia" w:ascii="Times New Roman" w:hAnsi="Times New Roman" w:eastAsiaTheme="minorEastAsia"/>
          <w:color w:val="000000" w:themeColor="text1"/>
          <w14:textFill>
            <w14:solidFill>
              <w14:schemeClr w14:val="tx1"/>
            </w14:solidFill>
          </w14:textFill>
        </w:rPr>
        <w:t>载药量按式（</w:t>
      </w:r>
      <w:r>
        <w:rPr>
          <w:rFonts w:hint="eastAsia" w:ascii="Times New Roman" w:hAnsi="Times New Roman" w:eastAsiaTheme="minorEastAsia"/>
          <w:color w:val="000000" w:themeColor="text1"/>
          <w:lang w:val="en-US" w:eastAsia="zh-CN"/>
          <w14:textFill>
            <w14:solidFill>
              <w14:schemeClr w14:val="tx1"/>
            </w14:solidFill>
          </w14:textFill>
        </w:rPr>
        <w:t>18</w:t>
      </w:r>
      <w:r>
        <w:rPr>
          <w:rFonts w:hint="eastAsia" w:ascii="Times New Roman" w:hAnsi="Times New Roman" w:eastAsiaTheme="minorEastAsia"/>
          <w:color w:val="000000" w:themeColor="text1"/>
          <w14:textFill>
            <w14:solidFill>
              <w14:schemeClr w14:val="tx1"/>
            </w14:solidFill>
          </w14:textFill>
        </w:rPr>
        <w:t>）计算：</w:t>
      </w:r>
      <w:bookmarkEnd w:id="274"/>
    </w:p>
    <w:p w14:paraId="6BF211E9">
      <w:pPr>
        <w:pStyle w:val="44"/>
        <w:numPr>
          <w:ilvl w:val="0"/>
          <w:numId w:val="0"/>
        </w:numPr>
        <w:autoSpaceDE/>
        <w:autoSpaceDN/>
        <w:ind w:firstLine="3990" w:firstLineChars="1900"/>
        <w:rPr>
          <w:rFonts w:ascii="Times New Roman" w:hAnsi="Times New Roman" w:eastAsiaTheme="minorEastAsia"/>
          <w:color w:val="000000" w:themeColor="text1"/>
          <w14:textFill>
            <w14:solidFill>
              <w14:schemeClr w14:val="tx1"/>
            </w14:solidFill>
          </w14:textFill>
        </w:rPr>
      </w:pPr>
      <m:oMath>
        <m:r>
          <m:rPr>
            <m:sty m:val="p"/>
          </m:rPr>
          <w:rPr>
            <w:rFonts w:ascii="Times New Roman" w:hAnsi="Times New Roman" w:eastAsiaTheme="minorEastAsia"/>
            <w:color w:val="000000" w:themeColor="text1"/>
            <w14:textFill>
              <w14:solidFill>
                <w14:schemeClr w14:val="tx1"/>
              </w14:solidFill>
            </w14:textFill>
          </w:rPr>
          <m:t>R=W×d/100</m:t>
        </m:r>
      </m:oMath>
      <w:r>
        <w:rPr>
          <w:rFonts w:hint="eastAsia" w:ascii="Times New Roman" w:hAnsi="Times New Roman" w:eastAsiaTheme="minorEastAsia"/>
          <w:i w:val="0"/>
          <w:color w:val="000000" w:themeColor="text1"/>
          <w:lang w:eastAsia="zh-CN"/>
          <w14:textFill>
            <w14:solidFill>
              <w14:schemeClr w14:val="tx1"/>
            </w14:solidFill>
          </w14:textFill>
        </w:rPr>
        <w:t>…………………………………………（</w:t>
      </w:r>
      <w:r>
        <w:rPr>
          <w:rFonts w:hint="eastAsia" w:ascii="Times New Roman" w:hAnsi="Times New Roman" w:eastAsiaTheme="minorEastAsia"/>
          <w:i w:val="0"/>
          <w:color w:val="000000" w:themeColor="text1"/>
          <w:lang w:val="en-US" w:eastAsia="zh-CN"/>
          <w14:textFill>
            <w14:solidFill>
              <w14:schemeClr w14:val="tx1"/>
            </w14:solidFill>
          </w14:textFill>
        </w:rPr>
        <w:t>18</w:t>
      </w:r>
      <w:r>
        <w:rPr>
          <w:rFonts w:hint="eastAsia" w:ascii="Times New Roman" w:hAnsi="Times New Roman" w:eastAsiaTheme="minorEastAsia"/>
          <w:i w:val="0"/>
          <w:color w:val="000000" w:themeColor="text1"/>
          <w:lang w:eastAsia="zh-CN"/>
          <w14:textFill>
            <w14:solidFill>
              <w14:schemeClr w14:val="tx1"/>
            </w14:solidFill>
          </w14:textFill>
        </w:rPr>
        <w:t>）</w:t>
      </w:r>
    </w:p>
    <w:p w14:paraId="40A60351">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3BDA150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val="en-US" w:eastAsia="zh-CN"/>
          <w14:textFill>
            <w14:solidFill>
              <w14:schemeClr w14:val="tx1"/>
            </w14:solidFill>
          </w14:textFill>
        </w:rPr>
        <w:t>R</w:t>
      </w:r>
      <w:r>
        <w:rPr>
          <w:rFonts w:hint="eastAsia" w:ascii="Times New Roman" w:hAnsi="Times New Roman" w:eastAsiaTheme="minorEastAsia"/>
          <w:color w:val="000000" w:themeColor="text1"/>
          <w14:textFill>
            <w14:solidFill>
              <w14:schemeClr w14:val="tx1"/>
            </w14:solidFill>
          </w14:textFill>
        </w:rPr>
        <w:t>---试样中有效成分的密度（kg/m3）</w:t>
      </w:r>
      <w:bookmarkStart w:id="275" w:name="_Toc1651895"/>
      <w:r>
        <w:rPr>
          <w:rFonts w:hint="eastAsia" w:ascii="Times New Roman" w:hAnsi="Times New Roman" w:eastAsiaTheme="minorEastAsia"/>
          <w:color w:val="000000" w:themeColor="text1"/>
          <w14:textFill>
            <w14:solidFill>
              <w14:schemeClr w14:val="tx1"/>
            </w14:solidFill>
          </w14:textFill>
        </w:rPr>
        <w:t>；</w:t>
      </w:r>
      <w:bookmarkEnd w:id="275"/>
    </w:p>
    <w:p w14:paraId="3865051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W----试样中有效成分的含量，单位为百分比（%）；</w:t>
      </w:r>
    </w:p>
    <w:p w14:paraId="1680CD2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D----试样的密度，单位为千克每立方米（kg/m3）</w:t>
      </w:r>
    </w:p>
    <w:p w14:paraId="664BE2F4">
      <w:pPr>
        <w:pStyle w:val="58"/>
        <w:numPr>
          <w:ilvl w:val="0"/>
          <w:numId w:val="0"/>
        </w:numPr>
        <w:spacing w:before="156" w:after="156"/>
        <w:rPr>
          <w:rFonts w:ascii="Times New Roman" w:hAnsi="Times New Roman"/>
          <w:color w:val="000000" w:themeColor="text1"/>
          <w14:textFill>
            <w14:solidFill>
              <w14:schemeClr w14:val="tx1"/>
            </w14:solidFill>
          </w14:textFill>
        </w:rPr>
      </w:pPr>
      <w:bookmarkStart w:id="276" w:name="_Toc24088"/>
      <w:r>
        <w:rPr>
          <w:rFonts w:hint="eastAsia" w:ascii="Times New Roman" w:hAnsi="Times New Roman"/>
          <w:color w:val="000000" w:themeColor="text1"/>
          <w14:textFill>
            <w14:solidFill>
              <w14:schemeClr w14:val="tx1"/>
            </w14:solidFill>
          </w14:textFill>
        </w:rPr>
        <w:t>15.10 精密度</w:t>
      </w:r>
      <w:bookmarkEnd w:id="276"/>
    </w:p>
    <w:p w14:paraId="084E9FE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样品中各元素含量大于1mg/kg时，在重复性条件下获得的两次独立测定结果的绝对差值不得超过算术平均值的10%，小于或等于1mg/kg时，在重复性条件西安获得的两次独立检测结果的绝对差值不得超过算术平均值的20%。</w:t>
      </w:r>
    </w:p>
    <w:p w14:paraId="4B594506">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电感耦合等离子体质谱法</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ICP-MS</w:t>
      </w:r>
      <w:r>
        <w:rPr>
          <w:rFonts w:hint="eastAsia" w:ascii="Times New Roman" w:hAnsi="Times New Roman"/>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测CCA型防腐剂中铜铬砷硼</w:t>
      </w:r>
    </w:p>
    <w:p w14:paraId="3AB9C46E">
      <w:pPr>
        <w:pStyle w:val="44"/>
        <w:numPr>
          <w:ilvl w:val="1"/>
          <w:numId w:val="0"/>
        </w:numPr>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16.1 原理</w:t>
      </w:r>
    </w:p>
    <w:p w14:paraId="03B19438">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试样经稀释或消解后，由电感耦合等离子体质谱仪测定，以元素特定质量数（质荷比）定性，采用外标法，以待测元素质谱信号的强度比与待测元素的浓度成正比进行定量分析。</w:t>
      </w:r>
    </w:p>
    <w:p w14:paraId="4E8FDD2B">
      <w:pPr>
        <w:pStyle w:val="44"/>
        <w:numPr>
          <w:ilvl w:val="0"/>
          <w:numId w:val="0"/>
        </w:numPr>
        <w:autoSpaceDE/>
        <w:autoSpaceDN/>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16.2 试剂和耗材</w:t>
      </w:r>
    </w:p>
    <w:p w14:paraId="002496A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除非另有说明，本方法所用试剂均为优级纯，水为GB/T 6682规定的一级水。</w:t>
      </w:r>
    </w:p>
    <w:p w14:paraId="16B3A0CB">
      <w:pPr>
        <w:pStyle w:val="44"/>
        <w:numPr>
          <w:ilvl w:val="0"/>
          <w:numId w:val="1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硝酸（HNO3）：优级纯或更高纯度。</w:t>
      </w:r>
    </w:p>
    <w:p w14:paraId="042C3A5B">
      <w:pPr>
        <w:pStyle w:val="44"/>
        <w:numPr>
          <w:ilvl w:val="0"/>
          <w:numId w:val="1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高氯酸（HClO4）：优级纯或更高级纯。</w:t>
      </w:r>
    </w:p>
    <w:p w14:paraId="2FC77627">
      <w:pPr>
        <w:pStyle w:val="44"/>
        <w:numPr>
          <w:ilvl w:val="0"/>
          <w:numId w:val="1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氩气（Ar）：氩气（≥99.995%）或液氩。</w:t>
      </w:r>
    </w:p>
    <w:p w14:paraId="120C91F1">
      <w:pPr>
        <w:pStyle w:val="44"/>
        <w:numPr>
          <w:ilvl w:val="0"/>
          <w:numId w:val="1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双氧水（H2O2）：优级纯或更高纯度。</w:t>
      </w:r>
    </w:p>
    <w:p w14:paraId="07477317">
      <w:pPr>
        <w:pStyle w:val="44"/>
        <w:numPr>
          <w:ilvl w:val="0"/>
          <w:numId w:val="1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硝酸溶液（5+95）：取50mL硝酸，缓慢加入950mL水中，混匀。</w:t>
      </w:r>
    </w:p>
    <w:p w14:paraId="5B16F718">
      <w:pPr>
        <w:pStyle w:val="44"/>
        <w:numPr>
          <w:ilvl w:val="0"/>
          <w:numId w:val="1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硝酸-高氯酸（10+1）：取10mL高氯酸，缓慢加入100mL硝酸中，混匀</w:t>
      </w:r>
    </w:p>
    <w:p w14:paraId="1B124756">
      <w:pPr>
        <w:pStyle w:val="44"/>
        <w:numPr>
          <w:ilvl w:val="0"/>
          <w:numId w:val="0"/>
        </w:numPr>
        <w:autoSpaceDE/>
        <w:autoSpaceDN/>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16.3 标准品</w:t>
      </w:r>
    </w:p>
    <w:p w14:paraId="27476C2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（1）元素贮备液（1000mg/L或10000mg/L）：铜、铬、砷，采用经国家认证并授予标准物质证书的单元素或者多元素贮备液。</w:t>
      </w:r>
    </w:p>
    <w:p w14:paraId="7A0C2F8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（2）标准溶液的配制：精确吸取适量单元素或多元素混合标准贮备液，用硝酸溶液（5+95）逐级稀释配成混合标准溶液系列。</w:t>
      </w:r>
    </w:p>
    <w:p w14:paraId="40889D25">
      <w:pPr>
        <w:pStyle w:val="58"/>
        <w:numPr>
          <w:ilvl w:val="2"/>
          <w:numId w:val="0"/>
        </w:numPr>
        <w:spacing w:before="156" w:after="156"/>
        <w:rPr>
          <w:rFonts w:ascii="Times New Roman" w:hAnsi="Times New Roman" w:eastAsia="宋体"/>
          <w:color w:val="000000" w:themeColor="text1"/>
          <w:sz w:val="18"/>
          <w:szCs w:val="18"/>
          <w14:textFill>
            <w14:solidFill>
              <w14:schemeClr w14:val="tx1"/>
            </w14:solidFill>
          </w14:textFill>
        </w:rPr>
      </w:pPr>
      <w:r>
        <w:rPr>
          <w:rFonts w:hint="eastAsia" w:ascii="Times New Roman" w:hAnsi="Times New Roman" w:eastAsia="宋体"/>
          <w:color w:val="000000" w:themeColor="text1"/>
          <w:sz w:val="18"/>
          <w:szCs w:val="18"/>
          <w14:textFill>
            <w14:solidFill>
              <w14:schemeClr w14:val="tx1"/>
            </w14:solidFill>
          </w14:textFill>
        </w:rPr>
        <w:t>注：依据样品消解溶液中元素质量浓度水平，适当调整标准系列中各元素浓度范围。</w:t>
      </w:r>
    </w:p>
    <w:p w14:paraId="54017061">
      <w:pPr>
        <w:pStyle w:val="58"/>
        <w:numPr>
          <w:ilvl w:val="2"/>
          <w:numId w:val="0"/>
        </w:numPr>
        <w:spacing w:before="156" w:after="156"/>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16.4仪器和设备</w:t>
      </w:r>
    </w:p>
    <w:p w14:paraId="56410E35">
      <w:pPr>
        <w:pStyle w:val="44"/>
        <w:numPr>
          <w:ilvl w:val="0"/>
          <w:numId w:val="11"/>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电感耦合等离子体质谱仪（ICP-MS）。</w:t>
      </w:r>
    </w:p>
    <w:p w14:paraId="18CAE059">
      <w:pPr>
        <w:pStyle w:val="44"/>
        <w:numPr>
          <w:ilvl w:val="0"/>
          <w:numId w:val="11"/>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天平：感量为0.1mg和1mg。</w:t>
      </w:r>
    </w:p>
    <w:p w14:paraId="3A0D68AF">
      <w:pPr>
        <w:pStyle w:val="44"/>
        <w:numPr>
          <w:ilvl w:val="0"/>
          <w:numId w:val="11"/>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微波消解仪</w:t>
      </w:r>
    </w:p>
    <w:p w14:paraId="2F75DDD0">
      <w:pPr>
        <w:pStyle w:val="44"/>
        <w:numPr>
          <w:ilvl w:val="0"/>
          <w:numId w:val="11"/>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鼓风电热干燥箱。</w:t>
      </w:r>
    </w:p>
    <w:p w14:paraId="57CB3F0A">
      <w:pPr>
        <w:pStyle w:val="44"/>
        <w:numPr>
          <w:ilvl w:val="0"/>
          <w:numId w:val="11"/>
        </w:numPr>
        <w:autoSpaceDE/>
        <w:autoSpaceDN/>
        <w:ind w:firstLine="420" w:firstLineChars="200"/>
        <w:rPr>
          <w:rFonts w:ascii="Times New Roman" w:hAnsi="Times New Roman" w:cs="黑体"/>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控温电热板</w:t>
      </w:r>
    </w:p>
    <w:p w14:paraId="2B3E519A">
      <w:pPr>
        <w:pStyle w:val="44"/>
        <w:numPr>
          <w:ilvl w:val="0"/>
          <w:numId w:val="11"/>
        </w:numPr>
        <w:autoSpaceDE/>
        <w:autoSpaceDN/>
        <w:ind w:firstLine="420" w:firstLineChars="200"/>
        <w:rPr>
          <w:rFonts w:ascii="Times New Roman" w:hAnsi="Times New Roman" w:cs="黑体"/>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样品粉碎机</w:t>
      </w:r>
    </w:p>
    <w:p w14:paraId="10CD5B2A">
      <w:pPr>
        <w:pStyle w:val="44"/>
        <w:numPr>
          <w:ilvl w:val="1"/>
          <w:numId w:val="0"/>
        </w:numPr>
        <w:autoSpaceDE/>
        <w:autoSpaceDN/>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16.5 分析步骤</w:t>
      </w:r>
    </w:p>
    <w:p w14:paraId="312F020C">
      <w:pPr>
        <w:pStyle w:val="44"/>
        <w:numPr>
          <w:ilvl w:val="1"/>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16.5.1 试样制备</w:t>
      </w:r>
    </w:p>
    <w:p w14:paraId="736E4B2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试样制备参照SB/T 10405 《防腐木材化学分析前的湿灰化方法》</w:t>
      </w:r>
    </w:p>
    <w:p w14:paraId="69459A8A">
      <w:pPr>
        <w:pStyle w:val="44"/>
        <w:numPr>
          <w:ilvl w:val="1"/>
          <w:numId w:val="0"/>
        </w:num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16.5.2 试样消解</w:t>
      </w:r>
    </w:p>
    <w:p w14:paraId="2E4680B7">
      <w:pPr>
        <w:pStyle w:val="44"/>
        <w:numPr>
          <w:ilvl w:val="0"/>
          <w:numId w:val="0"/>
        </w:numPr>
        <w:autoSpaceDE/>
        <w:autoSpaceDN/>
        <w:ind w:firstLine="420" w:firstLineChars="200"/>
        <w:rPr>
          <w:rFonts w:ascii="Times New Roman" w:hAnsi="Times New Roman" w:eastAsia="宋体"/>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试样消解参照SB/T 10405 《防腐木材化学分析前的湿灰化方法》</w:t>
      </w:r>
    </w:p>
    <w:p w14:paraId="61C4CB7D">
      <w:pPr>
        <w:pStyle w:val="58"/>
        <w:numPr>
          <w:ilvl w:val="0"/>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16.6 仪器参考条件</w:t>
      </w:r>
    </w:p>
    <w:tbl>
      <w:tblPr>
        <w:tblStyle w:val="20"/>
        <w:tblW w:w="4010" w:type="dxa"/>
        <w:jc w:val="center"/>
        <w:tblLayout w:type="autofit"/>
        <w:tblCellMar>
          <w:top w:w="0" w:type="dxa"/>
          <w:left w:w="0" w:type="dxa"/>
          <w:bottom w:w="0" w:type="dxa"/>
          <w:right w:w="0" w:type="dxa"/>
        </w:tblCellMar>
      </w:tblPr>
      <w:tblGrid>
        <w:gridCol w:w="2005"/>
        <w:gridCol w:w="2005"/>
      </w:tblGrid>
      <w:tr w14:paraId="2B1CC932">
        <w:trPr>
          <w:trHeight w:val="450"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5BF6089">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shd w:val="clear" w:color="auto" w:fill="FFFFFF" w:themeFill="background1"/>
                <w14:textFill>
                  <w14:solidFill>
                    <w14:schemeClr w14:val="tx1"/>
                  </w14:solidFill>
                </w14:textFill>
              </w:rPr>
              <w:t>参数</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9E757B7">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设置</w:t>
            </w:r>
          </w:p>
        </w:tc>
      </w:tr>
      <w:tr w14:paraId="265ED0EA">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5F421C">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RF功率</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377CF78">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1320W</w:t>
            </w:r>
          </w:p>
        </w:tc>
      </w:tr>
      <w:tr w14:paraId="7037F784">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E815BD4">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等离子体气流量</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3AC9E0B">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13.5L/min</w:t>
            </w:r>
          </w:p>
        </w:tc>
      </w:tr>
      <w:tr w14:paraId="34959860">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1F75E5">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辅助气流量</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7FA9E3F">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0.8L/min</w:t>
            </w:r>
          </w:p>
        </w:tc>
      </w:tr>
      <w:tr w14:paraId="00972D57">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A036B45">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载气流速</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0373273">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1.1L/min</w:t>
            </w:r>
          </w:p>
        </w:tc>
      </w:tr>
      <w:tr w14:paraId="355283AD">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2B301A0">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氦气流量</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852389B">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3.5mL/min</w:t>
            </w:r>
          </w:p>
        </w:tc>
      </w:tr>
      <w:tr w14:paraId="3C336803">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99256DE">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样品提升速率</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1B6661">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40rpm</w:t>
            </w:r>
          </w:p>
        </w:tc>
      </w:tr>
      <w:tr w14:paraId="47F02875">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B2A0D97">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采样水平位置</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7580CCF">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6.5mm</w:t>
            </w:r>
          </w:p>
        </w:tc>
      </w:tr>
      <w:tr w14:paraId="5B4E8082">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34CE060">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采样垂直位置</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748B4D8">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5.8mm</w:t>
            </w:r>
          </w:p>
        </w:tc>
      </w:tr>
      <w:tr w14:paraId="4A58C611">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A4E459">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采样深度</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9D92477">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4.2mm</w:t>
            </w:r>
          </w:p>
        </w:tc>
      </w:tr>
      <w:tr w14:paraId="4611A310">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AB3560A">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雾化器</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CF88BA2">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同心雾化器</w:t>
            </w:r>
          </w:p>
        </w:tc>
      </w:tr>
      <w:tr w14:paraId="7894BB2E">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DA97528">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采样/截取锥材质</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90038ED">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镍</w:t>
            </w:r>
          </w:p>
        </w:tc>
      </w:tr>
      <w:tr w14:paraId="7AE6378E">
        <w:trPr>
          <w:trHeight w:val="454" w:hRule="atLeast"/>
          <w:jc w:val="center"/>
        </w:trPr>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CDDC0CE">
            <w:pPr>
              <w:ind w:firstLine="0" w:firstLineChars="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雾化室类型</w:t>
            </w:r>
          </w:p>
        </w:tc>
        <w:tc>
          <w:tcPr>
            <w:tcW w:w="200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23A8AA8">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旋流雾室</w:t>
            </w:r>
          </w:p>
        </w:tc>
      </w:tr>
    </w:tbl>
    <w:p w14:paraId="6CEE2B55">
      <w:pPr>
        <w:pStyle w:val="44"/>
        <w:numPr>
          <w:ilvl w:val="1"/>
          <w:numId w:val="0"/>
        </w:numPr>
        <w:rPr>
          <w:rFonts w:ascii="Times New Roman" w:hAnsi="Times New Roman"/>
          <w:color w:val="000000" w:themeColor="text1"/>
          <w14:textFill>
            <w14:solidFill>
              <w14:schemeClr w14:val="tx1"/>
            </w14:solidFill>
          </w14:textFill>
        </w:rPr>
      </w:pPr>
    </w:p>
    <w:p w14:paraId="080159B0">
      <w:pPr>
        <w:pStyle w:val="58"/>
        <w:numPr>
          <w:ilvl w:val="0"/>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16.7 标准曲线的绘制</w:t>
      </w:r>
    </w:p>
    <w:p w14:paraId="36DA6784">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将混合标准溶液注入电感耦合等离子体发射光谱仪（ICP-OES）中，测定待测元素分析谱线的 强度信号响应值，以待测元素的浓度为横坐标，其分析谱线强度响应值为纵坐标，绘制标准曲线，线性相关系数须大于0.999。</w:t>
      </w:r>
    </w:p>
    <w:p w14:paraId="73C1FDBB">
      <w:pPr>
        <w:pStyle w:val="58"/>
        <w:numPr>
          <w:ilvl w:val="0"/>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16.8 试样溶液的测定</w:t>
      </w:r>
    </w:p>
    <w:p w14:paraId="742FD369">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将空白溶液和试样溶液分别注入电感耦合等离子体发射光谱仪（ICP-OES），测定待测元素分析谱线强度的信号响应值，根据标准曲线得到消解液中待测元素的浓度。</w:t>
      </w:r>
    </w:p>
    <w:p w14:paraId="69CE534F">
      <w:pPr>
        <w:pStyle w:val="58"/>
        <w:numPr>
          <w:ilvl w:val="0"/>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16.9 分析结果及计算</w:t>
      </w:r>
    </w:p>
    <w:p w14:paraId="2B5EFAC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p>
    <w:p w14:paraId="75C69E0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试样中待测元素的含量按式（</w:t>
      </w:r>
      <w:r>
        <w:rPr>
          <w:rFonts w:hint="eastAsia" w:ascii="Times New Roman" w:hAnsi="Times New Roman" w:eastAsiaTheme="minorEastAsia"/>
          <w:color w:val="000000" w:themeColor="text1"/>
          <w:lang w:val="en-US" w:eastAsia="zh-CN"/>
          <w14:textFill>
            <w14:solidFill>
              <w14:schemeClr w14:val="tx1"/>
            </w14:solidFill>
          </w14:textFill>
        </w:rPr>
        <w:t>19</w:t>
      </w:r>
      <w:r>
        <w:rPr>
          <w:rFonts w:hint="eastAsia" w:ascii="Times New Roman" w:hAnsi="Times New Roman" w:eastAsiaTheme="minorEastAsia"/>
          <w:color w:val="000000" w:themeColor="text1"/>
          <w14:textFill>
            <w14:solidFill>
              <w14:schemeClr w14:val="tx1"/>
            </w14:solidFill>
          </w14:textFill>
        </w:rPr>
        <w:t>）计算：</w:t>
      </w:r>
    </w:p>
    <w:p w14:paraId="5FA912D6">
      <w:pPr>
        <w:pStyle w:val="44"/>
        <w:numPr>
          <w:ilvl w:val="0"/>
          <w:numId w:val="0"/>
        </w:numPr>
        <w:autoSpaceDE/>
        <w:autoSpaceDN/>
        <w:ind w:firstLine="420" w:firstLineChars="200"/>
        <w:rPr>
          <w:rFonts w:hint="eastAsia" w:ascii="Times New Roman" w:hAnsi="Times New Roman" w:eastAsiaTheme="minorEastAsia"/>
          <w:color w:val="000000" w:themeColor="text1"/>
          <w:lang w:eastAsia="zh-CN"/>
          <w14:textFill>
            <w14:solidFill>
              <w14:schemeClr w14:val="tx1"/>
            </w14:solidFill>
          </w14:textFill>
        </w:rPr>
      </w:pPr>
      <m:oMath>
        <m:r>
          <m:rPr>
            <m:sty m:val="p"/>
          </m:rPr>
          <w:rPr>
            <w:rFonts w:hint="default" w:ascii="Times New Roman" w:hAnsi="Times New Roman" w:eastAsiaTheme="minorEastAsia"/>
            <w:color w:val="000000" w:themeColor="text1"/>
            <w:lang w:val="en-US" w:eastAsia="zh-CN"/>
            <w14:textFill>
              <w14:solidFill>
                <w14:schemeClr w14:val="tx1"/>
              </w14:solidFill>
            </w14:textFill>
          </w:rPr>
          <m:t xml:space="preserve">                                                                                     </m:t>
        </m:r>
        <m:r>
          <m:rPr>
            <m:sty m:val="p"/>
          </m:rPr>
          <w:rPr>
            <w:rFonts w:ascii="Times New Roman" w:hAnsi="Times New Roman" w:eastAsiaTheme="minorEastAsia"/>
            <w:color w:val="000000" w:themeColor="text1"/>
            <w14:textFill>
              <w14:solidFill>
                <w14:schemeClr w14:val="tx1"/>
              </w14:solidFill>
            </w14:textFill>
          </w:rPr>
          <m:t>W=</m:t>
        </m:r>
        <m:f>
          <m:fPr>
            <m:ctrlPr>
              <w:rPr>
                <w:rFonts w:ascii="DejaVu Math TeX Gyre" w:hAnsi="DejaVu Math TeX Gyre" w:eastAsiaTheme="minorEastAsia"/>
                <w:color w:val="000000" w:themeColor="text1"/>
                <w14:textFill>
                  <w14:solidFill>
                    <w14:schemeClr w14:val="tx1"/>
                  </w14:solidFill>
                </w14:textFill>
              </w:rPr>
            </m:ctrlPr>
          </m:fPr>
          <m:num>
            <m:r>
              <m:rPr>
                <m:sty m:val="p"/>
              </m:rPr>
              <w:rPr>
                <w:rFonts w:ascii="Times New Roman" w:hAnsi="Times New Roman" w:eastAsiaTheme="minorEastAsia"/>
                <w:color w:val="000000" w:themeColor="text1"/>
                <w14:textFill>
                  <w14:solidFill>
                    <w14:schemeClr w14:val="tx1"/>
                  </w14:solidFill>
                </w14:textFill>
              </w:rPr>
              <m:t>(ρ−</m:t>
            </m:r>
            <m:sSub>
              <m:sSubPr>
                <m:ctrlPr>
                  <w:rPr>
                    <w:rFonts w:ascii="DejaVu Math TeX Gyre" w:hAnsi="DejaVu Math TeX Gyre" w:eastAsiaTheme="minorEastAsia"/>
                    <w:color w:val="000000" w:themeColor="text1"/>
                    <w14:textFill>
                      <w14:solidFill>
                        <w14:schemeClr w14:val="tx1"/>
                      </w14:solidFill>
                    </w14:textFill>
                  </w:rPr>
                </m:ctrlPr>
              </m:sSubPr>
              <m:e>
                <m:r>
                  <m:rPr>
                    <m:sty m:val="p"/>
                  </m:rPr>
                  <w:rPr>
                    <w:rFonts w:ascii="Times New Roman" w:hAnsi="Times New Roman" w:eastAsiaTheme="minorEastAsia"/>
                    <w:color w:val="000000" w:themeColor="text1"/>
                    <w14:textFill>
                      <w14:solidFill>
                        <w14:schemeClr w14:val="tx1"/>
                      </w14:solidFill>
                    </w14:textFill>
                  </w:rPr>
                  <m:t>ρ</m:t>
                </m:r>
                <m:ctrlPr>
                  <w:rPr>
                    <w:rFonts w:ascii="DejaVu Math TeX Gyre" w:hAnsi="DejaVu Math TeX Gyre" w:eastAsiaTheme="minorEastAsia"/>
                    <w:color w:val="000000" w:themeColor="text1"/>
                    <w14:textFill>
                      <w14:solidFill>
                        <w14:schemeClr w14:val="tx1"/>
                      </w14:solidFill>
                    </w14:textFill>
                  </w:rPr>
                </m:ctrlPr>
              </m:e>
              <m:sub>
                <m:r>
                  <m:rPr>
                    <m:sty m:val="p"/>
                  </m:rPr>
                  <w:rPr>
                    <w:rFonts w:ascii="Times New Roman" w:hAnsi="Times New Roman" w:eastAsiaTheme="minorEastAsia"/>
                    <w:color w:val="000000" w:themeColor="text1"/>
                    <w14:textFill>
                      <w14:solidFill>
                        <w14:schemeClr w14:val="tx1"/>
                      </w14:solidFill>
                    </w14:textFill>
                  </w:rPr>
                  <m:t>0</m:t>
                </m:r>
                <m:ctrlPr>
                  <w:rPr>
                    <w:rFonts w:ascii="DejaVu Math TeX Gyre" w:hAnsi="DejaVu Math TeX Gyre" w:eastAsiaTheme="minorEastAsia"/>
                    <w:color w:val="000000" w:themeColor="text1"/>
                    <w14:textFill>
                      <w14:solidFill>
                        <w14:schemeClr w14:val="tx1"/>
                      </w14:solidFill>
                    </w14:textFill>
                  </w:rPr>
                </m:ctrlPr>
              </m:sub>
            </m:sSub>
            <m:r>
              <m:rPr>
                <m:sty m:val="p"/>
              </m:rPr>
              <w:rPr>
                <w:rFonts w:ascii="Times New Roman" w:hAnsi="Times New Roman" w:eastAsiaTheme="minorEastAsia"/>
                <w:color w:val="000000" w:themeColor="text1"/>
                <w14:textFill>
                  <w14:solidFill>
                    <w14:schemeClr w14:val="tx1"/>
                  </w14:solidFill>
                </w14:textFill>
              </w:rPr>
              <m:t>)×V×f</m:t>
            </m:r>
            <m:ctrlPr>
              <w:rPr>
                <w:rFonts w:ascii="DejaVu Math TeX Gyre" w:hAnsi="DejaVu Math TeX Gyre" w:eastAsiaTheme="minorEastAsia"/>
                <w:color w:val="000000" w:themeColor="text1"/>
                <w14:textFill>
                  <w14:solidFill>
                    <w14:schemeClr w14:val="tx1"/>
                  </w14:solidFill>
                </w14:textFill>
              </w:rPr>
            </m:ctrlPr>
          </m:num>
          <m:den>
            <m:r>
              <m:rPr>
                <m:sty m:val="p"/>
              </m:rPr>
              <w:rPr>
                <w:rFonts w:ascii="Times New Roman" w:hAnsi="Times New Roman" w:eastAsiaTheme="minorEastAsia"/>
                <w:color w:val="000000" w:themeColor="text1"/>
                <w14:textFill>
                  <w14:solidFill>
                    <w14:schemeClr w14:val="tx1"/>
                  </w14:solidFill>
                </w14:textFill>
              </w:rPr>
              <m:t>m×</m:t>
            </m:r>
            <m:sSup>
              <m:sSupPr>
                <m:ctrlPr>
                  <w:rPr>
                    <w:rFonts w:ascii="DejaVu Math TeX Gyre" w:hAnsi="DejaVu Math TeX Gyre" w:eastAsiaTheme="minorEastAsia"/>
                    <w:color w:val="000000" w:themeColor="text1"/>
                    <w14:textFill>
                      <w14:solidFill>
                        <w14:schemeClr w14:val="tx1"/>
                      </w14:solidFill>
                    </w14:textFill>
                  </w:rPr>
                </m:ctrlPr>
              </m:sSupPr>
              <m:e>
                <m:r>
                  <m:rPr>
                    <m:sty m:val="p"/>
                  </m:rPr>
                  <w:rPr>
                    <w:rFonts w:ascii="Times New Roman" w:hAnsi="Times New Roman" w:eastAsiaTheme="minorEastAsia"/>
                    <w:color w:val="000000" w:themeColor="text1"/>
                    <w14:textFill>
                      <w14:solidFill>
                        <w14:schemeClr w14:val="tx1"/>
                      </w14:solidFill>
                    </w14:textFill>
                  </w:rPr>
                  <m:t>10</m:t>
                </m:r>
                <m:ctrlPr>
                  <w:rPr>
                    <w:rFonts w:ascii="DejaVu Math TeX Gyre" w:hAnsi="DejaVu Math TeX Gyre" w:eastAsiaTheme="minorEastAsia"/>
                    <w:color w:val="000000" w:themeColor="text1"/>
                    <w14:textFill>
                      <w14:solidFill>
                        <w14:schemeClr w14:val="tx1"/>
                      </w14:solidFill>
                    </w14:textFill>
                  </w:rPr>
                </m:ctrlPr>
              </m:e>
              <m:sup>
                <m:r>
                  <m:rPr>
                    <m:sty m:val="p"/>
                  </m:rPr>
                  <w:rPr>
                    <w:rFonts w:ascii="Times New Roman" w:hAnsi="Times New Roman" w:eastAsiaTheme="minorEastAsia"/>
                    <w:color w:val="000000" w:themeColor="text1"/>
                    <w14:textFill>
                      <w14:solidFill>
                        <w14:schemeClr w14:val="tx1"/>
                      </w14:solidFill>
                    </w14:textFill>
                  </w:rPr>
                  <m:t>4</m:t>
                </m:r>
                <m:ctrlPr>
                  <w:rPr>
                    <w:rFonts w:ascii="DejaVu Math TeX Gyre" w:hAnsi="DejaVu Math TeX Gyre" w:eastAsiaTheme="minorEastAsia"/>
                    <w:color w:val="000000" w:themeColor="text1"/>
                    <w14:textFill>
                      <w14:solidFill>
                        <w14:schemeClr w14:val="tx1"/>
                      </w14:solidFill>
                    </w14:textFill>
                  </w:rPr>
                </m:ctrlPr>
              </m:sup>
            </m:sSup>
            <m:ctrlPr>
              <w:rPr>
                <w:rFonts w:ascii="DejaVu Math TeX Gyre" w:hAnsi="DejaVu Math TeX Gyre" w:eastAsiaTheme="minorEastAsia"/>
                <w:color w:val="000000" w:themeColor="text1"/>
                <w14:textFill>
                  <w14:solidFill>
                    <w14:schemeClr w14:val="tx1"/>
                  </w14:solidFill>
                </w14:textFill>
              </w:rPr>
            </m:ctrlPr>
          </m:den>
        </m:f>
      </m:oMath>
      <w:r>
        <w:rPr>
          <w:rFonts w:hint="eastAsia" w:ascii="Times New Roman" w:hAnsi="Times New Roman" w:eastAsiaTheme="minorEastAsia"/>
          <w:i w:val="0"/>
          <w:color w:val="000000" w:themeColor="text1"/>
          <w:lang w:eastAsia="zh-CN"/>
          <w14:textFill>
            <w14:solidFill>
              <w14:schemeClr w14:val="tx1"/>
            </w14:solidFill>
          </w14:textFill>
        </w:rPr>
        <w:t>………………………………（</w:t>
      </w:r>
      <w:r>
        <w:rPr>
          <w:rFonts w:hint="eastAsia" w:ascii="Times New Roman" w:hAnsi="Times New Roman" w:eastAsiaTheme="minorEastAsia"/>
          <w:i w:val="0"/>
          <w:color w:val="000000" w:themeColor="text1"/>
          <w:lang w:val="en-US" w:eastAsia="zh-CN"/>
          <w14:textFill>
            <w14:solidFill>
              <w14:schemeClr w14:val="tx1"/>
            </w14:solidFill>
          </w14:textFill>
        </w:rPr>
        <w:t>19</w:t>
      </w:r>
      <w:r>
        <w:rPr>
          <w:rFonts w:hint="eastAsia" w:ascii="Times New Roman" w:hAnsi="Times New Roman" w:eastAsiaTheme="minorEastAsia"/>
          <w:i w:val="0"/>
          <w:color w:val="000000" w:themeColor="text1"/>
          <w:lang w:eastAsia="zh-CN"/>
          <w14:textFill>
            <w14:solidFill>
              <w14:schemeClr w14:val="tx1"/>
            </w14:solidFill>
          </w14:textFill>
        </w:rPr>
        <w:t>）</w:t>
      </w:r>
    </w:p>
    <w:p w14:paraId="744480A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p>
    <w:p w14:paraId="030913A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0E4417D5">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 ----试样中待测元素含量，单位为百分比（%）；</w:t>
      </w:r>
    </w:p>
    <w:p w14:paraId="65530D4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m:oMath>
        <m:r>
          <m:rPr>
            <m:sty m:val="p"/>
          </m:rPr>
          <w:rPr>
            <w:rFonts w:ascii="Times New Roman" w:hAnsi="Times New Roman" w:eastAsiaTheme="minorEastAsia"/>
            <w:color w:val="000000" w:themeColor="text1"/>
            <w14:textFill>
              <w14:solidFill>
                <w14:schemeClr w14:val="tx1"/>
              </w14:solidFill>
            </w14:textFill>
          </w:rPr>
          <m:t>ρ</m:t>
        </m:r>
      </m:oMath>
      <w:r>
        <w:rPr>
          <w:rFonts w:hint="eastAsia" w:ascii="Times New Roman" w:hAnsi="Times New Roman" w:eastAsiaTheme="minorEastAsia"/>
          <w:color w:val="000000" w:themeColor="text1"/>
          <w14:textFill>
            <w14:solidFill>
              <w14:schemeClr w14:val="tx1"/>
            </w14:solidFill>
          </w14:textFill>
        </w:rPr>
        <w:t xml:space="preserve"> ----试样溶液中被测元素质量浓度，单位为毫克每升（mg/L）；</w:t>
      </w:r>
    </w:p>
    <w:p w14:paraId="3E30ADB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m:oMath>
        <m:sSub>
          <m:sSubPr>
            <m:ctrlPr>
              <w:rPr>
                <w:rFonts w:ascii="DejaVu Math TeX Gyre" w:hAnsi="DejaVu Math TeX Gyre" w:eastAsiaTheme="minorEastAsia"/>
                <w:color w:val="000000" w:themeColor="text1"/>
                <w14:textFill>
                  <w14:solidFill>
                    <w14:schemeClr w14:val="tx1"/>
                  </w14:solidFill>
                </w14:textFill>
              </w:rPr>
            </m:ctrlPr>
          </m:sSubPr>
          <m:e>
            <m:r>
              <m:rPr>
                <m:sty m:val="p"/>
              </m:rPr>
              <w:rPr>
                <w:rFonts w:ascii="Times New Roman" w:hAnsi="Times New Roman" w:eastAsiaTheme="minorEastAsia"/>
                <w:color w:val="000000" w:themeColor="text1"/>
                <w14:textFill>
                  <w14:solidFill>
                    <w14:schemeClr w14:val="tx1"/>
                  </w14:solidFill>
                </w14:textFill>
              </w:rPr>
              <m:t>ρ</m:t>
            </m:r>
            <m:ctrlPr>
              <w:rPr>
                <w:rFonts w:ascii="DejaVu Math TeX Gyre" w:hAnsi="DejaVu Math TeX Gyre" w:eastAsiaTheme="minorEastAsia"/>
                <w:color w:val="000000" w:themeColor="text1"/>
                <w14:textFill>
                  <w14:solidFill>
                    <w14:schemeClr w14:val="tx1"/>
                  </w14:solidFill>
                </w14:textFill>
              </w:rPr>
            </m:ctrlPr>
          </m:e>
          <m:sub>
            <m:r>
              <m:rPr>
                <m:sty m:val="p"/>
              </m:rPr>
              <w:rPr>
                <w:rFonts w:ascii="Times New Roman" w:hAnsi="Times New Roman" w:eastAsiaTheme="minorEastAsia"/>
                <w:color w:val="000000" w:themeColor="text1"/>
                <w14:textFill>
                  <w14:solidFill>
                    <w14:schemeClr w14:val="tx1"/>
                  </w14:solidFill>
                </w14:textFill>
              </w:rPr>
              <m:t>0</m:t>
            </m:r>
            <m:ctrlPr>
              <w:rPr>
                <w:rFonts w:ascii="DejaVu Math TeX Gyre" w:hAnsi="DejaVu Math TeX Gyre" w:eastAsiaTheme="minorEastAsia"/>
                <w:color w:val="000000" w:themeColor="text1"/>
                <w14:textFill>
                  <w14:solidFill>
                    <w14:schemeClr w14:val="tx1"/>
                  </w14:solidFill>
                </w14:textFill>
              </w:rPr>
            </m:ctrlPr>
          </m:sub>
        </m:sSub>
      </m:oMath>
      <w:r>
        <w:rPr>
          <w:rFonts w:hint="eastAsia" w:ascii="Times New Roman" w:hAnsi="Times New Roman" w:eastAsiaTheme="minorEastAsia"/>
          <w:color w:val="000000" w:themeColor="text1"/>
          <w14:textFill>
            <w14:solidFill>
              <w14:schemeClr w14:val="tx1"/>
            </w14:solidFill>
          </w14:textFill>
        </w:rPr>
        <w:t>----试样空白溶液被测元素质量浓度，单位为毫克每升（mg/L）；</w:t>
      </w:r>
    </w:p>
    <w:p w14:paraId="6C8602C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V----试样定容体积，单位为毫升（mL）；</w:t>
      </w:r>
    </w:p>
    <w:p w14:paraId="6C2655D3">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f----试样稀释倍数；</w:t>
      </w:r>
    </w:p>
    <w:p w14:paraId="15B77A76">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m----试样称取的质量，单位为克（g）。</w:t>
      </w:r>
    </w:p>
    <w:p w14:paraId="3AE1CF9E">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计算结果保留三位有效数字。</w:t>
      </w:r>
    </w:p>
    <w:p w14:paraId="03E6B692">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载药量按式（</w:t>
      </w:r>
      <w:r>
        <w:rPr>
          <w:rFonts w:hint="eastAsia" w:ascii="Times New Roman" w:hAnsi="Times New Roman" w:eastAsiaTheme="minorEastAsia"/>
          <w:color w:val="000000" w:themeColor="text1"/>
          <w:lang w:val="en-US" w:eastAsia="zh-CN"/>
          <w14:textFill>
            <w14:solidFill>
              <w14:schemeClr w14:val="tx1"/>
            </w14:solidFill>
          </w14:textFill>
        </w:rPr>
        <w:t>18</w:t>
      </w:r>
      <w:r>
        <w:rPr>
          <w:rFonts w:hint="eastAsia" w:ascii="Times New Roman" w:hAnsi="Times New Roman" w:eastAsiaTheme="minorEastAsia"/>
          <w:color w:val="000000" w:themeColor="text1"/>
          <w14:textFill>
            <w14:solidFill>
              <w14:schemeClr w14:val="tx1"/>
            </w14:solidFill>
          </w14:textFill>
        </w:rPr>
        <w:t>）计算：</w:t>
      </w:r>
    </w:p>
    <w:p w14:paraId="44F6AE2B">
      <w:pPr>
        <w:pStyle w:val="44"/>
        <w:numPr>
          <w:ilvl w:val="0"/>
          <w:numId w:val="0"/>
        </w:numPr>
        <w:autoSpaceDE/>
        <w:autoSpaceDN/>
        <w:ind w:firstLine="3990" w:firstLineChars="1900"/>
        <w:rPr>
          <w:rFonts w:ascii="Times New Roman" w:hAnsi="Times New Roman" w:eastAsiaTheme="minorEastAsia"/>
          <w:color w:val="000000" w:themeColor="text1"/>
          <w14:textFill>
            <w14:solidFill>
              <w14:schemeClr w14:val="tx1"/>
            </w14:solidFill>
          </w14:textFill>
        </w:rPr>
      </w:pPr>
      <m:oMath>
        <m:r>
          <m:rPr>
            <m:sty m:val="p"/>
          </m:rPr>
          <w:rPr>
            <w:rFonts w:ascii="Times New Roman" w:hAnsi="Times New Roman" w:eastAsiaTheme="minorEastAsia"/>
            <w:color w:val="000000" w:themeColor="text1"/>
            <w14:textFill>
              <w14:solidFill>
                <w14:schemeClr w14:val="tx1"/>
              </w14:solidFill>
            </w14:textFill>
          </w:rPr>
          <m:t>R=W×d/100</m:t>
        </m:r>
      </m:oMath>
      <w:r>
        <w:rPr>
          <w:rFonts w:hint="eastAsia" w:ascii="Times New Roman" w:hAnsi="Times New Roman" w:eastAsiaTheme="minorEastAsia"/>
          <w:i w:val="0"/>
          <w:color w:val="000000" w:themeColor="text1"/>
          <w:lang w:eastAsia="zh-CN"/>
          <w14:textFill>
            <w14:solidFill>
              <w14:schemeClr w14:val="tx1"/>
            </w14:solidFill>
          </w14:textFill>
        </w:rPr>
        <w:t>………………………………（</w:t>
      </w:r>
      <w:r>
        <w:rPr>
          <w:rFonts w:hint="eastAsia" w:ascii="Times New Roman" w:hAnsi="Times New Roman" w:eastAsiaTheme="minorEastAsia"/>
          <w:i w:val="0"/>
          <w:color w:val="000000" w:themeColor="text1"/>
          <w:lang w:val="en-US" w:eastAsia="zh-CN"/>
          <w14:textFill>
            <w14:solidFill>
              <w14:schemeClr w14:val="tx1"/>
            </w14:solidFill>
          </w14:textFill>
        </w:rPr>
        <w:t>18</w:t>
      </w:r>
      <w:r>
        <w:rPr>
          <w:rFonts w:hint="eastAsia" w:ascii="Times New Roman" w:hAnsi="Times New Roman" w:eastAsiaTheme="minorEastAsia"/>
          <w:i w:val="0"/>
          <w:color w:val="000000" w:themeColor="text1"/>
          <w:lang w:eastAsia="zh-CN"/>
          <w14:textFill>
            <w14:solidFill>
              <w14:schemeClr w14:val="tx1"/>
            </w14:solidFill>
          </w14:textFill>
        </w:rPr>
        <w:t>）</w:t>
      </w:r>
    </w:p>
    <w:p w14:paraId="46848B2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65DA2CDB">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---试样中有效成分的密度（kg/m3）；</w:t>
      </w:r>
    </w:p>
    <w:p w14:paraId="7DF7AC6A">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W----试样中有效成分的含量，单位为百分比（%）；</w:t>
      </w:r>
    </w:p>
    <w:p w14:paraId="219E5D10">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D----试样的密度，单位为千克每立方米（kg/m3）</w:t>
      </w:r>
    </w:p>
    <w:p w14:paraId="536500B5">
      <w:pPr>
        <w:pStyle w:val="58"/>
        <w:numPr>
          <w:ilvl w:val="0"/>
          <w:numId w:val="0"/>
        </w:numPr>
        <w:spacing w:before="156" w:after="156"/>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16.10 精密度</w:t>
      </w:r>
    </w:p>
    <w:p w14:paraId="64D90E0C">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样品中各元素含量大于1mg/kg时，在重复性条件下获得的两次独立测定结果的绝对差值不得超过算术平均值的10%，小于或等于1mg/kg时，在重复性条件西安获得的两次独立检测结果的绝对差值不得超过算术平均值的20%。</w:t>
      </w:r>
    </w:p>
    <w:p w14:paraId="4DAC33ED">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eastAsia="黑体"/>
          <w:color w:val="000000" w:themeColor="text1"/>
          <w14:textFill>
            <w14:solidFill>
              <w14:schemeClr w14:val="tx1"/>
            </w14:solidFill>
          </w14:textFill>
        </w:rPr>
        <w:t>原子吸收光谱法测定防腐剂及防腐材中的铜铬砷</w:t>
      </w:r>
    </w:p>
    <w:p w14:paraId="44837B73">
      <w:pPr>
        <w:pStyle w:val="44"/>
        <w:numPr>
          <w:ilvl w:val="-1"/>
          <w:numId w:val="0"/>
        </w:numPr>
        <w:autoSpaceDE/>
        <w:autoSpaceDN/>
        <w:ind w:firstLine="420" w:firstLineChars="200"/>
        <w:rPr>
          <w:rFonts w:hint="default" w:ascii="Times New Roman" w:hAnsi="Times New Roman" w:eastAsia="黑体"/>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按照</w:t>
      </w:r>
      <w:r>
        <w:rPr>
          <w:rFonts w:hint="eastAsia" w:ascii="Times New Roman" w:hAnsi="Times New Roman"/>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B/T 23229-2023</w:t>
      </w:r>
      <w:r>
        <w:rPr>
          <w:rFonts w:hint="eastAsia" w:ascii="Times New Roman" w:hAnsi="Times New Roman"/>
          <w:color w:val="000000" w:themeColor="text1"/>
          <w14:textFill>
            <w14:solidFill>
              <w14:schemeClr w14:val="tx1"/>
            </w14:solidFill>
          </w14:textFill>
        </w:rPr>
        <w:t>中的4</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和4</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lang w:val="en-US" w:eastAsia="zh-CN"/>
          <w14:textFill>
            <w14:solidFill>
              <w14:schemeClr w14:val="tx1"/>
            </w14:solidFill>
          </w14:textFill>
        </w:rPr>
        <w:t>要求执行</w:t>
      </w:r>
    </w:p>
    <w:p w14:paraId="2657E286">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X射线荧光能谱仪</w:t>
      </w:r>
      <w:r>
        <w:rPr>
          <w:rFonts w:hint="eastAsia" w:ascii="Times New Roman" w:hAnsi="Times New Roman" w:eastAsia="黑体"/>
          <w:color w:val="000000" w:themeColor="text1"/>
          <w14:textFill>
            <w14:solidFill>
              <w14:schemeClr w14:val="tx1"/>
            </w14:solidFill>
          </w14:textFill>
        </w:rPr>
        <w:t>法测定防腐剂及防腐材中的铜铬砷</w:t>
      </w:r>
    </w:p>
    <w:p w14:paraId="0FAE93B7">
      <w:pPr>
        <w:pStyle w:val="44"/>
        <w:numPr>
          <w:ilvl w:val="0"/>
          <w:numId w:val="0"/>
        </w:numPr>
        <w:autoSpaceDE w:val="0"/>
        <w:autoSpaceDN w:val="0"/>
        <w:ind w:firstLine="420" w:firstLineChars="200"/>
        <w:rPr>
          <w:rFonts w:hint="default" w:ascii="Times New Roman" w:hAnsi="Times New Roman" w:eastAsia="黑体"/>
          <w:color w:val="000000" w:themeColor="text1"/>
          <w14:textFill>
            <w14:solidFill>
              <w14:schemeClr w14:val="tx1"/>
            </w14:solidFill>
          </w14:textFill>
        </w:rPr>
      </w:pPr>
      <w:r>
        <w:rPr>
          <w:rFonts w:hint="eastAsia" w:ascii="Times New Roman" w:hAnsi="Times New Roman"/>
          <w:color w:val="000000" w:themeColor="text1"/>
          <w:lang w:val="en-US" w:eastAsia="zh-CN"/>
          <w14:textFill>
            <w14:solidFill>
              <w14:schemeClr w14:val="tx1"/>
            </w14:solidFill>
          </w14:textFill>
        </w:rPr>
        <w:t>按照</w:t>
      </w:r>
      <w:r>
        <w:rPr>
          <w:rFonts w:hint="eastAsia" w:ascii="Times New Roman" w:hAnsi="Times New Roman"/>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B/T 23229-2023</w:t>
      </w:r>
      <w:r>
        <w:rPr>
          <w:rFonts w:hint="eastAsia" w:ascii="Times New Roman" w:hAnsi="Times New Roman"/>
          <w:color w:val="000000" w:themeColor="text1"/>
          <w14:textFill>
            <w14:solidFill>
              <w14:schemeClr w14:val="tx1"/>
            </w14:solidFill>
          </w14:textFill>
        </w:rPr>
        <w:t>中的4</w:t>
      </w:r>
      <w:r>
        <w:rPr>
          <w:rFonts w:ascii="Times New Roman" w:hAnsi="Times New Roman"/>
          <w:color w:val="000000" w:themeColor="text1"/>
          <w14:textFill>
            <w14:solidFill>
              <w14:schemeClr w14:val="tx1"/>
            </w14:solidFill>
          </w14:textFill>
        </w:rPr>
        <w:t>.3</w:t>
      </w:r>
      <w:r>
        <w:rPr>
          <w:rFonts w:hint="eastAsia" w:ascii="Times New Roman" w:hAnsi="Times New Roman"/>
          <w:color w:val="000000" w:themeColor="text1"/>
          <w:lang w:val="en-US" w:eastAsia="zh-CN"/>
          <w14:textFill>
            <w14:solidFill>
              <w14:schemeClr w14:val="tx1"/>
            </w14:solidFill>
          </w14:textFill>
        </w:rPr>
        <w:t>要求执行</w:t>
      </w:r>
    </w:p>
    <w:p w14:paraId="58B93053">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等离子发射光谱法（I</w:t>
      </w:r>
      <w:r>
        <w:rPr>
          <w:rFonts w:ascii="Times New Roman" w:hAnsi="Times New Roman"/>
          <w:color w:val="000000" w:themeColor="text1"/>
          <w14:textFill>
            <w14:solidFill>
              <w14:schemeClr w14:val="tx1"/>
            </w14:solidFill>
          </w14:textFill>
        </w:rPr>
        <w:t>CP-AES</w:t>
      </w:r>
      <w:r>
        <w:rPr>
          <w:rFonts w:hint="eastAsia" w:ascii="Times New Roman" w:hAnsi="Times New Roman"/>
          <w:color w:val="000000" w:themeColor="text1"/>
          <w14:textFill>
            <w14:solidFill>
              <w14:schemeClr w14:val="tx1"/>
            </w14:solidFill>
          </w14:textFill>
        </w:rPr>
        <w:t>）测定防腐剂及防腐材中的铜铬砷</w:t>
      </w:r>
    </w:p>
    <w:p w14:paraId="75BFB0D7">
      <w:pPr>
        <w:pStyle w:val="44"/>
        <w:numPr>
          <w:ilvl w:val="0"/>
          <w:numId w:val="0"/>
        </w:numPr>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按照</w:t>
      </w:r>
      <w:r>
        <w:rPr>
          <w:rFonts w:hint="eastAsia" w:ascii="Times New Roman" w:hAnsi="Times New Roman"/>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B/T 23229-2023</w:t>
      </w:r>
      <w:r>
        <w:rPr>
          <w:rFonts w:hint="eastAsia" w:ascii="Times New Roman" w:hAnsi="Times New Roman"/>
          <w:color w:val="000000" w:themeColor="text1"/>
          <w14:textFill>
            <w14:solidFill>
              <w14:schemeClr w14:val="tx1"/>
            </w14:solidFill>
          </w14:textFill>
        </w:rPr>
        <w:t>中的4</w:t>
      </w:r>
      <w:r>
        <w:rPr>
          <w:rFonts w:ascii="Times New Roman" w:hAnsi="Times New Roman"/>
          <w:color w:val="000000" w:themeColor="text1"/>
          <w14:textFill>
            <w14:solidFill>
              <w14:schemeClr w14:val="tx1"/>
            </w14:solidFill>
          </w14:textFill>
        </w:rPr>
        <w:t>.4</w:t>
      </w:r>
      <w:r>
        <w:rPr>
          <w:rFonts w:hint="eastAsia" w:ascii="Times New Roman" w:hAnsi="Times New Roman"/>
          <w:color w:val="000000" w:themeColor="text1"/>
          <w:lang w:eastAsia="zh-CN"/>
          <w14:textFill>
            <w14:solidFill>
              <w14:schemeClr w14:val="tx1"/>
            </w14:solidFill>
          </w14:textFill>
        </w:rPr>
        <w:t>要求执行</w:t>
      </w:r>
      <w:r>
        <w:rPr>
          <w:rFonts w:hint="eastAsia" w:ascii="Times New Roman" w:hAnsi="Times New Roman"/>
          <w:color w:val="000000" w:themeColor="text1"/>
          <w14:textFill>
            <w14:solidFill>
              <w14:schemeClr w14:val="tx1"/>
            </w14:solidFill>
          </w14:textFill>
        </w:rPr>
        <w:t>。</w:t>
      </w:r>
    </w:p>
    <w:p w14:paraId="4821F898">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等离子发射光谱法（I</w:t>
      </w:r>
      <w:r>
        <w:rPr>
          <w:rFonts w:ascii="Times New Roman" w:hAnsi="Times New Roman"/>
          <w:color w:val="000000" w:themeColor="text1"/>
          <w14:textFill>
            <w14:solidFill>
              <w14:schemeClr w14:val="tx1"/>
            </w14:solidFill>
          </w14:textFill>
        </w:rPr>
        <w:t>CP-AES</w:t>
      </w:r>
      <w:r>
        <w:rPr>
          <w:rFonts w:hint="eastAsia" w:ascii="Times New Roman" w:hAnsi="Times New Roman"/>
          <w:color w:val="000000" w:themeColor="text1"/>
          <w14:textFill>
            <w14:solidFill>
              <w14:schemeClr w14:val="tx1"/>
            </w14:solidFill>
          </w14:textFill>
        </w:rPr>
        <w:t>）测定防腐剂及防腐材中的硼</w:t>
      </w:r>
    </w:p>
    <w:p w14:paraId="65A34A04">
      <w:pPr>
        <w:pStyle w:val="44"/>
        <w:numPr>
          <w:ilvl w:val="0"/>
          <w:numId w:val="0"/>
        </w:numPr>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lang w:eastAsia="zh-CN"/>
          <w14:textFill>
            <w14:solidFill>
              <w14:schemeClr w14:val="tx1"/>
            </w14:solidFill>
          </w14:textFill>
        </w:rPr>
        <w:t>按照</w:t>
      </w:r>
      <w:r>
        <w:rPr>
          <w:rFonts w:hint="eastAsia" w:ascii="Times New Roman" w:hAnsi="Times New Roman"/>
          <w:color w:val="000000" w:themeColor="text1"/>
          <w14:textFill>
            <w14:solidFill>
              <w14:schemeClr w14:val="tx1"/>
            </w14:solidFill>
          </w14:textFill>
        </w:rPr>
        <w:t>G</w:t>
      </w:r>
      <w:r>
        <w:rPr>
          <w:rFonts w:ascii="Times New Roman" w:hAnsi="Times New Roman"/>
          <w:color w:val="000000" w:themeColor="text1"/>
          <w14:textFill>
            <w14:solidFill>
              <w14:schemeClr w14:val="tx1"/>
            </w14:solidFill>
          </w14:textFill>
        </w:rPr>
        <w:t>B/T 23229-2023</w:t>
      </w:r>
      <w:r>
        <w:rPr>
          <w:rFonts w:hint="eastAsia" w:ascii="Times New Roman" w:hAnsi="Times New Roman"/>
          <w:color w:val="000000" w:themeColor="text1"/>
          <w14:textFill>
            <w14:solidFill>
              <w14:schemeClr w14:val="tx1"/>
            </w14:solidFill>
          </w14:textFill>
        </w:rPr>
        <w:t>中的</w:t>
      </w:r>
      <w:r>
        <w:rPr>
          <w:rFonts w:ascii="Times New Roman" w:hAnsi="Times New Roman"/>
          <w:color w:val="000000" w:themeColor="text1"/>
          <w14:textFill>
            <w14:solidFill>
              <w14:schemeClr w14:val="tx1"/>
            </w14:solidFill>
          </w14:textFill>
        </w:rPr>
        <w:t>5.2</w:t>
      </w:r>
      <w:r>
        <w:rPr>
          <w:rFonts w:hint="eastAsia" w:ascii="Times New Roman" w:hAnsi="Times New Roman"/>
          <w:color w:val="000000" w:themeColor="text1"/>
          <w:lang w:eastAsia="zh-CN"/>
          <w14:textFill>
            <w14:solidFill>
              <w14:schemeClr w14:val="tx1"/>
            </w14:solidFill>
          </w14:textFill>
        </w:rPr>
        <w:t>要求执行</w:t>
      </w:r>
      <w:r>
        <w:rPr>
          <w:rFonts w:hint="eastAsia" w:ascii="Times New Roman" w:hAnsi="Times New Roman"/>
          <w:color w:val="000000" w:themeColor="text1"/>
          <w14:textFill>
            <w14:solidFill>
              <w14:schemeClr w14:val="tx1"/>
            </w14:solidFill>
          </w14:textFill>
        </w:rPr>
        <w:t>。</w:t>
      </w:r>
    </w:p>
    <w:p w14:paraId="56BE7558">
      <w:pPr>
        <w:pStyle w:val="48"/>
        <w:numPr>
          <w:ilvl w:val="0"/>
          <w:numId w:val="1"/>
        </w:numPr>
        <w:tabs>
          <w:tab w:val="clear" w:pos="0"/>
        </w:tabs>
        <w:spacing w:before="312" w:after="312"/>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高效液相色谱法</w:t>
      </w:r>
      <w:r>
        <w:rPr>
          <w:rFonts w:hint="eastAsia" w:ascii="Times New Roman" w:hAnsi="Times New Roman"/>
          <w:color w:val="000000" w:themeColor="text1"/>
          <w14:textFill>
            <w14:solidFill>
              <w14:schemeClr w14:val="tx1"/>
            </w14:solidFill>
          </w14:textFill>
        </w:rPr>
        <w:t>测防腐剂及防腐木材中的戊唑醇丙环唑</w:t>
      </w:r>
    </w:p>
    <w:p w14:paraId="63A88689">
      <w:pPr>
        <w:pStyle w:val="44"/>
        <w:numPr>
          <w:ilvl w:val="0"/>
          <w:numId w:val="0"/>
        </w:num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21.1 </w:t>
      </w:r>
      <w:r>
        <w:rPr>
          <w:rFonts w:hint="eastAsia" w:ascii="Times New Roman" w:hAnsi="Times New Roman"/>
          <w:color w:val="000000" w:themeColor="text1"/>
          <w14:textFill>
            <w14:solidFill>
              <w14:schemeClr w14:val="tx1"/>
            </w14:solidFill>
          </w14:textFill>
        </w:rPr>
        <w:t>试剂</w:t>
      </w:r>
    </w:p>
    <w:p w14:paraId="533E203E">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w:t>
      </w:r>
      <w:r>
        <w:rPr>
          <w:rFonts w:hint="eastAsia" w:ascii="Times New Roman" w:hAnsi="Times New Roman"/>
          <w:color w:val="000000" w:themeColor="text1"/>
          <w14:textFill>
            <w14:solidFill>
              <w14:schemeClr w14:val="tx1"/>
            </w14:solidFill>
          </w14:textFill>
        </w:rPr>
        <w:t>乙腈（色谱级）</w:t>
      </w:r>
    </w:p>
    <w:p w14:paraId="1167C8A3">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b)  </w:t>
      </w:r>
      <w:r>
        <w:rPr>
          <w:rFonts w:hint="eastAsia" w:ascii="Times New Roman" w:hAnsi="Times New Roman"/>
          <w:color w:val="000000" w:themeColor="text1"/>
          <w14:textFill>
            <w14:solidFill>
              <w14:schemeClr w14:val="tx1"/>
            </w14:solidFill>
          </w14:textFill>
        </w:rPr>
        <w:t>超纯水</w:t>
      </w:r>
    </w:p>
    <w:p w14:paraId="5588CE16">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w:t>
      </w:r>
      <w:r>
        <w:rPr>
          <w:rFonts w:hint="eastAsia" w:ascii="Times New Roman" w:hAnsi="Times New Roman"/>
          <w:color w:val="000000" w:themeColor="text1"/>
          <w14:textFill>
            <w14:solidFill>
              <w14:schemeClr w14:val="tx1"/>
            </w14:solidFill>
          </w14:textFill>
        </w:rPr>
        <w:t>甲醇（色谱级）</w:t>
      </w:r>
    </w:p>
    <w:p w14:paraId="7C56F6A8">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  </w:t>
      </w:r>
      <w:r>
        <w:rPr>
          <w:rFonts w:hint="eastAsia" w:ascii="Times New Roman" w:hAnsi="Times New Roman"/>
          <w:color w:val="000000" w:themeColor="text1"/>
          <w14:textFill>
            <w14:solidFill>
              <w14:schemeClr w14:val="tx1"/>
            </w14:solidFill>
          </w14:textFill>
        </w:rPr>
        <w:t>磷酸氢二铵</w:t>
      </w:r>
    </w:p>
    <w:p w14:paraId="2F4194FA">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e)  </w:t>
      </w:r>
      <w:r>
        <w:rPr>
          <w:rFonts w:hint="eastAsia" w:ascii="Times New Roman" w:hAnsi="Times New Roman"/>
          <w:color w:val="000000" w:themeColor="text1"/>
          <w14:textFill>
            <w14:solidFill>
              <w14:schemeClr w14:val="tx1"/>
            </w14:solidFill>
          </w14:textFill>
        </w:rPr>
        <w:t>碳酸钠</w:t>
      </w:r>
    </w:p>
    <w:p w14:paraId="01FCFDBC">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f)  </w:t>
      </w:r>
      <w:r>
        <w:rPr>
          <w:rFonts w:hint="eastAsia" w:ascii="Times New Roman" w:hAnsi="Times New Roman"/>
          <w:color w:val="000000" w:themeColor="text1"/>
          <w14:textFill>
            <w14:solidFill>
              <w14:schemeClr w14:val="tx1"/>
            </w14:solidFill>
          </w14:textFill>
        </w:rPr>
        <w:t>戊唑醇分析标准物（粉末，由供应商标明已知质量分数，≥98％）</w:t>
      </w:r>
      <w:bookmarkStart w:id="277" w:name="_GoBack"/>
      <w:bookmarkEnd w:id="277"/>
    </w:p>
    <w:p w14:paraId="619ED0A3">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g)  </w:t>
      </w:r>
      <w:r>
        <w:rPr>
          <w:rFonts w:hint="eastAsia" w:ascii="Times New Roman" w:hAnsi="Times New Roman"/>
          <w:color w:val="000000" w:themeColor="text1"/>
          <w14:textFill>
            <w14:solidFill>
              <w14:schemeClr w14:val="tx1"/>
            </w14:solidFill>
          </w14:textFill>
        </w:rPr>
        <w:t>高效液相色谱校准－标准液（含</w:t>
      </w:r>
      <w:r>
        <w:rPr>
          <w:rFonts w:ascii="Times New Roman" w:hAnsi="Times New Roman"/>
          <w:color w:val="000000" w:themeColor="text1"/>
          <w14:textFill>
            <w14:solidFill>
              <w14:schemeClr w14:val="tx1"/>
            </w14:solidFill>
          </w14:textFill>
        </w:rPr>
        <w:t>20mg/L</w:t>
      </w:r>
      <w:r>
        <w:rPr>
          <w:rFonts w:hint="eastAsia" w:ascii="Times New Roman" w:hAnsi="Times New Roman"/>
          <w:color w:val="000000" w:themeColor="text1"/>
          <w14:textFill>
            <w14:solidFill>
              <w14:schemeClr w14:val="tx1"/>
            </w14:solidFill>
          </w14:textFill>
        </w:rPr>
        <w:t>戊唑醇的甲醇标准溶液）</w:t>
      </w:r>
    </w:p>
    <w:p w14:paraId="24B6F807">
      <w:pPr>
        <w:pStyle w:val="44"/>
        <w:numPr>
          <w:ilvl w:val="0"/>
          <w:numId w:val="0"/>
        </w:num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21.2  </w:t>
      </w:r>
      <w:r>
        <w:rPr>
          <w:rFonts w:hint="eastAsia" w:ascii="Times New Roman" w:hAnsi="Times New Roman"/>
          <w:color w:val="000000" w:themeColor="text1"/>
          <w14:textFill>
            <w14:solidFill>
              <w14:schemeClr w14:val="tx1"/>
            </w14:solidFill>
          </w14:textFill>
        </w:rPr>
        <w:t>仪器及设备</w:t>
      </w:r>
    </w:p>
    <w:p w14:paraId="1A55E3DC">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w:t>
      </w:r>
      <w:r>
        <w:rPr>
          <w:rFonts w:hint="eastAsia" w:ascii="Times New Roman" w:hAnsi="Times New Roman"/>
          <w:color w:val="000000" w:themeColor="text1"/>
          <w14:textFill>
            <w14:solidFill>
              <w14:schemeClr w14:val="tx1"/>
            </w14:solidFill>
          </w14:textFill>
        </w:rPr>
        <w:t>高效液相色谱系统：包括具有可调波长紫外检测仪，自动进样器</w:t>
      </w:r>
    </w:p>
    <w:p w14:paraId="6C13350D">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b)  </w:t>
      </w:r>
      <w:r>
        <w:rPr>
          <w:rFonts w:hint="eastAsia" w:ascii="Times New Roman" w:hAnsi="Times New Roman"/>
          <w:color w:val="000000" w:themeColor="text1"/>
          <w14:textFill>
            <w14:solidFill>
              <w14:schemeClr w14:val="tx1"/>
            </w14:solidFill>
          </w14:textFill>
        </w:rPr>
        <w:t>数据收集和处理系统：包括微电脑和软件</w:t>
      </w:r>
    </w:p>
    <w:p w14:paraId="37E73486">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w:t>
      </w:r>
      <w:r>
        <w:rPr>
          <w:rFonts w:hint="eastAsia" w:ascii="Times New Roman" w:hAnsi="Times New Roman"/>
          <w:color w:val="000000" w:themeColor="text1"/>
          <w14:textFill>
            <w14:solidFill>
              <w14:schemeClr w14:val="tx1"/>
            </w14:solidFill>
          </w14:textFill>
        </w:rPr>
        <w:t>分析天平，灵敏度为</w:t>
      </w:r>
      <w:r>
        <w:rPr>
          <w:rFonts w:ascii="Times New Roman" w:hAnsi="Times New Roman"/>
          <w:color w:val="000000" w:themeColor="text1"/>
          <w14:textFill>
            <w14:solidFill>
              <w14:schemeClr w14:val="tx1"/>
            </w14:solidFill>
          </w14:textFill>
        </w:rPr>
        <w:t>0.0001g</w:t>
      </w:r>
    </w:p>
    <w:p w14:paraId="3BD6DBCF">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  </w:t>
      </w:r>
      <w:r>
        <w:rPr>
          <w:rFonts w:hint="eastAsia" w:ascii="Times New Roman" w:hAnsi="Times New Roman"/>
          <w:color w:val="000000" w:themeColor="text1"/>
          <w14:textFill>
            <w14:solidFill>
              <w14:schemeClr w14:val="tx1"/>
            </w14:solidFill>
          </w14:textFill>
        </w:rPr>
        <w:t>色谱柱：</w:t>
      </w:r>
      <w:r>
        <w:rPr>
          <w:rFonts w:ascii="Times New Roman" w:hAnsi="Times New Roman"/>
          <w:color w:val="000000" w:themeColor="text1"/>
          <w14:textFill>
            <w14:solidFill>
              <w14:schemeClr w14:val="tx1"/>
            </w14:solidFill>
          </w14:textFill>
        </w:rPr>
        <w:t>Inertsil ODS-3</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150×46mm</w:t>
      </w:r>
      <w:r>
        <w:rPr>
          <w:rFonts w:hint="eastAsia" w:ascii="Times New Roman" w:hAnsi="Times New Roman"/>
          <w:color w:val="000000" w:themeColor="text1"/>
          <w14:textFill>
            <w14:solidFill>
              <w14:schemeClr w14:val="tx1"/>
            </w14:solidFill>
          </w14:textFill>
        </w:rPr>
        <w:t>（内径），</w:t>
      </w:r>
      <w:r>
        <w:rPr>
          <w:rFonts w:ascii="Times New Roman" w:hAnsi="Times New Roman"/>
          <w:color w:val="000000" w:themeColor="text1"/>
          <w14:textFill>
            <w14:solidFill>
              <w14:schemeClr w14:val="tx1"/>
            </w14:solidFill>
          </w14:textFill>
        </w:rPr>
        <w:t>3μm</w:t>
      </w:r>
    </w:p>
    <w:p w14:paraId="3CBB79F4">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e)  SAX</w:t>
      </w:r>
      <w:r>
        <w:rPr>
          <w:rFonts w:hint="eastAsia" w:ascii="Times New Roman" w:hAnsi="Times New Roman"/>
          <w:color w:val="000000" w:themeColor="text1"/>
          <w14:textFill>
            <w14:solidFill>
              <w14:schemeClr w14:val="tx1"/>
            </w14:solidFill>
          </w14:textFill>
        </w:rPr>
        <w:t>固相萃取柱：</w:t>
      </w:r>
      <w:r>
        <w:rPr>
          <w:rFonts w:ascii="Times New Roman" w:hAnsi="Times New Roman"/>
          <w:color w:val="000000" w:themeColor="text1"/>
          <w14:textFill>
            <w14:solidFill>
              <w14:schemeClr w14:val="tx1"/>
            </w14:solidFill>
          </w14:textFill>
        </w:rPr>
        <w:t>500mg</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4mL</w:t>
      </w:r>
      <w:r>
        <w:rPr>
          <w:rFonts w:hint="eastAsia" w:ascii="Times New Roman" w:hAnsi="Times New Roman"/>
          <w:color w:val="000000" w:themeColor="text1"/>
          <w14:textFill>
            <w14:solidFill>
              <w14:schemeClr w14:val="tx1"/>
            </w14:solidFill>
          </w14:textFill>
        </w:rPr>
        <w:t>管</w:t>
      </w:r>
    </w:p>
    <w:p w14:paraId="7F4252BD">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f)  3mL</w:t>
      </w:r>
      <w:r>
        <w:rPr>
          <w:rFonts w:hint="eastAsia" w:ascii="Times New Roman" w:hAnsi="Times New Roman"/>
          <w:color w:val="000000" w:themeColor="text1"/>
          <w14:textFill>
            <w14:solidFill>
              <w14:schemeClr w14:val="tx1"/>
            </w14:solidFill>
          </w14:textFill>
        </w:rPr>
        <w:t>塑料一次性注射器</w:t>
      </w:r>
    </w:p>
    <w:p w14:paraId="2E6D1958">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g)  13mm×0.45μm</w:t>
      </w:r>
      <w:r>
        <w:rPr>
          <w:rFonts w:hint="eastAsia" w:ascii="Times New Roman" w:hAnsi="Times New Roman"/>
          <w:color w:val="000000" w:themeColor="text1"/>
          <w14:textFill>
            <w14:solidFill>
              <w14:schemeClr w14:val="tx1"/>
            </w14:solidFill>
          </w14:textFill>
        </w:rPr>
        <w:t>尼龙针筒过滤器</w:t>
      </w:r>
    </w:p>
    <w:p w14:paraId="2A720209">
      <w:pPr>
        <w:pStyle w:val="44"/>
        <w:numPr>
          <w:ilvl w:val="0"/>
          <w:numId w:val="0"/>
        </w:num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21.3  </w:t>
      </w:r>
      <w:r>
        <w:rPr>
          <w:rFonts w:hint="eastAsia" w:ascii="Times New Roman" w:hAnsi="Times New Roman"/>
          <w:color w:val="000000" w:themeColor="text1"/>
          <w14:textFill>
            <w14:solidFill>
              <w14:schemeClr w14:val="tx1"/>
            </w14:solidFill>
          </w14:textFill>
        </w:rPr>
        <w:t>仪器参数</w:t>
      </w:r>
    </w:p>
    <w:p w14:paraId="72C4EE88">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  </w:t>
      </w:r>
      <w:r>
        <w:rPr>
          <w:rFonts w:hint="eastAsia" w:ascii="Times New Roman" w:hAnsi="Times New Roman"/>
          <w:color w:val="000000" w:themeColor="text1"/>
          <w14:textFill>
            <w14:solidFill>
              <w14:schemeClr w14:val="tx1"/>
            </w14:solidFill>
          </w14:textFill>
        </w:rPr>
        <w:t>柱温：35℃</w:t>
      </w:r>
    </w:p>
    <w:p w14:paraId="07FFBA64">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b)  </w:t>
      </w:r>
      <w:r>
        <w:rPr>
          <w:rFonts w:hint="eastAsia" w:ascii="Times New Roman" w:hAnsi="Times New Roman"/>
          <w:color w:val="000000" w:themeColor="text1"/>
          <w14:textFill>
            <w14:solidFill>
              <w14:schemeClr w14:val="tx1"/>
            </w14:solidFill>
          </w14:textFill>
        </w:rPr>
        <w:t>流速：</w:t>
      </w:r>
      <w:r>
        <w:rPr>
          <w:rFonts w:ascii="Times New Roman" w:hAnsi="Times New Roman"/>
          <w:color w:val="000000" w:themeColor="text1"/>
          <w14:textFill>
            <w14:solidFill>
              <w14:schemeClr w14:val="tx1"/>
            </w14:solidFill>
          </w14:textFill>
        </w:rPr>
        <w:t>1.00mL/min</w:t>
      </w:r>
    </w:p>
    <w:p w14:paraId="789E3FDA">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c)  </w:t>
      </w:r>
      <w:r>
        <w:rPr>
          <w:rFonts w:hint="eastAsia" w:ascii="Times New Roman" w:hAnsi="Times New Roman"/>
          <w:color w:val="000000" w:themeColor="text1"/>
          <w14:textFill>
            <w14:solidFill>
              <w14:schemeClr w14:val="tx1"/>
            </w14:solidFill>
          </w14:textFill>
        </w:rPr>
        <w:t>流动相：乙腈</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磷酸氢二铵缓冲液</w:t>
      </w:r>
      <w:r>
        <w:rPr>
          <w:rFonts w:ascii="Times New Roman" w:hAnsi="Times New Roman"/>
          <w:color w:val="000000" w:themeColor="text1"/>
          <w14:textFill>
            <w14:solidFill>
              <w14:schemeClr w14:val="tx1"/>
            </w14:solidFill>
          </w14:textFill>
        </w:rPr>
        <w:t>(55</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45</w:t>
      </w:r>
      <w:r>
        <w:rPr>
          <w:rFonts w:hint="eastAsia" w:ascii="Times New Roman" w:hAnsi="Times New Roman"/>
          <w:color w:val="000000" w:themeColor="text1"/>
          <w14:textFill>
            <w14:solidFill>
              <w14:schemeClr w14:val="tx1"/>
            </w14:solidFill>
          </w14:textFill>
        </w:rPr>
        <w:t>，体积分数</w:t>
      </w:r>
      <w:r>
        <w:rPr>
          <w:rFonts w:ascii="Times New Roman" w:hAnsi="Times New Roman"/>
          <w:color w:val="000000" w:themeColor="text1"/>
          <w14:textFill>
            <w14:solidFill>
              <w14:schemeClr w14:val="tx1"/>
            </w14:solidFill>
          </w14:textFill>
        </w:rPr>
        <w:t>)</w:t>
      </w:r>
    </w:p>
    <w:p w14:paraId="6A0490DE">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d)  </w:t>
      </w:r>
      <w:r>
        <w:rPr>
          <w:rFonts w:hint="eastAsia" w:ascii="Times New Roman" w:hAnsi="Times New Roman"/>
          <w:color w:val="000000" w:themeColor="text1"/>
          <w14:textFill>
            <w14:solidFill>
              <w14:schemeClr w14:val="tx1"/>
            </w14:solidFill>
          </w14:textFill>
        </w:rPr>
        <w:t>检测波长：</w:t>
      </w:r>
      <w:r>
        <w:rPr>
          <w:rFonts w:ascii="Times New Roman" w:hAnsi="Times New Roman"/>
          <w:color w:val="000000" w:themeColor="text1"/>
          <w14:textFill>
            <w14:solidFill>
              <w14:schemeClr w14:val="tx1"/>
            </w14:solidFill>
          </w14:textFill>
        </w:rPr>
        <w:t>UV@195nm</w:t>
      </w:r>
    </w:p>
    <w:p w14:paraId="4C368C75">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e)  </w:t>
      </w:r>
      <w:r>
        <w:rPr>
          <w:rFonts w:hint="eastAsia" w:ascii="Times New Roman" w:hAnsi="Times New Roman"/>
          <w:color w:val="000000" w:themeColor="text1"/>
          <w14:textFill>
            <w14:solidFill>
              <w14:schemeClr w14:val="tx1"/>
            </w14:solidFill>
          </w14:textFill>
        </w:rPr>
        <w:t>进样量：</w:t>
      </w:r>
      <w:r>
        <w:rPr>
          <w:rFonts w:ascii="Times New Roman" w:hAnsi="Times New Roman"/>
          <w:color w:val="000000" w:themeColor="text1"/>
          <w14:textFill>
            <w14:solidFill>
              <w14:schemeClr w14:val="tx1"/>
            </w14:solidFill>
          </w14:textFill>
        </w:rPr>
        <w:t>10μL</w:t>
      </w:r>
    </w:p>
    <w:p w14:paraId="63B74F5A">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f)  </w:t>
      </w:r>
      <w:r>
        <w:rPr>
          <w:rFonts w:hint="eastAsia" w:ascii="Times New Roman" w:hAnsi="Times New Roman"/>
          <w:color w:val="000000" w:themeColor="text1"/>
          <w14:textFill>
            <w14:solidFill>
              <w14:schemeClr w14:val="tx1"/>
            </w14:solidFill>
          </w14:textFill>
        </w:rPr>
        <w:t>数据收集时间：</w:t>
      </w:r>
      <w:r>
        <w:rPr>
          <w:rFonts w:ascii="Times New Roman" w:hAnsi="Times New Roman"/>
          <w:color w:val="000000" w:themeColor="text1"/>
          <w14:textFill>
            <w14:solidFill>
              <w14:schemeClr w14:val="tx1"/>
            </w14:solidFill>
          </w14:textFill>
        </w:rPr>
        <w:t>12min</w:t>
      </w:r>
    </w:p>
    <w:p w14:paraId="0A6C0A4A">
      <w:pPr>
        <w:autoSpaceDE/>
        <w:autoSpaceDN/>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g)  </w:t>
      </w:r>
      <w:r>
        <w:rPr>
          <w:rFonts w:hint="eastAsia" w:ascii="Times New Roman" w:hAnsi="Times New Roman"/>
          <w:color w:val="000000" w:themeColor="text1"/>
          <w14:textFill>
            <w14:solidFill>
              <w14:schemeClr w14:val="tx1"/>
            </w14:solidFill>
          </w14:textFill>
        </w:rPr>
        <w:t>积分形式：面积</w:t>
      </w:r>
    </w:p>
    <w:p w14:paraId="6DD35D25">
      <w:pPr>
        <w:pStyle w:val="44"/>
        <w:numPr>
          <w:ilvl w:val="0"/>
          <w:numId w:val="0"/>
        </w:num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21.4  </w:t>
      </w:r>
      <w:r>
        <w:rPr>
          <w:rFonts w:hint="eastAsia" w:ascii="Times New Roman" w:hAnsi="Times New Roman"/>
          <w:color w:val="000000" w:themeColor="text1"/>
          <w14:textFill>
            <w14:solidFill>
              <w14:schemeClr w14:val="tx1"/>
            </w14:solidFill>
          </w14:textFill>
        </w:rPr>
        <w:t>操作步骤</w:t>
      </w:r>
    </w:p>
    <w:p w14:paraId="60A95158">
      <w:pPr>
        <w:pStyle w:val="44"/>
        <w:numPr>
          <w:ilvl w:val="0"/>
          <w:numId w:val="0"/>
        </w:num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21.4.1  </w:t>
      </w:r>
      <w:r>
        <w:rPr>
          <w:rFonts w:hint="eastAsia" w:ascii="Times New Roman" w:hAnsi="Times New Roman"/>
          <w:color w:val="000000" w:themeColor="text1"/>
          <w14:textFill>
            <w14:solidFill>
              <w14:schemeClr w14:val="tx1"/>
            </w14:solidFill>
          </w14:textFill>
        </w:rPr>
        <w:t>乙腈</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磷酸氢二铵缓冲液</w:t>
      </w:r>
      <w:r>
        <w:rPr>
          <w:rFonts w:ascii="Times New Roman" w:hAnsi="Times New Roman"/>
          <w:color w:val="000000" w:themeColor="text1"/>
          <w14:textFill>
            <w14:solidFill>
              <w14:schemeClr w14:val="tx1"/>
            </w14:solidFill>
          </w14:textFill>
        </w:rPr>
        <w:t>(55</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45</w:t>
      </w:r>
      <w:r>
        <w:rPr>
          <w:rFonts w:hint="eastAsia" w:ascii="Times New Roman" w:hAnsi="Times New Roman"/>
          <w:color w:val="000000" w:themeColor="text1"/>
          <w14:textFill>
            <w14:solidFill>
              <w14:schemeClr w14:val="tx1"/>
            </w14:solidFill>
          </w14:textFill>
        </w:rPr>
        <w:t>，体积分数</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流动相的制备</w:t>
      </w:r>
    </w:p>
    <w:p w14:paraId="5AA29561">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称取</w:t>
      </w:r>
      <w:r>
        <w:rPr>
          <w:rFonts w:ascii="Times New Roman" w:hAnsi="Times New Roman"/>
          <w:color w:val="000000" w:themeColor="text1"/>
          <w14:textFill>
            <w14:solidFill>
              <w14:schemeClr w14:val="tx1"/>
            </w14:solidFill>
          </w14:textFill>
        </w:rPr>
        <w:t>1.30g</w:t>
      </w:r>
      <w:r>
        <w:rPr>
          <w:rFonts w:hint="eastAsia" w:ascii="Times New Roman" w:hAnsi="Times New Roman"/>
          <w:color w:val="000000" w:themeColor="text1"/>
          <w14:textFill>
            <w14:solidFill>
              <w14:schemeClr w14:val="tx1"/>
            </w14:solidFill>
          </w14:textFill>
        </w:rPr>
        <w:t>磷酸氢二铵，溶解于约</w:t>
      </w:r>
      <w:r>
        <w:rPr>
          <w:rFonts w:ascii="Times New Roman" w:hAnsi="Times New Roman"/>
          <w:color w:val="000000" w:themeColor="text1"/>
          <w14:textFill>
            <w14:solidFill>
              <w14:schemeClr w14:val="tx1"/>
            </w14:solidFill>
          </w14:textFill>
        </w:rPr>
        <w:t>300mL</w:t>
      </w:r>
      <w:r>
        <w:rPr>
          <w:rFonts w:hint="eastAsia" w:ascii="Times New Roman" w:hAnsi="Times New Roman"/>
          <w:color w:val="000000" w:themeColor="text1"/>
          <w14:textFill>
            <w14:solidFill>
              <w14:schemeClr w14:val="tx1"/>
            </w14:solidFill>
          </w14:textFill>
        </w:rPr>
        <w:t>高效液相色谱级的水中，转移至</w:t>
      </w:r>
      <w:r>
        <w:rPr>
          <w:rFonts w:ascii="Times New Roman" w:hAnsi="Times New Roman"/>
          <w:color w:val="000000" w:themeColor="text1"/>
          <w14:textFill>
            <w14:solidFill>
              <w14:schemeClr w14:val="tx1"/>
            </w14:solidFill>
          </w14:textFill>
        </w:rPr>
        <w:t>1000mL</w:t>
      </w:r>
      <w:r>
        <w:rPr>
          <w:rFonts w:hint="eastAsia" w:ascii="Times New Roman" w:hAnsi="Times New Roman"/>
          <w:color w:val="000000" w:themeColor="text1"/>
          <w14:textFill>
            <w14:solidFill>
              <w14:schemeClr w14:val="tx1"/>
            </w14:solidFill>
          </w14:textFill>
        </w:rPr>
        <w:t>容量瓶中，并用高效液相色谱级水稀释至</w:t>
      </w:r>
      <w:r>
        <w:rPr>
          <w:rFonts w:ascii="Times New Roman" w:hAnsi="Times New Roman"/>
          <w:color w:val="000000" w:themeColor="text1"/>
          <w14:textFill>
            <w14:solidFill>
              <w14:schemeClr w14:val="tx1"/>
            </w14:solidFill>
          </w14:textFill>
        </w:rPr>
        <w:t>1000mL</w:t>
      </w:r>
      <w:r>
        <w:rPr>
          <w:rFonts w:hint="eastAsia" w:ascii="Times New Roman" w:hAnsi="Times New Roman"/>
          <w:color w:val="000000" w:themeColor="text1"/>
          <w14:textFill>
            <w14:solidFill>
              <w14:schemeClr w14:val="tx1"/>
            </w14:solidFill>
          </w14:textFill>
        </w:rPr>
        <w:t>，将该溶液通过</w:t>
      </w:r>
      <w:r>
        <w:rPr>
          <w:rFonts w:ascii="Times New Roman" w:hAnsi="Times New Roman"/>
          <w:color w:val="000000" w:themeColor="text1"/>
          <w14:textFill>
            <w14:solidFill>
              <w14:schemeClr w14:val="tx1"/>
            </w14:solidFill>
          </w14:textFill>
        </w:rPr>
        <w:t>0.45μm</w:t>
      </w:r>
      <w:r>
        <w:rPr>
          <w:rFonts w:hint="eastAsia" w:ascii="Times New Roman" w:hAnsi="Times New Roman"/>
          <w:color w:val="000000" w:themeColor="text1"/>
          <w14:textFill>
            <w14:solidFill>
              <w14:schemeClr w14:val="tx1"/>
            </w14:solidFill>
          </w14:textFill>
        </w:rPr>
        <w:t>薄膜过滤。该滤液即为磷酸氢二铵缓冲溶液。用量筒量取</w:t>
      </w:r>
      <w:r>
        <w:rPr>
          <w:rFonts w:ascii="Times New Roman" w:hAnsi="Times New Roman"/>
          <w:color w:val="000000" w:themeColor="text1"/>
          <w14:textFill>
            <w14:solidFill>
              <w14:schemeClr w14:val="tx1"/>
            </w14:solidFill>
          </w14:textFill>
        </w:rPr>
        <w:t>450mL</w:t>
      </w:r>
      <w:r>
        <w:rPr>
          <w:rFonts w:hint="eastAsia" w:ascii="Times New Roman" w:hAnsi="Times New Roman"/>
          <w:color w:val="000000" w:themeColor="text1"/>
          <w14:textFill>
            <w14:solidFill>
              <w14:schemeClr w14:val="tx1"/>
            </w14:solidFill>
          </w14:textFill>
        </w:rPr>
        <w:t>磷酸氢二铵缓冲液和</w:t>
      </w:r>
      <w:r>
        <w:rPr>
          <w:rFonts w:ascii="Times New Roman" w:hAnsi="Times New Roman"/>
          <w:color w:val="000000" w:themeColor="text1"/>
          <w14:textFill>
            <w14:solidFill>
              <w14:schemeClr w14:val="tx1"/>
            </w14:solidFill>
          </w14:textFill>
        </w:rPr>
        <w:t>550mL</w:t>
      </w:r>
      <w:r>
        <w:rPr>
          <w:rFonts w:hint="eastAsia" w:ascii="Times New Roman" w:hAnsi="Times New Roman"/>
          <w:color w:val="000000" w:themeColor="text1"/>
          <w14:textFill>
            <w14:solidFill>
              <w14:schemeClr w14:val="tx1"/>
            </w14:solidFill>
          </w14:textFill>
        </w:rPr>
        <w:t>乙腈，混合均匀，备用。</w:t>
      </w:r>
    </w:p>
    <w:p w14:paraId="2A49801C">
      <w:pPr>
        <w:pStyle w:val="44"/>
        <w:numPr>
          <w:ilvl w:val="0"/>
          <w:numId w:val="0"/>
        </w:num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21.4.2  20mg/L</w:t>
      </w:r>
      <w:r>
        <w:rPr>
          <w:rFonts w:hint="eastAsia" w:ascii="Times New Roman" w:hAnsi="Times New Roman"/>
          <w:color w:val="000000" w:themeColor="text1"/>
          <w14:textFill>
            <w14:solidFill>
              <w14:schemeClr w14:val="tx1"/>
            </w14:solidFill>
          </w14:textFill>
        </w:rPr>
        <w:t>高效液相色谱校准－标准液的制备</w:t>
      </w:r>
    </w:p>
    <w:p w14:paraId="60C46BCA">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称取</w:t>
      </w:r>
      <w:r>
        <w:rPr>
          <w:rFonts w:ascii="Times New Roman" w:hAnsi="Times New Roman"/>
          <w:color w:val="000000" w:themeColor="text1"/>
          <w14:textFill>
            <w14:solidFill>
              <w14:schemeClr w14:val="tx1"/>
            </w14:solidFill>
          </w14:textFill>
        </w:rPr>
        <w:t>0.1000g100</w:t>
      </w:r>
      <w:r>
        <w:rPr>
          <w:rFonts w:hint="eastAsia" w:ascii="Times New Roman" w:hAnsi="Times New Roman"/>
          <w:color w:val="000000" w:themeColor="text1"/>
          <w14:textFill>
            <w14:solidFill>
              <w14:schemeClr w14:val="tx1"/>
            </w14:solidFill>
          </w14:textFill>
        </w:rPr>
        <w:t>％的戊唑醇分析标准品或</w:t>
      </w:r>
      <w:r>
        <w:rPr>
          <w:rFonts w:ascii="Times New Roman" w:hAnsi="Times New Roman"/>
          <w:color w:val="000000" w:themeColor="text1"/>
          <w14:textFill>
            <w14:solidFill>
              <w14:schemeClr w14:val="tx1"/>
            </w14:solidFill>
          </w14:textFill>
        </w:rPr>
        <w:t>0.1020g98</w:t>
      </w:r>
      <w:r>
        <w:rPr>
          <w:rFonts w:hint="eastAsia" w:ascii="Times New Roman" w:hAnsi="Times New Roman"/>
          <w:color w:val="000000" w:themeColor="text1"/>
          <w14:textFill>
            <w14:solidFill>
              <w14:schemeClr w14:val="tx1"/>
            </w14:solidFill>
          </w14:textFill>
        </w:rPr>
        <w:t>％的戊唑醇分析标准品于</w:t>
      </w:r>
      <w:r>
        <w:rPr>
          <w:rFonts w:ascii="Times New Roman" w:hAnsi="Times New Roman"/>
          <w:color w:val="000000" w:themeColor="text1"/>
          <w14:textFill>
            <w14:solidFill>
              <w14:schemeClr w14:val="tx1"/>
            </w14:solidFill>
          </w14:textFill>
        </w:rPr>
        <w:t>250mL</w:t>
      </w:r>
      <w:r>
        <w:rPr>
          <w:rFonts w:hint="eastAsia" w:ascii="Times New Roman" w:hAnsi="Times New Roman"/>
          <w:color w:val="000000" w:themeColor="text1"/>
          <w14:textFill>
            <w14:solidFill>
              <w14:schemeClr w14:val="tx1"/>
            </w14:solidFill>
          </w14:textFill>
        </w:rPr>
        <w:t>的容量瓶中，用高效液相色谱级甲醇溶解后，稀释至</w:t>
      </w:r>
      <w:r>
        <w:rPr>
          <w:rFonts w:ascii="Times New Roman" w:hAnsi="Times New Roman"/>
          <w:color w:val="000000" w:themeColor="text1"/>
          <w14:textFill>
            <w14:solidFill>
              <w14:schemeClr w14:val="tx1"/>
            </w14:solidFill>
          </w14:textFill>
        </w:rPr>
        <w:t>250mL</w:t>
      </w:r>
      <w:r>
        <w:rPr>
          <w:rFonts w:hint="eastAsia" w:ascii="Times New Roman" w:hAnsi="Times New Roman"/>
          <w:color w:val="000000" w:themeColor="text1"/>
          <w14:textFill>
            <w14:solidFill>
              <w14:schemeClr w14:val="tx1"/>
            </w14:solidFill>
          </w14:textFill>
        </w:rPr>
        <w:t>，该溶液即为</w:t>
      </w:r>
      <w:r>
        <w:rPr>
          <w:rFonts w:ascii="Times New Roman" w:hAnsi="Times New Roman"/>
          <w:color w:val="000000" w:themeColor="text1"/>
          <w14:textFill>
            <w14:solidFill>
              <w14:schemeClr w14:val="tx1"/>
            </w14:solidFill>
          </w14:textFill>
        </w:rPr>
        <w:t>400mg/L</w:t>
      </w:r>
      <w:r>
        <w:rPr>
          <w:rFonts w:hint="eastAsia" w:ascii="Times New Roman" w:hAnsi="Times New Roman"/>
          <w:color w:val="000000" w:themeColor="text1"/>
          <w14:textFill>
            <w14:solidFill>
              <w14:schemeClr w14:val="tx1"/>
            </w14:solidFill>
          </w14:textFill>
        </w:rPr>
        <w:t>的戊唑醇贮存溶液。用容量移液管吸取</w:t>
      </w:r>
      <w:r>
        <w:rPr>
          <w:rFonts w:ascii="Times New Roman" w:hAnsi="Times New Roman"/>
          <w:color w:val="000000" w:themeColor="text1"/>
          <w14:textFill>
            <w14:solidFill>
              <w14:schemeClr w14:val="tx1"/>
            </w14:solidFill>
          </w14:textFill>
        </w:rPr>
        <w:t>400mg/L</w:t>
      </w:r>
      <w:r>
        <w:rPr>
          <w:rFonts w:hint="eastAsia" w:ascii="Times New Roman" w:hAnsi="Times New Roman"/>
          <w:color w:val="000000" w:themeColor="text1"/>
          <w14:textFill>
            <w14:solidFill>
              <w14:schemeClr w14:val="tx1"/>
            </w14:solidFill>
          </w14:textFill>
        </w:rPr>
        <w:t>的戊唑醇贮存液</w:t>
      </w:r>
      <w:r>
        <w:rPr>
          <w:rFonts w:ascii="Times New Roman" w:hAnsi="Times New Roman"/>
          <w:color w:val="000000" w:themeColor="text1"/>
          <w14:textFill>
            <w14:solidFill>
              <w14:schemeClr w14:val="tx1"/>
            </w14:solidFill>
          </w14:textFill>
        </w:rPr>
        <w:t>10mL</w:t>
      </w:r>
      <w:r>
        <w:rPr>
          <w:rFonts w:hint="eastAsia" w:ascii="Times New Roman" w:hAnsi="Times New Roman"/>
          <w:color w:val="000000" w:themeColor="text1"/>
          <w14:textFill>
            <w14:solidFill>
              <w14:schemeClr w14:val="tx1"/>
            </w14:solidFill>
          </w14:textFill>
        </w:rPr>
        <w:t>放入</w:t>
      </w:r>
      <w:r>
        <w:rPr>
          <w:rFonts w:ascii="Times New Roman" w:hAnsi="Times New Roman"/>
          <w:color w:val="000000" w:themeColor="text1"/>
          <w14:textFill>
            <w14:solidFill>
              <w14:schemeClr w14:val="tx1"/>
            </w14:solidFill>
          </w14:textFill>
        </w:rPr>
        <w:t>200mL</w:t>
      </w:r>
      <w:r>
        <w:rPr>
          <w:rFonts w:hint="eastAsia" w:ascii="Times New Roman" w:hAnsi="Times New Roman"/>
          <w:color w:val="000000" w:themeColor="text1"/>
          <w14:textFill>
            <w14:solidFill>
              <w14:schemeClr w14:val="tx1"/>
            </w14:solidFill>
          </w14:textFill>
        </w:rPr>
        <w:t>容量瓶中，用高效液相色谱级甲醇稀释至刻度，并混合均匀，备用。</w:t>
      </w:r>
    </w:p>
    <w:p w14:paraId="6A68185F">
      <w:pPr>
        <w:pStyle w:val="44"/>
        <w:numPr>
          <w:ilvl w:val="0"/>
          <w:numId w:val="0"/>
        </w:num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21.4.3  </w:t>
      </w:r>
      <w:r>
        <w:rPr>
          <w:rFonts w:hint="eastAsia" w:ascii="Times New Roman" w:hAnsi="Times New Roman"/>
          <w:color w:val="000000" w:themeColor="text1"/>
          <w14:textFill>
            <w14:solidFill>
              <w14:schemeClr w14:val="tx1"/>
            </w14:solidFill>
          </w14:textFill>
        </w:rPr>
        <w:t>测定</w:t>
      </w:r>
    </w:p>
    <w:p w14:paraId="367BD53F">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在上述操作条件下，待仪器基线稳定后，连续注入数针标样溶液，直至相邻两针戊唑醇相对响应值变化小于</w:t>
      </w:r>
      <w:r>
        <w:rPr>
          <w:rFonts w:ascii="Times New Roman" w:hAnsi="Times New Roman"/>
          <w:color w:val="000000" w:themeColor="text1"/>
          <w14:textFill>
            <w14:solidFill>
              <w14:schemeClr w14:val="tx1"/>
            </w14:solidFill>
          </w14:textFill>
        </w:rPr>
        <w:t>2.5%</w:t>
      </w:r>
      <w:r>
        <w:rPr>
          <w:rFonts w:hint="eastAsia" w:ascii="Times New Roman" w:hAnsi="Times New Roman"/>
          <w:color w:val="000000" w:themeColor="text1"/>
          <w14:textFill>
            <w14:solidFill>
              <w14:schemeClr w14:val="tx1"/>
            </w14:solidFill>
          </w14:textFill>
        </w:rPr>
        <w:t>后，按照标样溶液、试样溶液、试样溶液、标样溶液的顺序进行测定。</w:t>
      </w:r>
    </w:p>
    <w:p w14:paraId="47B09878">
      <w:pPr>
        <w:pStyle w:val="44"/>
        <w:numPr>
          <w:ilvl w:val="0"/>
          <w:numId w:val="0"/>
        </w:numPr>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21.4.4  </w:t>
      </w:r>
      <w:r>
        <w:rPr>
          <w:rFonts w:hint="eastAsia" w:ascii="Times New Roman" w:hAnsi="Times New Roman"/>
          <w:color w:val="000000" w:themeColor="text1"/>
          <w14:textFill>
            <w14:solidFill>
              <w14:schemeClr w14:val="tx1"/>
            </w14:solidFill>
          </w14:textFill>
        </w:rPr>
        <w:t>计算</w:t>
      </w:r>
    </w:p>
    <w:p w14:paraId="5CD6117A">
      <w:pPr>
        <w:autoSpaceDE/>
        <w:autoSpaceDN/>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将测得的两针试样溶液以及试样溶液前后两针标样溶液中戊唑醇峰面积分别进行平均。样品中戊唑醇的含量</w:t>
      </w:r>
      <w:r>
        <w:rPr>
          <w:rFonts w:ascii="Times New Roman" w:hAnsi="Times New Roman"/>
          <w:color w:val="000000" w:themeColor="text1"/>
          <w14:textFill>
            <w14:solidFill>
              <w14:schemeClr w14:val="tx1"/>
            </w14:solidFill>
          </w14:textFill>
        </w:rPr>
        <w:t>X</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）按式（</w:t>
      </w:r>
      <w:r>
        <w:rPr>
          <w:rFonts w:hint="eastAsia" w:ascii="Times New Roman" w:hAnsi="Times New Roman"/>
          <w:color w:val="000000" w:themeColor="text1"/>
          <w:lang w:val="en-US" w:eastAsia="zh-CN"/>
          <w14:textFill>
            <w14:solidFill>
              <w14:schemeClr w14:val="tx1"/>
            </w14:solidFill>
          </w14:textFill>
        </w:rPr>
        <w:t>20</w:t>
      </w:r>
      <w:r>
        <w:rPr>
          <w:rFonts w:hint="eastAsia" w:ascii="Times New Roman" w:hAnsi="Times New Roman"/>
          <w:color w:val="000000" w:themeColor="text1"/>
          <w14:textFill>
            <w14:solidFill>
              <w14:schemeClr w14:val="tx1"/>
            </w14:solidFill>
          </w14:textFill>
        </w:rPr>
        <w:t>）计算：</w:t>
      </w:r>
    </w:p>
    <w:p w14:paraId="1B696604">
      <w:pPr>
        <w:autoSpaceDE/>
        <w:autoSpaceDN/>
        <w:ind w:firstLine="0" w:firstLineChars="0"/>
        <w:jc w:val="right"/>
        <w:rPr>
          <w:rFonts w:ascii="Times New Roman" w:hAnsi="Times New Roman"/>
          <w:color w:val="000000" w:themeColor="text1"/>
          <w14:textFill>
            <w14:solidFill>
              <w14:schemeClr w14:val="tx1"/>
            </w14:solidFill>
          </w14:textFill>
        </w:rPr>
      </w:pPr>
      <m:oMath>
        <m:r>
          <m:rPr/>
          <w:rPr>
            <w:rStyle w:val="70"/>
            <w:rFonts w:ascii="Times New Roman" w:hAnsi="Times New Roman"/>
            <w:color w:val="000000" w:themeColor="text1"/>
            <w14:textFill>
              <w14:solidFill>
                <w14:schemeClr w14:val="tx1"/>
              </w14:solidFill>
            </w14:textFill>
          </w:rPr>
          <m:t>X=</m:t>
        </m:r>
        <m:f>
          <m:fPr>
            <m:ctrlPr>
              <w:rPr>
                <w:rStyle w:val="70"/>
                <w:rFonts w:ascii="DejaVu Math TeX Gyre" w:hAnsi="DejaVu Math TeX Gyre"/>
                <w:i/>
                <w:color w:val="000000" w:themeColor="text1"/>
                <w14:textFill>
                  <w14:solidFill>
                    <w14:schemeClr w14:val="tx1"/>
                  </w14:solidFill>
                </w14:textFill>
              </w:rPr>
            </m:ctrlPr>
          </m:fPr>
          <m:num>
            <m:sSub>
              <m:sSubPr>
                <m:ctrlPr>
                  <w:rPr>
                    <w:rStyle w:val="70"/>
                    <w:rFonts w:ascii="DejaVu Math TeX Gyre" w:hAnsi="DejaVu Math TeX Gyre"/>
                    <w:i/>
                    <w:color w:val="000000" w:themeColor="text1"/>
                    <w14:textFill>
                      <w14:solidFill>
                        <w14:schemeClr w14:val="tx1"/>
                      </w14:solidFill>
                    </w14:textFill>
                  </w:rPr>
                </m:ctrlPr>
              </m:sSubPr>
              <m:e>
                <m:r>
                  <m:rPr/>
                  <w:rPr>
                    <w:rStyle w:val="70"/>
                    <w:rFonts w:ascii="Times New Roman" w:hAnsi="Times New Roman"/>
                    <w:color w:val="000000" w:themeColor="text1"/>
                    <w14:textFill>
                      <w14:solidFill>
                        <w14:schemeClr w14:val="tx1"/>
                      </w14:solidFill>
                    </w14:textFill>
                  </w:rPr>
                  <m:t>r</m:t>
                </m:r>
                <m:ctrlPr>
                  <w:rPr>
                    <w:rStyle w:val="70"/>
                    <w:rFonts w:ascii="DejaVu Math TeX Gyre" w:hAnsi="DejaVu Math TeX Gyre"/>
                    <w:i/>
                    <w:color w:val="000000" w:themeColor="text1"/>
                    <w14:textFill>
                      <w14:solidFill>
                        <w14:schemeClr w14:val="tx1"/>
                      </w14:solidFill>
                    </w14:textFill>
                  </w:rPr>
                </m:ctrlPr>
              </m:e>
              <m:sub>
                <m:r>
                  <m:rPr/>
                  <w:rPr>
                    <w:rStyle w:val="70"/>
                    <w:rFonts w:ascii="Times New Roman" w:hAnsi="Times New Roman"/>
                    <w:color w:val="000000" w:themeColor="text1"/>
                    <w14:textFill>
                      <w14:solidFill>
                        <w14:schemeClr w14:val="tx1"/>
                      </w14:solidFill>
                    </w14:textFill>
                  </w:rPr>
                  <m:t>2</m:t>
                </m:r>
                <m:ctrlPr>
                  <w:rPr>
                    <w:rStyle w:val="70"/>
                    <w:rFonts w:ascii="DejaVu Math TeX Gyre" w:hAnsi="DejaVu Math TeX Gyre"/>
                    <w:i/>
                    <w:color w:val="000000" w:themeColor="text1"/>
                    <w14:textFill>
                      <w14:solidFill>
                        <w14:schemeClr w14:val="tx1"/>
                      </w14:solidFill>
                    </w14:textFill>
                  </w:rPr>
                </m:ctrlPr>
              </m:sub>
            </m:sSub>
            <m:r>
              <m:rPr/>
              <w:rPr>
                <w:rStyle w:val="70"/>
                <w:rFonts w:ascii="Times New Roman" w:hAnsi="Times New Roman"/>
                <w:color w:val="000000" w:themeColor="text1"/>
                <w14:textFill>
                  <w14:solidFill>
                    <w14:schemeClr w14:val="tx1"/>
                  </w14:solidFill>
                </w14:textFill>
              </w:rPr>
              <m:t>×</m:t>
            </m:r>
            <m:sSub>
              <m:sSubPr>
                <m:ctrlPr>
                  <w:rPr>
                    <w:rStyle w:val="70"/>
                    <w:rFonts w:ascii="DejaVu Math TeX Gyre" w:hAnsi="DejaVu Math TeX Gyre"/>
                    <w:i/>
                    <w:color w:val="000000" w:themeColor="text1"/>
                    <w14:textFill>
                      <w14:solidFill>
                        <w14:schemeClr w14:val="tx1"/>
                      </w14:solidFill>
                    </w14:textFill>
                  </w:rPr>
                </m:ctrlPr>
              </m:sSubPr>
              <m:e>
                <m:r>
                  <m:rPr/>
                  <w:rPr>
                    <w:rStyle w:val="70"/>
                    <w:rFonts w:ascii="Times New Roman" w:hAnsi="Times New Roman"/>
                    <w:color w:val="000000" w:themeColor="text1"/>
                    <w14:textFill>
                      <w14:solidFill>
                        <w14:schemeClr w14:val="tx1"/>
                      </w14:solidFill>
                    </w14:textFill>
                  </w:rPr>
                  <m:t>m</m:t>
                </m:r>
                <m:ctrlPr>
                  <w:rPr>
                    <w:rStyle w:val="70"/>
                    <w:rFonts w:ascii="DejaVu Math TeX Gyre" w:hAnsi="DejaVu Math TeX Gyre"/>
                    <w:i/>
                    <w:color w:val="000000" w:themeColor="text1"/>
                    <w14:textFill>
                      <w14:solidFill>
                        <w14:schemeClr w14:val="tx1"/>
                      </w14:solidFill>
                    </w14:textFill>
                  </w:rPr>
                </m:ctrlPr>
              </m:e>
              <m:sub>
                <m:r>
                  <m:rPr/>
                  <w:rPr>
                    <w:rStyle w:val="70"/>
                    <w:rFonts w:ascii="Times New Roman" w:hAnsi="Times New Roman"/>
                    <w:color w:val="000000" w:themeColor="text1"/>
                    <w14:textFill>
                      <w14:solidFill>
                        <w14:schemeClr w14:val="tx1"/>
                      </w14:solidFill>
                    </w14:textFill>
                  </w:rPr>
                  <m:t>1</m:t>
                </m:r>
                <m:ctrlPr>
                  <w:rPr>
                    <w:rStyle w:val="70"/>
                    <w:rFonts w:ascii="DejaVu Math TeX Gyre" w:hAnsi="DejaVu Math TeX Gyre"/>
                    <w:i/>
                    <w:color w:val="000000" w:themeColor="text1"/>
                    <w14:textFill>
                      <w14:solidFill>
                        <w14:schemeClr w14:val="tx1"/>
                      </w14:solidFill>
                    </w14:textFill>
                  </w:rPr>
                </m:ctrlPr>
              </m:sub>
            </m:sSub>
            <m:r>
              <m:rPr/>
              <w:rPr>
                <w:rStyle w:val="70"/>
                <w:rFonts w:ascii="Times New Roman" w:hAnsi="Times New Roman"/>
                <w:color w:val="000000" w:themeColor="text1"/>
                <w14:textFill>
                  <w14:solidFill>
                    <w14:schemeClr w14:val="tx1"/>
                  </w14:solidFill>
                </w14:textFill>
              </w:rPr>
              <m:t>×p</m:t>
            </m:r>
            <m:ctrlPr>
              <w:rPr>
                <w:rStyle w:val="70"/>
                <w:rFonts w:ascii="DejaVu Math TeX Gyre" w:hAnsi="DejaVu Math TeX Gyre"/>
                <w:i/>
                <w:color w:val="000000" w:themeColor="text1"/>
                <w14:textFill>
                  <w14:solidFill>
                    <w14:schemeClr w14:val="tx1"/>
                  </w14:solidFill>
                </w14:textFill>
              </w:rPr>
            </m:ctrlPr>
          </m:num>
          <m:den>
            <m:sSub>
              <m:sSubPr>
                <m:ctrlPr>
                  <w:rPr>
                    <w:rStyle w:val="70"/>
                    <w:rFonts w:ascii="DejaVu Math TeX Gyre" w:hAnsi="DejaVu Math TeX Gyre"/>
                    <w:i/>
                    <w:color w:val="000000" w:themeColor="text1"/>
                    <w14:textFill>
                      <w14:solidFill>
                        <w14:schemeClr w14:val="tx1"/>
                      </w14:solidFill>
                    </w14:textFill>
                  </w:rPr>
                </m:ctrlPr>
              </m:sSubPr>
              <m:e>
                <m:r>
                  <m:rPr/>
                  <w:rPr>
                    <w:rStyle w:val="70"/>
                    <w:rFonts w:ascii="Times New Roman" w:hAnsi="Times New Roman"/>
                    <w:color w:val="000000" w:themeColor="text1"/>
                    <w14:textFill>
                      <w14:solidFill>
                        <w14:schemeClr w14:val="tx1"/>
                      </w14:solidFill>
                    </w14:textFill>
                  </w:rPr>
                  <m:t>r</m:t>
                </m:r>
                <m:ctrlPr>
                  <w:rPr>
                    <w:rStyle w:val="70"/>
                    <w:rFonts w:ascii="DejaVu Math TeX Gyre" w:hAnsi="DejaVu Math TeX Gyre"/>
                    <w:i/>
                    <w:color w:val="000000" w:themeColor="text1"/>
                    <w14:textFill>
                      <w14:solidFill>
                        <w14:schemeClr w14:val="tx1"/>
                      </w14:solidFill>
                    </w14:textFill>
                  </w:rPr>
                </m:ctrlPr>
              </m:e>
              <m:sub>
                <m:r>
                  <m:rPr/>
                  <w:rPr>
                    <w:rStyle w:val="70"/>
                    <w:rFonts w:ascii="Times New Roman" w:hAnsi="Times New Roman"/>
                    <w:color w:val="000000" w:themeColor="text1"/>
                    <w14:textFill>
                      <w14:solidFill>
                        <w14:schemeClr w14:val="tx1"/>
                      </w14:solidFill>
                    </w14:textFill>
                  </w:rPr>
                  <m:t>1</m:t>
                </m:r>
                <m:ctrlPr>
                  <w:rPr>
                    <w:rStyle w:val="70"/>
                    <w:rFonts w:ascii="DejaVu Math TeX Gyre" w:hAnsi="DejaVu Math TeX Gyre"/>
                    <w:i/>
                    <w:color w:val="000000" w:themeColor="text1"/>
                    <w14:textFill>
                      <w14:solidFill>
                        <w14:schemeClr w14:val="tx1"/>
                      </w14:solidFill>
                    </w14:textFill>
                  </w:rPr>
                </m:ctrlPr>
              </m:sub>
            </m:sSub>
            <m:r>
              <m:rPr/>
              <w:rPr>
                <w:rStyle w:val="70"/>
                <w:rFonts w:ascii="Times New Roman" w:hAnsi="Times New Roman"/>
                <w:color w:val="000000" w:themeColor="text1"/>
                <w14:textFill>
                  <w14:solidFill>
                    <w14:schemeClr w14:val="tx1"/>
                  </w14:solidFill>
                </w14:textFill>
              </w:rPr>
              <m:t>×</m:t>
            </m:r>
            <m:sSub>
              <m:sSubPr>
                <m:ctrlPr>
                  <w:rPr>
                    <w:rStyle w:val="70"/>
                    <w:rFonts w:ascii="DejaVu Math TeX Gyre" w:hAnsi="DejaVu Math TeX Gyre"/>
                    <w:i/>
                    <w:color w:val="000000" w:themeColor="text1"/>
                    <w14:textFill>
                      <w14:solidFill>
                        <w14:schemeClr w14:val="tx1"/>
                      </w14:solidFill>
                    </w14:textFill>
                  </w:rPr>
                </m:ctrlPr>
              </m:sSubPr>
              <m:e>
                <m:r>
                  <m:rPr/>
                  <w:rPr>
                    <w:rStyle w:val="70"/>
                    <w:rFonts w:ascii="Times New Roman" w:hAnsi="Times New Roman"/>
                    <w:color w:val="000000" w:themeColor="text1"/>
                    <w14:textFill>
                      <w14:solidFill>
                        <w14:schemeClr w14:val="tx1"/>
                      </w14:solidFill>
                    </w14:textFill>
                  </w:rPr>
                  <m:t>m</m:t>
                </m:r>
                <m:ctrlPr>
                  <w:rPr>
                    <w:rStyle w:val="70"/>
                    <w:rFonts w:ascii="DejaVu Math TeX Gyre" w:hAnsi="DejaVu Math TeX Gyre"/>
                    <w:i/>
                    <w:color w:val="000000" w:themeColor="text1"/>
                    <w14:textFill>
                      <w14:solidFill>
                        <w14:schemeClr w14:val="tx1"/>
                      </w14:solidFill>
                    </w14:textFill>
                  </w:rPr>
                </m:ctrlPr>
              </m:e>
              <m:sub>
                <m:r>
                  <m:rPr/>
                  <w:rPr>
                    <w:rStyle w:val="70"/>
                    <w:rFonts w:ascii="Times New Roman" w:hAnsi="Times New Roman"/>
                    <w:color w:val="000000" w:themeColor="text1"/>
                    <w14:textFill>
                      <w14:solidFill>
                        <w14:schemeClr w14:val="tx1"/>
                      </w14:solidFill>
                    </w14:textFill>
                  </w:rPr>
                  <m:t>2</m:t>
                </m:r>
                <m:ctrlPr>
                  <w:rPr>
                    <w:rStyle w:val="70"/>
                    <w:rFonts w:ascii="DejaVu Math TeX Gyre" w:hAnsi="DejaVu Math TeX Gyre"/>
                    <w:i/>
                    <w:color w:val="000000" w:themeColor="text1"/>
                    <w14:textFill>
                      <w14:solidFill>
                        <w14:schemeClr w14:val="tx1"/>
                      </w14:solidFill>
                    </w14:textFill>
                  </w:rPr>
                </m:ctrlPr>
              </m:sub>
            </m:sSub>
            <m:ctrlPr>
              <w:rPr>
                <w:rStyle w:val="70"/>
                <w:rFonts w:ascii="DejaVu Math TeX Gyre" w:hAnsi="DejaVu Math TeX Gyre"/>
                <w:i/>
                <w:color w:val="000000" w:themeColor="text1"/>
                <w14:textFill>
                  <w14:solidFill>
                    <w14:schemeClr w14:val="tx1"/>
                  </w14:solidFill>
                </w14:textFill>
              </w:rPr>
            </m:ctrlPr>
          </m:den>
        </m:f>
      </m:oMath>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w:t>
      </w:r>
      <w:r>
        <w:rPr>
          <w:rFonts w:hint="eastAsia" w:ascii="Times New Roman" w:hAnsi="Times New Roman"/>
          <w:color w:val="000000" w:themeColor="text1"/>
          <w:lang w:val="en-US" w:eastAsia="zh-CN"/>
          <w14:textFill>
            <w14:solidFill>
              <w14:schemeClr w14:val="tx1"/>
            </w14:solidFill>
          </w14:textFill>
        </w:rPr>
        <w:t>20</w:t>
      </w:r>
      <w:r>
        <w:rPr>
          <w:rFonts w:hint="eastAsia" w:ascii="Times New Roman" w:hAnsi="Times New Roman"/>
          <w:color w:val="000000" w:themeColor="text1"/>
          <w14:textFill>
            <w14:solidFill>
              <w14:schemeClr w14:val="tx1"/>
            </w14:solidFill>
          </w14:textFill>
        </w:rPr>
        <w:t>）</w:t>
      </w:r>
    </w:p>
    <w:p w14:paraId="357B621F">
      <w:pPr>
        <w:autoSpaceDE/>
        <w:autoSpaceDN/>
        <w:ind w:firstLine="0" w:firstLineChars="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式中：</w:t>
      </w:r>
    </w:p>
    <w:p w14:paraId="597021B7">
      <w:pPr>
        <w:autoSpaceDE/>
        <w:autoSpaceDN/>
        <w:ind w:firstLine="0" w:firstLineChars="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X —— </w:t>
      </w:r>
      <w:r>
        <w:rPr>
          <w:rFonts w:hint="eastAsia" w:ascii="Times New Roman" w:hAnsi="Times New Roman"/>
          <w:color w:val="000000" w:themeColor="text1"/>
          <w14:textFill>
            <w14:solidFill>
              <w14:schemeClr w14:val="tx1"/>
            </w14:solidFill>
          </w14:textFill>
        </w:rPr>
        <w:t>样品中戊唑醇的含量，</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w:t>
      </w:r>
    </w:p>
    <w:p w14:paraId="3DCA5D3F">
      <w:pPr>
        <w:autoSpaceDE/>
        <w:autoSpaceDN/>
        <w:ind w:firstLine="630" w:firstLineChars="3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r</w:t>
      </w:r>
      <w:r>
        <w:rPr>
          <w:rFonts w:ascii="Times New Roman" w:hAnsi="Times New Roman"/>
          <w:color w:val="000000" w:themeColor="text1"/>
          <w:vertAlign w:val="subscript"/>
          <w14:textFill>
            <w14:solidFill>
              <w14:schemeClr w14:val="tx1"/>
            </w14:solidFill>
          </w14:textFill>
        </w:rPr>
        <w:t>1</w:t>
      </w:r>
      <w:r>
        <w:rPr>
          <w:rFonts w:ascii="Times New Roman" w:hAnsi="Times New Roman"/>
          <w:color w:val="000000" w:themeColor="text1"/>
          <w14:textFill>
            <w14:solidFill>
              <w14:schemeClr w14:val="tx1"/>
            </w14:solidFill>
          </w14:textFill>
        </w:rPr>
        <w:t xml:space="preserve"> —— </w:t>
      </w:r>
      <w:r>
        <w:rPr>
          <w:rFonts w:hint="eastAsia" w:ascii="Times New Roman" w:hAnsi="Times New Roman"/>
          <w:color w:val="000000" w:themeColor="text1"/>
          <w14:textFill>
            <w14:solidFill>
              <w14:schemeClr w14:val="tx1"/>
            </w14:solidFill>
          </w14:textFill>
        </w:rPr>
        <w:t>标样溶液中戊唑醇峰面积的平均值；</w:t>
      </w:r>
    </w:p>
    <w:p w14:paraId="176805B8">
      <w:pPr>
        <w:autoSpaceDE/>
        <w:autoSpaceDN/>
        <w:ind w:firstLine="0" w:firstLineChars="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r</w:t>
      </w:r>
      <w:r>
        <w:rPr>
          <w:rFonts w:ascii="Times New Roman" w:hAnsi="Times New Roman"/>
          <w:color w:val="000000" w:themeColor="text1"/>
          <w:vertAlign w:val="subscript"/>
          <w14:textFill>
            <w14:solidFill>
              <w14:schemeClr w14:val="tx1"/>
            </w14:solidFill>
          </w14:textFill>
        </w:rPr>
        <w:t>2</w:t>
      </w:r>
      <w:r>
        <w:rPr>
          <w:rFonts w:ascii="Times New Roman" w:hAnsi="Times New Roman"/>
          <w:color w:val="000000" w:themeColor="text1"/>
          <w14:textFill>
            <w14:solidFill>
              <w14:schemeClr w14:val="tx1"/>
            </w14:solidFill>
          </w14:textFill>
        </w:rPr>
        <w:t xml:space="preserve"> —— </w:t>
      </w:r>
      <w:r>
        <w:rPr>
          <w:rFonts w:hint="eastAsia" w:ascii="Times New Roman" w:hAnsi="Times New Roman"/>
          <w:color w:val="000000" w:themeColor="text1"/>
          <w14:textFill>
            <w14:solidFill>
              <w14:schemeClr w14:val="tx1"/>
            </w14:solidFill>
          </w14:textFill>
        </w:rPr>
        <w:t>试样溶液中戊唑醇峰面积的平均值；</w:t>
      </w:r>
    </w:p>
    <w:p w14:paraId="0CB0106E">
      <w:pPr>
        <w:autoSpaceDE/>
        <w:autoSpaceDN/>
        <w:ind w:firstLine="0" w:firstLineChars="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m</w:t>
      </w:r>
      <w:r>
        <w:rPr>
          <w:rFonts w:ascii="Times New Roman" w:hAnsi="Times New Roman"/>
          <w:color w:val="000000" w:themeColor="text1"/>
          <w:vertAlign w:val="subscript"/>
          <w14:textFill>
            <w14:solidFill>
              <w14:schemeClr w14:val="tx1"/>
            </w14:solidFill>
          </w14:textFill>
        </w:rPr>
        <w:t>1</w:t>
      </w:r>
      <w:r>
        <w:rPr>
          <w:rFonts w:ascii="Times New Roman" w:hAnsi="Times New Roman"/>
          <w:color w:val="000000" w:themeColor="text1"/>
          <w14:textFill>
            <w14:solidFill>
              <w14:schemeClr w14:val="tx1"/>
            </w14:solidFill>
          </w14:textFill>
        </w:rPr>
        <w:t xml:space="preserve"> —— </w:t>
      </w:r>
      <w:r>
        <w:rPr>
          <w:rFonts w:hint="eastAsia" w:ascii="Times New Roman" w:hAnsi="Times New Roman"/>
          <w:color w:val="000000" w:themeColor="text1"/>
          <w14:textFill>
            <w14:solidFill>
              <w14:schemeClr w14:val="tx1"/>
            </w14:solidFill>
          </w14:textFill>
        </w:rPr>
        <w:t>标样的质量，单位为克（</w:t>
      </w:r>
      <w:r>
        <w:rPr>
          <w:rFonts w:ascii="Times New Roman" w:hAnsi="Times New Roman"/>
          <w:color w:val="000000" w:themeColor="text1"/>
          <w14:textFill>
            <w14:solidFill>
              <w14:schemeClr w14:val="tx1"/>
            </w14:solidFill>
          </w14:textFill>
        </w:rPr>
        <w:t>g</w:t>
      </w:r>
      <w:r>
        <w:rPr>
          <w:rFonts w:hint="eastAsia" w:ascii="Times New Roman" w:hAnsi="Times New Roman"/>
          <w:color w:val="000000" w:themeColor="text1"/>
          <w14:textFill>
            <w14:solidFill>
              <w14:schemeClr w14:val="tx1"/>
            </w14:solidFill>
          </w14:textFill>
        </w:rPr>
        <w:t>）；</w:t>
      </w:r>
    </w:p>
    <w:p w14:paraId="5973025C">
      <w:pPr>
        <w:autoSpaceDE/>
        <w:autoSpaceDN/>
        <w:ind w:firstLine="0" w:firstLineChars="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m</w:t>
      </w:r>
      <w:r>
        <w:rPr>
          <w:rFonts w:ascii="Times New Roman" w:hAnsi="Times New Roman"/>
          <w:color w:val="000000" w:themeColor="text1"/>
          <w:vertAlign w:val="subscript"/>
          <w14:textFill>
            <w14:solidFill>
              <w14:schemeClr w14:val="tx1"/>
            </w14:solidFill>
          </w14:textFill>
        </w:rPr>
        <w:t>2</w:t>
      </w:r>
      <w:r>
        <w:rPr>
          <w:rFonts w:ascii="Times New Roman" w:hAnsi="Times New Roman"/>
          <w:color w:val="000000" w:themeColor="text1"/>
          <w14:textFill>
            <w14:solidFill>
              <w14:schemeClr w14:val="tx1"/>
            </w14:solidFill>
          </w14:textFill>
        </w:rPr>
        <w:t xml:space="preserve"> —— </w:t>
      </w:r>
      <w:r>
        <w:rPr>
          <w:rFonts w:hint="eastAsia" w:ascii="Times New Roman" w:hAnsi="Times New Roman"/>
          <w:color w:val="000000" w:themeColor="text1"/>
          <w14:textFill>
            <w14:solidFill>
              <w14:schemeClr w14:val="tx1"/>
            </w14:solidFill>
          </w14:textFill>
        </w:rPr>
        <w:t>试样的质量，单位为克（</w:t>
      </w:r>
      <w:r>
        <w:rPr>
          <w:rFonts w:ascii="Times New Roman" w:hAnsi="Times New Roman"/>
          <w:color w:val="000000" w:themeColor="text1"/>
          <w14:textFill>
            <w14:solidFill>
              <w14:schemeClr w14:val="tx1"/>
            </w14:solidFill>
          </w14:textFill>
        </w:rPr>
        <w:t>g</w:t>
      </w:r>
      <w:r>
        <w:rPr>
          <w:rFonts w:hint="eastAsia" w:ascii="Times New Roman" w:hAnsi="Times New Roman"/>
          <w:color w:val="000000" w:themeColor="text1"/>
          <w14:textFill>
            <w14:solidFill>
              <w14:schemeClr w14:val="tx1"/>
            </w14:solidFill>
          </w14:textFill>
        </w:rPr>
        <w:t>）；</w:t>
      </w:r>
    </w:p>
    <w:p w14:paraId="2C2E5851">
      <w:pPr>
        <w:autoSpaceDE/>
        <w:autoSpaceDN/>
        <w:ind w:firstLine="0" w:firstLineChars="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p  ——</w:t>
      </w:r>
      <w:r>
        <w:rPr>
          <w:rFonts w:hint="eastAsia" w:ascii="Times New Roman" w:hAnsi="Times New Roman"/>
          <w:color w:val="000000" w:themeColor="text1"/>
          <w14:textFill>
            <w14:solidFill>
              <w14:schemeClr w14:val="tx1"/>
            </w14:solidFill>
          </w14:textFill>
        </w:rPr>
        <w:t>标样中戊唑醇的质量分数，</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w:t>
      </w:r>
    </w:p>
    <w:p w14:paraId="16E39111">
      <w:pPr>
        <w:pStyle w:val="44"/>
        <w:numPr>
          <w:ilvl w:val="0"/>
          <w:numId w:val="0"/>
        </w:numPr>
        <w:autoSpaceDE w:val="0"/>
        <w:autoSpaceDN w:val="0"/>
        <w:ind w:firstLine="0" w:firstLineChars="0"/>
        <w:rPr>
          <w:rFonts w:hint="eastAsia" w:ascii="Times New Roman" w:hAnsi="Times New Roman"/>
          <w:color w:val="000000" w:themeColor="text1"/>
          <w14:textFill>
            <w14:solidFill>
              <w14:schemeClr w14:val="tx1"/>
            </w14:solidFill>
          </w14:textFill>
        </w:rPr>
      </w:pPr>
    </w:p>
    <w:p w14:paraId="75FCCA95">
      <w:pPr>
        <w:pStyle w:val="44"/>
        <w:numPr>
          <w:ilvl w:val="0"/>
          <w:numId w:val="0"/>
        </w:numPr>
        <w:autoSpaceDE/>
        <w:autoSpaceDN/>
        <w:ind w:firstLine="0" w:firstLineChars="0"/>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22</w:t>
      </w:r>
      <w:r>
        <w:rPr>
          <w:rFonts w:hint="eastAsia" w:ascii="Times New Roman" w:hAnsi="Times New Roman" w:eastAsiaTheme="minorEastAsia"/>
          <w:color w:val="000000" w:themeColor="text1"/>
          <w14:textFill>
            <w14:solidFill>
              <w14:schemeClr w14:val="tx1"/>
            </w14:solidFill>
          </w14:textFill>
        </w:rPr>
        <w:t xml:space="preserve"> 液质联用法</w:t>
      </w:r>
      <w:r>
        <w:rPr>
          <w:rFonts w:hint="eastAsia" w:ascii="Times New Roman" w:hAnsi="Times New Roman" w:eastAsiaTheme="minorEastAsia"/>
          <w:color w:val="000000" w:themeColor="text1"/>
          <w:lang w:eastAsia="zh-CN"/>
          <w14:textFill>
            <w14:solidFill>
              <w14:schemeClr w14:val="tx1"/>
            </w14:solidFill>
          </w14:textFill>
        </w:rPr>
        <w:t>（</w:t>
      </w:r>
      <w:r>
        <w:rPr>
          <w:rFonts w:hint="eastAsia" w:ascii="Times New Roman" w:hAnsi="Times New Roman"/>
          <w:color w:val="000000" w:themeColor="text1"/>
          <w14:textFill>
            <w14:solidFill>
              <w14:schemeClr w14:val="tx1"/>
            </w14:solidFill>
          </w14:textFill>
        </w:rPr>
        <w:t>LC-MSMS</w:t>
      </w:r>
      <w:r>
        <w:rPr>
          <w:rFonts w:hint="eastAsia" w:ascii="Times New Roman" w:hAnsi="Times New Roman" w:eastAsiaTheme="minorEastAsia"/>
          <w:color w:val="000000" w:themeColor="text1"/>
          <w:lang w:eastAsia="zh-CN"/>
          <w14:textFill>
            <w14:solidFill>
              <w14:schemeClr w14:val="tx1"/>
            </w14:solidFill>
          </w14:textFill>
        </w:rPr>
        <w:t>）</w:t>
      </w:r>
      <w:r>
        <w:rPr>
          <w:rFonts w:hint="eastAsia" w:ascii="Times New Roman" w:hAnsi="Times New Roman" w:eastAsiaTheme="minorEastAsia"/>
          <w:color w:val="000000" w:themeColor="text1"/>
          <w14:textFill>
            <w14:solidFill>
              <w14:schemeClr w14:val="tx1"/>
            </w14:solidFill>
          </w14:textFill>
        </w:rPr>
        <w:t>测防腐剂中唑类化合物</w:t>
      </w:r>
    </w:p>
    <w:p w14:paraId="7DF4A95D">
      <w:pPr>
        <w:pStyle w:val="44"/>
        <w:numPr>
          <w:ilvl w:val="0"/>
          <w:numId w:val="0"/>
        </w:numPr>
        <w:autoSpaceDE/>
        <w:autoSpaceDN/>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22.1 </w:t>
      </w:r>
      <w:r>
        <w:rPr>
          <w:rFonts w:hint="eastAsia" w:ascii="Times New Roman" w:hAnsi="Times New Roman" w:eastAsiaTheme="minorEastAsia"/>
          <w:color w:val="000000" w:themeColor="text1"/>
          <w14:textFill>
            <w14:solidFill>
              <w14:schemeClr w14:val="tx1"/>
            </w14:solidFill>
          </w14:textFill>
        </w:rPr>
        <w:t>试剂</w:t>
      </w:r>
    </w:p>
    <w:p w14:paraId="2E126313">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a) </w:t>
      </w:r>
      <w:r>
        <w:rPr>
          <w:rFonts w:hint="eastAsia" w:ascii="Times New Roman" w:hAnsi="Times New Roman" w:eastAsiaTheme="minorEastAsia"/>
          <w:color w:val="000000" w:themeColor="text1"/>
          <w14:textFill>
            <w14:solidFill>
              <w14:schemeClr w14:val="tx1"/>
            </w14:solidFill>
          </w14:textFill>
        </w:rPr>
        <w:t>乙腈（色谱级）</w:t>
      </w:r>
    </w:p>
    <w:p w14:paraId="126FA759">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b) </w:t>
      </w:r>
      <w:r>
        <w:rPr>
          <w:rFonts w:hint="eastAsia" w:ascii="Times New Roman" w:hAnsi="Times New Roman" w:eastAsiaTheme="minorEastAsia"/>
          <w:color w:val="000000" w:themeColor="text1"/>
          <w14:textFill>
            <w14:solidFill>
              <w14:schemeClr w14:val="tx1"/>
            </w14:solidFill>
          </w14:textFill>
        </w:rPr>
        <w:t>水</w:t>
      </w:r>
    </w:p>
    <w:p w14:paraId="6073B3D5">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c) </w:t>
      </w:r>
      <w:r>
        <w:rPr>
          <w:rFonts w:hint="eastAsia" w:ascii="Times New Roman" w:hAnsi="Times New Roman" w:eastAsiaTheme="minorEastAsia"/>
          <w:color w:val="000000" w:themeColor="text1"/>
          <w14:textFill>
            <w14:solidFill>
              <w14:schemeClr w14:val="tx1"/>
            </w14:solidFill>
          </w14:textFill>
        </w:rPr>
        <w:t>甲醇（色谱级）</w:t>
      </w:r>
    </w:p>
    <w:p w14:paraId="51C6DC8D">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d) </w:t>
      </w:r>
      <w:r>
        <w:rPr>
          <w:rFonts w:hint="eastAsia" w:ascii="Times New Roman" w:hAnsi="Times New Roman" w:eastAsiaTheme="minorEastAsia"/>
          <w:color w:val="000000" w:themeColor="text1"/>
          <w14:textFill>
            <w14:solidFill>
              <w14:schemeClr w14:val="tx1"/>
            </w14:solidFill>
          </w14:textFill>
        </w:rPr>
        <w:t>甲酸（色谱级）</w:t>
      </w:r>
    </w:p>
    <w:p w14:paraId="5507F5D2">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e) </w:t>
      </w:r>
      <w:r>
        <w:rPr>
          <w:rFonts w:hint="eastAsia" w:ascii="Times New Roman" w:hAnsi="Times New Roman" w:eastAsiaTheme="minorEastAsia"/>
          <w:color w:val="000000" w:themeColor="text1"/>
          <w14:textFill>
            <w14:solidFill>
              <w14:schemeClr w14:val="tx1"/>
            </w14:solidFill>
          </w14:textFill>
        </w:rPr>
        <w:t>戊唑醇分析标准物（粉末，由供应商标明已知质量分数，≥</w:t>
      </w:r>
      <w:r>
        <w:rPr>
          <w:rFonts w:ascii="Times New Roman" w:hAnsi="Times New Roman" w:eastAsiaTheme="minorEastAsia"/>
          <w:color w:val="000000" w:themeColor="text1"/>
          <w14:textFill>
            <w14:solidFill>
              <w14:schemeClr w14:val="tx1"/>
            </w14:solidFill>
          </w14:textFill>
        </w:rPr>
        <w:t>98%</w:t>
      </w:r>
      <w:r>
        <w:rPr>
          <w:rFonts w:hint="eastAsia" w:ascii="Times New Roman" w:hAnsi="Times New Roman" w:eastAsiaTheme="minorEastAsia"/>
          <w:color w:val="000000" w:themeColor="text1"/>
          <w14:textFill>
            <w14:solidFill>
              <w14:schemeClr w14:val="tx1"/>
            </w14:solidFill>
          </w14:textFill>
        </w:rPr>
        <w:t>）</w:t>
      </w:r>
    </w:p>
    <w:p w14:paraId="2D6E6902">
      <w:pPr>
        <w:pStyle w:val="44"/>
        <w:numPr>
          <w:ilvl w:val="0"/>
          <w:numId w:val="0"/>
        </w:numPr>
        <w:autoSpaceDE/>
        <w:autoSpaceDN/>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22</w:t>
      </w:r>
      <w:r>
        <w:rPr>
          <w:rFonts w:hint="eastAsia" w:ascii="Times New Roman" w:hAnsi="Times New Roman" w:eastAsiaTheme="minorEastAsia"/>
          <w:color w:val="000000" w:themeColor="text1"/>
          <w14:textFill>
            <w14:solidFill>
              <w14:schemeClr w14:val="tx1"/>
            </w14:solidFill>
          </w14:textFill>
        </w:rPr>
        <w:t>.2仪器及设备</w:t>
      </w:r>
    </w:p>
    <w:p w14:paraId="7FBF44E5">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a) </w:t>
      </w:r>
      <w:r>
        <w:rPr>
          <w:rFonts w:hint="eastAsia" w:ascii="Times New Roman" w:hAnsi="Times New Roman" w:eastAsiaTheme="minorEastAsia"/>
          <w:color w:val="000000" w:themeColor="text1"/>
          <w14:textFill>
            <w14:solidFill>
              <w14:schemeClr w14:val="tx1"/>
            </w14:solidFill>
          </w14:textFill>
        </w:rPr>
        <w:t>三重四极杆液质联用</w:t>
      </w:r>
    </w:p>
    <w:p w14:paraId="67C2F6DB">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b) </w:t>
      </w:r>
      <w:r>
        <w:rPr>
          <w:rFonts w:hint="eastAsia" w:ascii="Times New Roman" w:hAnsi="Times New Roman" w:eastAsiaTheme="minorEastAsia"/>
          <w:color w:val="000000" w:themeColor="text1"/>
          <w14:textFill>
            <w14:solidFill>
              <w14:schemeClr w14:val="tx1"/>
            </w14:solidFill>
          </w14:textFill>
        </w:rPr>
        <w:t>数据收集和处理系统：包括微电脑和软件</w:t>
      </w:r>
    </w:p>
    <w:p w14:paraId="3D851E87">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c) </w:t>
      </w:r>
      <w:r>
        <w:rPr>
          <w:rFonts w:hint="eastAsia" w:ascii="Times New Roman" w:hAnsi="Times New Roman" w:eastAsiaTheme="minorEastAsia"/>
          <w:color w:val="000000" w:themeColor="text1"/>
          <w14:textFill>
            <w14:solidFill>
              <w14:schemeClr w14:val="tx1"/>
            </w14:solidFill>
          </w14:textFill>
        </w:rPr>
        <w:t>分析天平，灵敏度为0.0001g</w:t>
      </w:r>
    </w:p>
    <w:p w14:paraId="36F0FB42">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d) </w:t>
      </w:r>
      <w:r>
        <w:rPr>
          <w:rFonts w:hint="eastAsia" w:ascii="Times New Roman" w:hAnsi="Times New Roman" w:eastAsiaTheme="minorEastAsia"/>
          <w:color w:val="000000" w:themeColor="text1"/>
          <w14:textFill>
            <w14:solidFill>
              <w14:schemeClr w14:val="tx1"/>
            </w14:solidFill>
          </w14:textFill>
        </w:rPr>
        <w:t>色谱柱：</w:t>
      </w:r>
      <w:r>
        <w:rPr>
          <w:rFonts w:ascii="Times New Roman" w:hAnsi="Times New Roman" w:eastAsiaTheme="minorEastAsia"/>
          <w:color w:val="000000" w:themeColor="text1"/>
          <w14:textFill>
            <w14:solidFill>
              <w14:schemeClr w14:val="tx1"/>
            </w14:solidFill>
          </w14:textFill>
        </w:rPr>
        <w:t>BEH C18</w:t>
      </w:r>
    </w:p>
    <w:p w14:paraId="55E3E120">
      <w:pPr>
        <w:pStyle w:val="44"/>
        <w:numPr>
          <w:ilvl w:val="0"/>
          <w:numId w:val="0"/>
        </w:numPr>
        <w:autoSpaceDE/>
        <w:autoSpaceDN/>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22</w:t>
      </w:r>
      <w:r>
        <w:rPr>
          <w:rFonts w:hint="eastAsia" w:ascii="Times New Roman" w:hAnsi="Times New Roman" w:eastAsiaTheme="minorEastAsia"/>
          <w:color w:val="000000" w:themeColor="text1"/>
          <w14:textFill>
            <w14:solidFill>
              <w14:schemeClr w14:val="tx1"/>
            </w14:solidFill>
          </w14:textFill>
        </w:rPr>
        <w:t>.3仪器参数</w:t>
      </w:r>
    </w:p>
    <w:p w14:paraId="224073C6">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a) </w:t>
      </w:r>
      <w:r>
        <w:rPr>
          <w:rFonts w:hint="eastAsia" w:ascii="Times New Roman" w:hAnsi="Times New Roman" w:eastAsiaTheme="minorEastAsia"/>
          <w:color w:val="000000" w:themeColor="text1"/>
          <w14:textFill>
            <w14:solidFill>
              <w14:schemeClr w14:val="tx1"/>
            </w14:solidFill>
          </w14:textFill>
        </w:rPr>
        <w:t>柱温：35℃</w:t>
      </w:r>
    </w:p>
    <w:p w14:paraId="1DA64308">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b) </w:t>
      </w:r>
      <w:r>
        <w:rPr>
          <w:rFonts w:hint="eastAsia" w:ascii="Times New Roman" w:hAnsi="Times New Roman" w:eastAsiaTheme="minorEastAsia"/>
          <w:color w:val="000000" w:themeColor="text1"/>
          <w14:textFill>
            <w14:solidFill>
              <w14:schemeClr w14:val="tx1"/>
            </w14:solidFill>
          </w14:textFill>
        </w:rPr>
        <w:t>流速：</w:t>
      </w:r>
      <w:r>
        <w:rPr>
          <w:rFonts w:ascii="Times New Roman" w:hAnsi="Times New Roman" w:eastAsiaTheme="minorEastAsia"/>
          <w:color w:val="000000" w:themeColor="text1"/>
          <w14:textFill>
            <w14:solidFill>
              <w14:schemeClr w14:val="tx1"/>
            </w14:solidFill>
          </w14:textFill>
        </w:rPr>
        <w:t>0.4mL/min</w:t>
      </w:r>
    </w:p>
    <w:p w14:paraId="0E66440E">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c) </w:t>
      </w:r>
      <w:r>
        <w:rPr>
          <w:rFonts w:hint="eastAsia" w:ascii="Times New Roman" w:hAnsi="Times New Roman" w:eastAsiaTheme="minorEastAsia"/>
          <w:color w:val="000000" w:themeColor="text1"/>
          <w14:textFill>
            <w14:solidFill>
              <w14:schemeClr w14:val="tx1"/>
            </w14:solidFill>
          </w14:textFill>
        </w:rPr>
        <w:t>流动相：A为0.1%甲酸，B为甲醇</w:t>
      </w:r>
    </w:p>
    <w:p w14:paraId="044D7EC4">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d) </w:t>
      </w:r>
      <w:r>
        <w:rPr>
          <w:rFonts w:hint="eastAsia" w:ascii="Times New Roman" w:hAnsi="Times New Roman" w:eastAsiaTheme="minorEastAsia"/>
          <w:color w:val="000000" w:themeColor="text1"/>
          <w14:textFill>
            <w14:solidFill>
              <w14:schemeClr w14:val="tx1"/>
            </w14:solidFill>
          </w14:textFill>
        </w:rPr>
        <w:t>进样量：10μL</w:t>
      </w:r>
    </w:p>
    <w:p w14:paraId="2C04E917">
      <w:pPr>
        <w:pStyle w:val="44"/>
        <w:numPr>
          <w:ilvl w:val="0"/>
          <w:numId w:val="0"/>
        </w:numPr>
        <w:autoSpaceDE/>
        <w:autoSpaceDN/>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e) </w:t>
      </w:r>
      <w:r>
        <w:rPr>
          <w:rFonts w:hint="eastAsia" w:ascii="Times New Roman" w:hAnsi="Times New Roman" w:eastAsiaTheme="minorEastAsia"/>
          <w:color w:val="000000" w:themeColor="text1"/>
          <w14:textFill>
            <w14:solidFill>
              <w14:schemeClr w14:val="tx1"/>
            </w14:solidFill>
          </w14:textFill>
        </w:rPr>
        <w:t>质谱条件：电离模式</w:t>
      </w:r>
      <w:r>
        <w:rPr>
          <w:rFonts w:ascii="Times New Roman" w:hAnsi="Times New Roman" w:eastAsiaTheme="minorEastAsia"/>
          <w:color w:val="000000" w:themeColor="text1"/>
          <w14:textFill>
            <w14:solidFill>
              <w14:schemeClr w14:val="tx1"/>
            </w14:solidFill>
          </w14:textFill>
        </w:rPr>
        <w:t>ESI+</w:t>
      </w:r>
      <w:r>
        <w:rPr>
          <w:rFonts w:hint="eastAsia" w:ascii="Times New Roman" w:hAnsi="Times New Roman" w:eastAsiaTheme="minorEastAsia"/>
          <w:color w:val="000000" w:themeColor="text1"/>
          <w14:textFill>
            <w14:solidFill>
              <w14:schemeClr w14:val="tx1"/>
            </w14:solidFill>
          </w14:textFill>
        </w:rPr>
        <w:t>，毛细管电压</w:t>
      </w:r>
      <w:r>
        <w:rPr>
          <w:rFonts w:ascii="Times New Roman" w:hAnsi="Times New Roman" w:eastAsiaTheme="minorEastAsia"/>
          <w:color w:val="000000" w:themeColor="text1"/>
          <w14:textFill>
            <w14:solidFill>
              <w14:schemeClr w14:val="tx1"/>
            </w14:solidFill>
          </w14:textFill>
        </w:rPr>
        <w:t>2.8kV</w:t>
      </w:r>
      <w:r>
        <w:rPr>
          <w:rFonts w:hint="eastAsia" w:ascii="Times New Roman" w:hAnsi="Times New Roman" w:eastAsiaTheme="minorEastAsia"/>
          <w:color w:val="000000" w:themeColor="text1"/>
          <w14:textFill>
            <w14:solidFill>
              <w14:schemeClr w14:val="tx1"/>
            </w14:solidFill>
          </w14:textFill>
        </w:rPr>
        <w:t>，锥孔电压</w:t>
      </w:r>
      <w:r>
        <w:rPr>
          <w:rFonts w:ascii="Times New Roman" w:hAnsi="Times New Roman" w:eastAsiaTheme="minorEastAsia"/>
          <w:color w:val="000000" w:themeColor="text1"/>
          <w14:textFill>
            <w14:solidFill>
              <w14:schemeClr w14:val="tx1"/>
            </w14:solidFill>
          </w14:textFill>
        </w:rPr>
        <w:t>28V</w:t>
      </w:r>
      <w:r>
        <w:rPr>
          <w:rFonts w:hint="eastAsia" w:ascii="Times New Roman" w:hAnsi="Times New Roman" w:eastAsiaTheme="minorEastAsia"/>
          <w:color w:val="000000" w:themeColor="text1"/>
          <w14:textFill>
            <w14:solidFill>
              <w14:schemeClr w14:val="tx1"/>
            </w14:solidFill>
          </w14:textFill>
        </w:rPr>
        <w:t>，碰撞能</w:t>
      </w:r>
      <w:r>
        <w:rPr>
          <w:rFonts w:ascii="Times New Roman" w:hAnsi="Times New Roman" w:eastAsiaTheme="minorEastAsia"/>
          <w:color w:val="000000" w:themeColor="text1"/>
          <w14:textFill>
            <w14:solidFill>
              <w14:schemeClr w14:val="tx1"/>
            </w14:solidFill>
          </w14:textFill>
        </w:rPr>
        <w:t>30eV</w:t>
      </w:r>
      <w:r>
        <w:rPr>
          <w:rFonts w:hint="eastAsia" w:ascii="Times New Roman" w:hAnsi="Times New Roman" w:eastAsiaTheme="minorEastAsia"/>
          <w:color w:val="000000" w:themeColor="text1"/>
          <w14:textFill>
            <w14:solidFill>
              <w14:schemeClr w14:val="tx1"/>
            </w14:solidFill>
          </w14:textFill>
        </w:rPr>
        <w:t>，离子源温度</w:t>
      </w:r>
      <w:r>
        <w:rPr>
          <w:rFonts w:ascii="Times New Roman" w:hAnsi="Times New Roman" w:eastAsiaTheme="minorEastAsia"/>
          <w:color w:val="000000" w:themeColor="text1"/>
          <w14:textFill>
            <w14:solidFill>
              <w14:schemeClr w14:val="tx1"/>
            </w14:solidFill>
          </w14:textFill>
        </w:rPr>
        <w:t>150</w:t>
      </w:r>
      <w:r>
        <w:rPr>
          <w:rFonts w:hint="eastAsia" w:ascii="Times New Roman" w:hAnsi="Times New Roman" w:eastAsiaTheme="minorEastAsia"/>
          <w:color w:val="000000" w:themeColor="text1"/>
          <w14:textFill>
            <w14:solidFill>
              <w14:schemeClr w14:val="tx1"/>
            </w14:solidFill>
          </w14:textFill>
        </w:rPr>
        <w:t>℃</w:t>
      </w:r>
    </w:p>
    <w:p w14:paraId="536EE08F">
      <w:pPr>
        <w:pStyle w:val="44"/>
        <w:numPr>
          <w:ilvl w:val="0"/>
          <w:numId w:val="0"/>
        </w:numPr>
        <w:autoSpaceDE/>
        <w:autoSpaceDN/>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22</w:t>
      </w:r>
      <w:r>
        <w:rPr>
          <w:rFonts w:hint="eastAsia" w:ascii="Times New Roman" w:hAnsi="Times New Roman" w:eastAsiaTheme="minorEastAsia"/>
          <w:color w:val="000000" w:themeColor="text1"/>
          <w14:textFill>
            <w14:solidFill>
              <w14:schemeClr w14:val="tx1"/>
            </w14:solidFill>
          </w14:textFill>
        </w:rPr>
        <w:t>.4操作步骤</w:t>
      </w:r>
    </w:p>
    <w:p w14:paraId="5FA9B98B">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依次采用5mL甲醇、5mL超纯水活化固相萃取柱，后将pH值为4.0的1L水样通过固相萃取柱，上样流速</w:t>
      </w:r>
      <w:r>
        <w:rPr>
          <w:rFonts w:ascii="Times New Roman" w:hAnsi="Times New Roman" w:eastAsiaTheme="minorEastAsia"/>
          <w:color w:val="000000" w:themeColor="text1"/>
          <w14:textFill>
            <w14:solidFill>
              <w14:schemeClr w14:val="tx1"/>
            </w14:solidFill>
          </w14:textFill>
        </w:rPr>
        <w:t xml:space="preserve">10mL/min, </w:t>
      </w:r>
      <w:r>
        <w:rPr>
          <w:rFonts w:hint="eastAsia" w:ascii="Times New Roman" w:hAnsi="Times New Roman" w:eastAsiaTheme="minorEastAsia"/>
          <w:color w:val="000000" w:themeColor="text1"/>
          <w14:textFill>
            <w14:solidFill>
              <w14:schemeClr w14:val="tx1"/>
            </w14:solidFill>
          </w14:textFill>
        </w:rPr>
        <w:t>氮气吹脱固相萃取柱至近干，再以10mL甲醇</w:t>
      </w:r>
      <w:r>
        <w:rPr>
          <w:rFonts w:ascii="Times New Roman" w:hAnsi="Times New Roman" w:eastAsiaTheme="minorEastAsia"/>
          <w:color w:val="000000" w:themeColor="text1"/>
          <w14:textFill>
            <w14:solidFill>
              <w14:schemeClr w14:val="tx1"/>
            </w14:solidFill>
          </w14:textFill>
        </w:rPr>
        <w:t xml:space="preserve"> </w:t>
      </w:r>
      <w:r>
        <w:rPr>
          <w:rFonts w:hint="eastAsia" w:ascii="Times New Roman" w:hAnsi="Times New Roman" w:eastAsiaTheme="minorEastAsia"/>
          <w:color w:val="000000" w:themeColor="text1"/>
          <w14:textFill>
            <w14:solidFill>
              <w14:schemeClr w14:val="tx1"/>
            </w14:solidFill>
          </w14:textFill>
        </w:rPr>
        <w:t>(流速为1mL/min)</w:t>
      </w:r>
      <w:r>
        <w:rPr>
          <w:rFonts w:ascii="Times New Roman" w:hAnsi="Times New Roman" w:eastAsiaTheme="minorEastAsia"/>
          <w:color w:val="000000" w:themeColor="text1"/>
          <w14:textFill>
            <w14:solidFill>
              <w14:schemeClr w14:val="tx1"/>
            </w14:solidFill>
          </w14:textFill>
        </w:rPr>
        <w:t xml:space="preserve"> </w:t>
      </w:r>
      <w:r>
        <w:rPr>
          <w:rFonts w:hint="eastAsia" w:ascii="Times New Roman" w:hAnsi="Times New Roman" w:eastAsiaTheme="minorEastAsia"/>
          <w:color w:val="000000" w:themeColor="text1"/>
          <w14:textFill>
            <w14:solidFill>
              <w14:schemeClr w14:val="tx1"/>
            </w14:solidFill>
          </w14:textFill>
        </w:rPr>
        <w:t>进行洗脱，收集洗脱液，旋转蒸发至近干，使用0.22Mm有机滤膜过滤，甲醇定容至</w:t>
      </w:r>
      <w:r>
        <w:rPr>
          <w:rFonts w:ascii="Times New Roman" w:hAnsi="Times New Roman" w:eastAsiaTheme="minorEastAsia"/>
          <w:color w:val="000000" w:themeColor="text1"/>
          <w14:textFill>
            <w14:solidFill>
              <w14:schemeClr w14:val="tx1"/>
            </w14:solidFill>
          </w14:textFill>
        </w:rPr>
        <w:t>1mL</w:t>
      </w:r>
      <w:r>
        <w:rPr>
          <w:rFonts w:hint="eastAsia" w:ascii="Times New Roman" w:hAnsi="Times New Roman" w:eastAsiaTheme="minorEastAsia"/>
          <w:color w:val="000000" w:themeColor="text1"/>
          <w14:textFill>
            <w14:solidFill>
              <w14:schemeClr w14:val="tx1"/>
            </w14:solidFill>
          </w14:textFill>
        </w:rPr>
        <w:t>，待仪器分析。</w:t>
      </w:r>
    </w:p>
    <w:p w14:paraId="0D400368">
      <w:pPr>
        <w:pStyle w:val="44"/>
        <w:numPr>
          <w:ilvl w:val="0"/>
          <w:numId w:val="0"/>
        </w:numPr>
        <w:autoSpaceDE/>
        <w:autoSpaceDN/>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22</w:t>
      </w:r>
      <w:r>
        <w:rPr>
          <w:rFonts w:hint="eastAsia" w:ascii="Times New Roman" w:hAnsi="Times New Roman" w:eastAsiaTheme="minorEastAsia"/>
          <w:color w:val="000000" w:themeColor="text1"/>
          <w14:textFill>
            <w14:solidFill>
              <w14:schemeClr w14:val="tx1"/>
            </w14:solidFill>
          </w14:textFill>
        </w:rPr>
        <w:t>.5测定</w:t>
      </w:r>
    </w:p>
    <w:p w14:paraId="6BCF748F">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在上述操作条件下，待仪器基线稳定后，连续注入数针标样溶液，直至相邻两针戊唑醇相对响应值变化小于2.5％后，按照</w:t>
      </w:r>
      <w:r>
        <w:rPr>
          <w:rFonts w:hint="eastAsia" w:ascii="Times New Roman" w:hAnsi="Times New Roman" w:eastAsiaTheme="minorEastAsia"/>
          <w:color w:val="000000" w:themeColor="text1"/>
          <w:highlight w:val="yellow"/>
          <w14:textFill>
            <w14:solidFill>
              <w14:schemeClr w14:val="tx1"/>
            </w14:solidFill>
          </w14:textFill>
        </w:rPr>
        <w:t>标样溶液、试样溶液、试样溶液、标样溶液</w:t>
      </w:r>
      <w:r>
        <w:rPr>
          <w:rFonts w:hint="eastAsia" w:ascii="Times New Roman" w:hAnsi="Times New Roman" w:eastAsiaTheme="minorEastAsia"/>
          <w:color w:val="000000" w:themeColor="text1"/>
          <w14:textFill>
            <w14:solidFill>
              <w14:schemeClr w14:val="tx1"/>
            </w14:solidFill>
          </w14:textFill>
        </w:rPr>
        <w:t>的顺序进行测定。</w:t>
      </w:r>
    </w:p>
    <w:p w14:paraId="10B7929B">
      <w:pPr>
        <w:pStyle w:val="44"/>
        <w:numPr>
          <w:ilvl w:val="0"/>
          <w:numId w:val="0"/>
        </w:numPr>
        <w:autoSpaceDE/>
        <w:autoSpaceDN/>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22</w:t>
      </w:r>
      <w:r>
        <w:rPr>
          <w:rFonts w:hint="eastAsia" w:ascii="Times New Roman" w:hAnsi="Times New Roman" w:eastAsiaTheme="minorEastAsia"/>
          <w:color w:val="000000" w:themeColor="text1"/>
          <w14:textFill>
            <w14:solidFill>
              <w14:schemeClr w14:val="tx1"/>
            </w14:solidFill>
          </w14:textFill>
        </w:rPr>
        <w:t>.6计算</w:t>
      </w:r>
    </w:p>
    <w:p w14:paraId="6D7FF323">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将测得的两针试样溶液以及试样溶液前后两针标样溶液中戊唑醇峰面积分别进行平均。样品中戊唑醇的含量X（</w:t>
      </w:r>
      <w:r>
        <w:rPr>
          <w:rFonts w:ascii="Times New Roman" w:hAnsi="Times New Roman" w:eastAsiaTheme="minorEastAsia"/>
          <w:color w:val="000000" w:themeColor="text1"/>
          <w14:textFill>
            <w14:solidFill>
              <w14:schemeClr w14:val="tx1"/>
            </w14:solidFill>
          </w14:textFill>
        </w:rPr>
        <w:t>%</w:t>
      </w:r>
      <w:r>
        <w:rPr>
          <w:rFonts w:hint="eastAsia" w:ascii="Times New Roman" w:hAnsi="Times New Roman" w:eastAsiaTheme="minorEastAsia"/>
          <w:color w:val="000000" w:themeColor="text1"/>
          <w14:textFill>
            <w14:solidFill>
              <w14:schemeClr w14:val="tx1"/>
            </w14:solidFill>
          </w14:textFill>
        </w:rPr>
        <w:t>）按式（</w:t>
      </w:r>
      <w:r>
        <w:rPr>
          <w:rFonts w:hint="eastAsia" w:ascii="Times New Roman" w:hAnsi="Times New Roman" w:eastAsiaTheme="minorEastAsia"/>
          <w:color w:val="000000" w:themeColor="text1"/>
          <w:lang w:eastAsia="zh-CN"/>
          <w14:textFill>
            <w14:solidFill>
              <w14:schemeClr w14:val="tx1"/>
            </w14:solidFill>
          </w14:textFill>
        </w:rPr>
        <w:t>2</w:t>
      </w:r>
      <w:r>
        <w:rPr>
          <w:rFonts w:hint="eastAsia" w:ascii="Times New Roman" w:hAnsi="Times New Roman" w:eastAsiaTheme="minorEastAsia"/>
          <w:color w:val="000000" w:themeColor="text1"/>
          <w:lang w:val="en-US" w:eastAsia="zh-CN"/>
          <w14:textFill>
            <w14:solidFill>
              <w14:schemeClr w14:val="tx1"/>
            </w14:solidFill>
          </w14:textFill>
        </w:rPr>
        <w:t>1</w:t>
      </w:r>
      <w:r>
        <w:rPr>
          <w:rFonts w:hint="eastAsia" w:ascii="Times New Roman" w:hAnsi="Times New Roman" w:eastAsiaTheme="minorEastAsia"/>
          <w:color w:val="000000" w:themeColor="text1"/>
          <w14:textFill>
            <w14:solidFill>
              <w14:schemeClr w14:val="tx1"/>
            </w14:solidFill>
          </w14:textFill>
        </w:rPr>
        <w:t>）计算：</w:t>
      </w:r>
    </w:p>
    <w:p w14:paraId="609F73B5">
      <w:pPr>
        <w:pStyle w:val="44"/>
        <w:numPr>
          <w:ilvl w:val="0"/>
          <w:numId w:val="0"/>
        </w:numPr>
        <w:autoSpaceDE/>
        <w:autoSpaceDN/>
        <w:ind w:firstLine="420" w:firstLineChars="200"/>
        <w:jc w:val="right"/>
        <w:rPr>
          <w:rFonts w:ascii="Times New Roman" w:hAnsi="Times New Roman"/>
          <w:color w:val="000000" w:themeColor="text1"/>
          <w14:textFill>
            <w14:solidFill>
              <w14:schemeClr w14:val="tx1"/>
            </w14:solidFill>
          </w14:textFill>
        </w:rPr>
      </w:pPr>
      <m:oMath>
        <m:r>
          <m:rPr>
            <m:sty m:val="p"/>
          </m:rPr>
          <w:rPr>
            <w:rStyle w:val="22"/>
            <w:rFonts w:ascii="Times New Roman" w:hAnsi="Times New Roman"/>
            <w:color w:val="000000" w:themeColor="text1"/>
            <w14:textFill>
              <w14:solidFill>
                <w14:schemeClr w14:val="tx1"/>
              </w14:solidFill>
            </w14:textFill>
          </w:rPr>
          <m:t>X=</m:t>
        </m:r>
        <m:f>
          <m:fPr>
            <m:ctrlPr>
              <w:rPr>
                <w:rFonts w:hint="eastAsia" w:ascii="DejaVu Math TeX Gyre" w:hAnsi="DejaVu Math TeX Gyre" w:eastAsiaTheme="minorEastAsia"/>
                <w:color w:val="000000" w:themeColor="text1"/>
                <w14:textFill>
                  <w14:solidFill>
                    <w14:schemeClr w14:val="tx1"/>
                  </w14:solidFill>
                </w14:textFill>
              </w:rPr>
            </m:ctrlPr>
          </m:fPr>
          <m:num>
            <m:sSub>
              <m:sSubPr>
                <m:ctrlPr>
                  <w:rPr>
                    <w:rFonts w:hint="eastAsia" w:ascii="DejaVu Math TeX Gyre" w:hAnsi="DejaVu Math TeX Gyre" w:eastAsiaTheme="minorEastAsia"/>
                    <w:color w:val="000000" w:themeColor="text1"/>
                    <w14:textFill>
                      <w14:solidFill>
                        <w14:schemeClr w14:val="tx1"/>
                      </w14:solidFill>
                    </w14:textFill>
                  </w:rPr>
                </m:ctrlPr>
              </m:sSubPr>
              <m:e>
                <m:r>
                  <m:rPr>
                    <m:sty m:val="p"/>
                  </m:rPr>
                  <w:rPr>
                    <w:rStyle w:val="22"/>
                    <w:rFonts w:ascii="Times New Roman" w:hAnsi="Times New Roman"/>
                    <w:color w:val="000000" w:themeColor="text1"/>
                    <w14:textFill>
                      <w14:solidFill>
                        <w14:schemeClr w14:val="tx1"/>
                      </w14:solidFill>
                    </w14:textFill>
                  </w:rPr>
                  <m:t>r</m:t>
                </m:r>
                <m:ctrlPr>
                  <w:rPr>
                    <w:rFonts w:hint="eastAsia" w:ascii="DejaVu Math TeX Gyre" w:hAnsi="DejaVu Math TeX Gyre" w:eastAsiaTheme="minorEastAsia"/>
                    <w:color w:val="000000" w:themeColor="text1"/>
                    <w14:textFill>
                      <w14:solidFill>
                        <w14:schemeClr w14:val="tx1"/>
                      </w14:solidFill>
                    </w14:textFill>
                  </w:rPr>
                </m:ctrlPr>
              </m:e>
              <m:sub>
                <m:r>
                  <m:rPr>
                    <m:sty m:val="p"/>
                  </m:rPr>
                  <w:rPr>
                    <w:rStyle w:val="22"/>
                    <w:rFonts w:ascii="Times New Roman" w:hAnsi="Times New Roman"/>
                    <w:color w:val="000000" w:themeColor="text1"/>
                    <w14:textFill>
                      <w14:solidFill>
                        <w14:schemeClr w14:val="tx1"/>
                      </w14:solidFill>
                    </w14:textFill>
                  </w:rPr>
                  <m:t>2</m:t>
                </m:r>
                <m:ctrlPr>
                  <w:rPr>
                    <w:rFonts w:hint="eastAsia" w:ascii="DejaVu Math TeX Gyre" w:hAnsi="DejaVu Math TeX Gyre" w:eastAsiaTheme="minorEastAsia"/>
                    <w:color w:val="000000" w:themeColor="text1"/>
                    <w14:textFill>
                      <w14:solidFill>
                        <w14:schemeClr w14:val="tx1"/>
                      </w14:solidFill>
                    </w14:textFill>
                  </w:rPr>
                </m:ctrlPr>
              </m:sub>
            </m:sSub>
            <m:r>
              <m:rPr>
                <m:sty m:val="p"/>
              </m:rPr>
              <w:rPr>
                <w:rStyle w:val="22"/>
                <w:rFonts w:ascii="Times New Roman" w:hAnsi="Times New Roman"/>
                <w:color w:val="000000" w:themeColor="text1"/>
                <w14:textFill>
                  <w14:solidFill>
                    <w14:schemeClr w14:val="tx1"/>
                  </w14:solidFill>
                </w14:textFill>
              </w:rPr>
              <m:t>×</m:t>
            </m:r>
            <m:sSub>
              <m:sSubPr>
                <m:ctrlPr>
                  <w:rPr>
                    <w:rFonts w:hint="eastAsia" w:ascii="DejaVu Math TeX Gyre" w:hAnsi="DejaVu Math TeX Gyre" w:eastAsiaTheme="minorEastAsia"/>
                    <w:color w:val="000000" w:themeColor="text1"/>
                    <w14:textFill>
                      <w14:solidFill>
                        <w14:schemeClr w14:val="tx1"/>
                      </w14:solidFill>
                    </w14:textFill>
                  </w:rPr>
                </m:ctrlPr>
              </m:sSubPr>
              <m:e>
                <m:r>
                  <m:rPr>
                    <m:sty m:val="p"/>
                  </m:rPr>
                  <w:rPr>
                    <w:rStyle w:val="22"/>
                    <w:rFonts w:ascii="Times New Roman" w:hAnsi="Times New Roman"/>
                    <w:color w:val="000000" w:themeColor="text1"/>
                    <w14:textFill>
                      <w14:solidFill>
                        <w14:schemeClr w14:val="tx1"/>
                      </w14:solidFill>
                    </w14:textFill>
                  </w:rPr>
                  <m:t>m</m:t>
                </m:r>
                <m:ctrlPr>
                  <w:rPr>
                    <w:rFonts w:hint="eastAsia" w:ascii="DejaVu Math TeX Gyre" w:hAnsi="DejaVu Math TeX Gyre" w:eastAsiaTheme="minorEastAsia"/>
                    <w:color w:val="000000" w:themeColor="text1"/>
                    <w14:textFill>
                      <w14:solidFill>
                        <w14:schemeClr w14:val="tx1"/>
                      </w14:solidFill>
                    </w14:textFill>
                  </w:rPr>
                </m:ctrlPr>
              </m:e>
              <m:sub>
                <m:r>
                  <m:rPr>
                    <m:sty m:val="p"/>
                  </m:rPr>
                  <w:rPr>
                    <w:rStyle w:val="22"/>
                    <w:rFonts w:ascii="Times New Roman" w:hAnsi="Times New Roman"/>
                    <w:color w:val="000000" w:themeColor="text1"/>
                    <w14:textFill>
                      <w14:solidFill>
                        <w14:schemeClr w14:val="tx1"/>
                      </w14:solidFill>
                    </w14:textFill>
                  </w:rPr>
                  <m:t>1</m:t>
                </m:r>
                <m:ctrlPr>
                  <w:rPr>
                    <w:rFonts w:hint="eastAsia" w:ascii="DejaVu Math TeX Gyre" w:hAnsi="DejaVu Math TeX Gyre" w:eastAsiaTheme="minorEastAsia"/>
                    <w:color w:val="000000" w:themeColor="text1"/>
                    <w14:textFill>
                      <w14:solidFill>
                        <w14:schemeClr w14:val="tx1"/>
                      </w14:solidFill>
                    </w14:textFill>
                  </w:rPr>
                </m:ctrlPr>
              </m:sub>
            </m:sSub>
            <m:r>
              <m:rPr>
                <m:sty m:val="p"/>
              </m:rPr>
              <w:rPr>
                <w:rStyle w:val="22"/>
                <w:rFonts w:ascii="Times New Roman" w:hAnsi="Times New Roman"/>
                <w:color w:val="000000" w:themeColor="text1"/>
                <w14:textFill>
                  <w14:solidFill>
                    <w14:schemeClr w14:val="tx1"/>
                  </w14:solidFill>
                </w14:textFill>
              </w:rPr>
              <m:t>×p</m:t>
            </m:r>
            <m:ctrlPr>
              <w:rPr>
                <w:rFonts w:hint="eastAsia" w:ascii="DejaVu Math TeX Gyre" w:hAnsi="DejaVu Math TeX Gyre" w:eastAsiaTheme="minorEastAsia"/>
                <w:color w:val="000000" w:themeColor="text1"/>
                <w14:textFill>
                  <w14:solidFill>
                    <w14:schemeClr w14:val="tx1"/>
                  </w14:solidFill>
                </w14:textFill>
              </w:rPr>
            </m:ctrlPr>
          </m:num>
          <m:den>
            <m:sSub>
              <m:sSubPr>
                <m:ctrlPr>
                  <w:rPr>
                    <w:rFonts w:hint="eastAsia" w:ascii="DejaVu Math TeX Gyre" w:hAnsi="DejaVu Math TeX Gyre" w:eastAsiaTheme="minorEastAsia"/>
                    <w:color w:val="000000" w:themeColor="text1"/>
                    <w14:textFill>
                      <w14:solidFill>
                        <w14:schemeClr w14:val="tx1"/>
                      </w14:solidFill>
                    </w14:textFill>
                  </w:rPr>
                </m:ctrlPr>
              </m:sSubPr>
              <m:e>
                <m:r>
                  <m:rPr>
                    <m:sty m:val="p"/>
                  </m:rPr>
                  <w:rPr>
                    <w:rStyle w:val="22"/>
                    <w:rFonts w:ascii="Times New Roman" w:hAnsi="Times New Roman"/>
                    <w:color w:val="000000" w:themeColor="text1"/>
                    <w14:textFill>
                      <w14:solidFill>
                        <w14:schemeClr w14:val="tx1"/>
                      </w14:solidFill>
                    </w14:textFill>
                  </w:rPr>
                  <m:t>r</m:t>
                </m:r>
                <m:ctrlPr>
                  <w:rPr>
                    <w:rFonts w:hint="eastAsia" w:ascii="DejaVu Math TeX Gyre" w:hAnsi="DejaVu Math TeX Gyre" w:eastAsiaTheme="minorEastAsia"/>
                    <w:color w:val="000000" w:themeColor="text1"/>
                    <w14:textFill>
                      <w14:solidFill>
                        <w14:schemeClr w14:val="tx1"/>
                      </w14:solidFill>
                    </w14:textFill>
                  </w:rPr>
                </m:ctrlPr>
              </m:e>
              <m:sub>
                <m:r>
                  <m:rPr>
                    <m:sty m:val="p"/>
                  </m:rPr>
                  <w:rPr>
                    <w:rStyle w:val="22"/>
                    <w:rFonts w:ascii="Times New Roman" w:hAnsi="Times New Roman"/>
                    <w:color w:val="000000" w:themeColor="text1"/>
                    <w14:textFill>
                      <w14:solidFill>
                        <w14:schemeClr w14:val="tx1"/>
                      </w14:solidFill>
                    </w14:textFill>
                  </w:rPr>
                  <m:t>1</m:t>
                </m:r>
                <m:ctrlPr>
                  <w:rPr>
                    <w:rFonts w:hint="eastAsia" w:ascii="DejaVu Math TeX Gyre" w:hAnsi="DejaVu Math TeX Gyre" w:eastAsiaTheme="minorEastAsia"/>
                    <w:color w:val="000000" w:themeColor="text1"/>
                    <w14:textFill>
                      <w14:solidFill>
                        <w14:schemeClr w14:val="tx1"/>
                      </w14:solidFill>
                    </w14:textFill>
                  </w:rPr>
                </m:ctrlPr>
              </m:sub>
            </m:sSub>
            <m:r>
              <m:rPr>
                <m:sty m:val="p"/>
              </m:rPr>
              <w:rPr>
                <w:rStyle w:val="22"/>
                <w:rFonts w:ascii="Times New Roman" w:hAnsi="Times New Roman"/>
                <w:color w:val="000000" w:themeColor="text1"/>
                <w14:textFill>
                  <w14:solidFill>
                    <w14:schemeClr w14:val="tx1"/>
                  </w14:solidFill>
                </w14:textFill>
              </w:rPr>
              <m:t>×</m:t>
            </m:r>
            <m:sSub>
              <m:sSubPr>
                <m:ctrlPr>
                  <w:rPr>
                    <w:rFonts w:hint="eastAsia" w:ascii="DejaVu Math TeX Gyre" w:hAnsi="DejaVu Math TeX Gyre" w:eastAsiaTheme="minorEastAsia"/>
                    <w:color w:val="000000" w:themeColor="text1"/>
                    <w14:textFill>
                      <w14:solidFill>
                        <w14:schemeClr w14:val="tx1"/>
                      </w14:solidFill>
                    </w14:textFill>
                  </w:rPr>
                </m:ctrlPr>
              </m:sSubPr>
              <m:e>
                <m:r>
                  <m:rPr>
                    <m:sty m:val="p"/>
                  </m:rPr>
                  <w:rPr>
                    <w:rStyle w:val="22"/>
                    <w:rFonts w:ascii="Times New Roman" w:hAnsi="Times New Roman"/>
                    <w:color w:val="000000" w:themeColor="text1"/>
                    <w14:textFill>
                      <w14:solidFill>
                        <w14:schemeClr w14:val="tx1"/>
                      </w14:solidFill>
                    </w14:textFill>
                  </w:rPr>
                  <m:t>m</m:t>
                </m:r>
                <m:ctrlPr>
                  <w:rPr>
                    <w:rFonts w:hint="eastAsia" w:ascii="DejaVu Math TeX Gyre" w:hAnsi="DejaVu Math TeX Gyre" w:eastAsiaTheme="minorEastAsia"/>
                    <w:color w:val="000000" w:themeColor="text1"/>
                    <w14:textFill>
                      <w14:solidFill>
                        <w14:schemeClr w14:val="tx1"/>
                      </w14:solidFill>
                    </w14:textFill>
                  </w:rPr>
                </m:ctrlPr>
              </m:e>
              <m:sub>
                <m:r>
                  <m:rPr>
                    <m:sty m:val="p"/>
                  </m:rPr>
                  <w:rPr>
                    <w:rStyle w:val="22"/>
                    <w:rFonts w:ascii="Times New Roman" w:hAnsi="Times New Roman"/>
                    <w:color w:val="000000" w:themeColor="text1"/>
                    <w14:textFill>
                      <w14:solidFill>
                        <w14:schemeClr w14:val="tx1"/>
                      </w14:solidFill>
                    </w14:textFill>
                  </w:rPr>
                  <m:t>2</m:t>
                </m:r>
                <m:ctrlPr>
                  <w:rPr>
                    <w:rFonts w:hint="eastAsia" w:ascii="DejaVu Math TeX Gyre" w:hAnsi="DejaVu Math TeX Gyre" w:eastAsiaTheme="minorEastAsia"/>
                    <w:color w:val="000000" w:themeColor="text1"/>
                    <w14:textFill>
                      <w14:solidFill>
                        <w14:schemeClr w14:val="tx1"/>
                      </w14:solidFill>
                    </w14:textFill>
                  </w:rPr>
                </m:ctrlPr>
              </m:sub>
            </m:sSub>
            <m:ctrlPr>
              <w:rPr>
                <w:rFonts w:hint="eastAsia" w:ascii="DejaVu Math TeX Gyre" w:hAnsi="DejaVu Math TeX Gyre" w:eastAsiaTheme="minorEastAsia"/>
                <w:color w:val="000000" w:themeColor="text1"/>
                <w14:textFill>
                  <w14:solidFill>
                    <w14:schemeClr w14:val="tx1"/>
                  </w14:solidFill>
                </w14:textFill>
              </w:rPr>
            </m:ctrlPr>
          </m:den>
        </m:f>
      </m:oMath>
      <w:r>
        <w:rPr>
          <w:rFonts w:hint="eastAsia" w:ascii="Times New Roman" w:hAnsi="Times New Roman" w:eastAsiaTheme="minorEastAsia"/>
          <w:color w:val="000000" w:themeColor="text1"/>
          <w14:textFill>
            <w14:solidFill>
              <w14:schemeClr w14:val="tx1"/>
            </w14:solidFill>
          </w14:textFill>
        </w:rPr>
        <w:t xml:space="preserve">                   ……………………（</w:t>
      </w:r>
      <w:r>
        <w:rPr>
          <w:rFonts w:hint="eastAsia" w:ascii="Times New Roman" w:hAnsi="Times New Roman" w:eastAsiaTheme="minorEastAsia"/>
          <w:color w:val="000000" w:themeColor="text1"/>
          <w:lang w:eastAsia="zh-CN"/>
          <w14:textFill>
            <w14:solidFill>
              <w14:schemeClr w14:val="tx1"/>
            </w14:solidFill>
          </w14:textFill>
        </w:rPr>
        <w:t>2</w:t>
      </w:r>
      <w:r>
        <w:rPr>
          <w:rFonts w:hint="eastAsia" w:ascii="Times New Roman" w:hAnsi="Times New Roman" w:eastAsiaTheme="minorEastAsia"/>
          <w:color w:val="000000" w:themeColor="text1"/>
          <w:lang w:val="en-US" w:eastAsia="zh-CN"/>
          <w14:textFill>
            <w14:solidFill>
              <w14:schemeClr w14:val="tx1"/>
            </w14:solidFill>
          </w14:textFill>
        </w:rPr>
        <w:t>1</w:t>
      </w:r>
      <w:r>
        <w:rPr>
          <w:rFonts w:hint="eastAsia" w:ascii="Times New Roman" w:hAnsi="Times New Roman" w:eastAsiaTheme="minorEastAsia"/>
          <w:color w:val="000000" w:themeColor="text1"/>
          <w14:textFill>
            <w14:solidFill>
              <w14:schemeClr w14:val="tx1"/>
            </w14:solidFill>
          </w14:textFill>
        </w:rPr>
        <w:t>）</w:t>
      </w:r>
    </w:p>
    <w:p w14:paraId="6026D978">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式中：</w:t>
      </w:r>
    </w:p>
    <w:p w14:paraId="4D71ADF4">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      X —— 样品中戊唑醇的含量，</w:t>
      </w:r>
      <w:r>
        <w:rPr>
          <w:rFonts w:ascii="Times New Roman" w:hAnsi="Times New Roman" w:eastAsiaTheme="minorEastAsia"/>
          <w:color w:val="000000" w:themeColor="text1"/>
          <w14:textFill>
            <w14:solidFill>
              <w14:schemeClr w14:val="tx1"/>
            </w14:solidFill>
          </w14:textFill>
        </w:rPr>
        <w:t>%</w:t>
      </w:r>
      <w:r>
        <w:rPr>
          <w:rFonts w:hint="eastAsia" w:ascii="Times New Roman" w:hAnsi="Times New Roman" w:eastAsiaTheme="minorEastAsia"/>
          <w:color w:val="000000" w:themeColor="text1"/>
          <w14:textFill>
            <w14:solidFill>
              <w14:schemeClr w14:val="tx1"/>
            </w14:solidFill>
          </w14:textFill>
        </w:rPr>
        <w:t>；</w:t>
      </w:r>
    </w:p>
    <w:p w14:paraId="1D2B4FEC">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r</w:t>
      </w:r>
      <w:r>
        <w:rPr>
          <w:rFonts w:ascii="Times New Roman" w:hAnsi="Times New Roman" w:eastAsiaTheme="minorEastAsia"/>
          <w:color w:val="000000" w:themeColor="text1"/>
          <w:vertAlign w:val="subscript"/>
          <w14:textFill>
            <w14:solidFill>
              <w14:schemeClr w14:val="tx1"/>
            </w14:solidFill>
          </w14:textFill>
        </w:rPr>
        <w:t>1</w:t>
      </w:r>
      <w:r>
        <w:rPr>
          <w:rFonts w:hint="eastAsia" w:ascii="Times New Roman" w:hAnsi="Times New Roman" w:eastAsiaTheme="minorEastAsia"/>
          <w:color w:val="000000" w:themeColor="text1"/>
          <w14:textFill>
            <w14:solidFill>
              <w14:schemeClr w14:val="tx1"/>
            </w14:solidFill>
          </w14:textFill>
        </w:rPr>
        <w:t xml:space="preserve"> —— 标样溶液中戊唑醇峰面积的平均值；</w:t>
      </w:r>
    </w:p>
    <w:p w14:paraId="21A5C1E4">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      r</w:t>
      </w:r>
      <w:r>
        <w:rPr>
          <w:rFonts w:ascii="Times New Roman" w:hAnsi="Times New Roman" w:eastAsiaTheme="minorEastAsia"/>
          <w:color w:val="000000" w:themeColor="text1"/>
          <w:vertAlign w:val="subscript"/>
          <w14:textFill>
            <w14:solidFill>
              <w14:schemeClr w14:val="tx1"/>
            </w14:solidFill>
          </w14:textFill>
        </w:rPr>
        <w:t>2</w:t>
      </w:r>
      <w:r>
        <w:rPr>
          <w:rFonts w:hint="eastAsia" w:ascii="Times New Roman" w:hAnsi="Times New Roman" w:eastAsiaTheme="minorEastAsia"/>
          <w:color w:val="000000" w:themeColor="text1"/>
          <w14:textFill>
            <w14:solidFill>
              <w14:schemeClr w14:val="tx1"/>
            </w14:solidFill>
          </w14:textFill>
        </w:rPr>
        <w:t xml:space="preserve"> —— 试样溶液中戊唑醇峰面积的平均值；</w:t>
      </w:r>
    </w:p>
    <w:p w14:paraId="6F0C014C">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      m</w:t>
      </w:r>
      <w:r>
        <w:rPr>
          <w:rFonts w:ascii="Times New Roman" w:hAnsi="Times New Roman" w:eastAsiaTheme="minorEastAsia"/>
          <w:color w:val="000000" w:themeColor="text1"/>
          <w:vertAlign w:val="subscript"/>
          <w14:textFill>
            <w14:solidFill>
              <w14:schemeClr w14:val="tx1"/>
            </w14:solidFill>
          </w14:textFill>
        </w:rPr>
        <w:t>1</w:t>
      </w:r>
      <w:r>
        <w:rPr>
          <w:rFonts w:hint="eastAsia" w:ascii="Times New Roman" w:hAnsi="Times New Roman" w:eastAsiaTheme="minorEastAsia"/>
          <w:color w:val="000000" w:themeColor="text1"/>
          <w14:textFill>
            <w14:solidFill>
              <w14:schemeClr w14:val="tx1"/>
            </w14:solidFill>
          </w14:textFill>
        </w:rPr>
        <w:t xml:space="preserve"> —— 标样的质量，单位为克（g）；</w:t>
      </w:r>
    </w:p>
    <w:p w14:paraId="3A9AA6AA">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 xml:space="preserve">      m</w:t>
      </w:r>
      <w:r>
        <w:rPr>
          <w:rFonts w:ascii="Times New Roman" w:hAnsi="Times New Roman" w:eastAsiaTheme="minorEastAsia"/>
          <w:color w:val="000000" w:themeColor="text1"/>
          <w:vertAlign w:val="subscript"/>
          <w14:textFill>
            <w14:solidFill>
              <w14:schemeClr w14:val="tx1"/>
            </w14:solidFill>
          </w14:textFill>
        </w:rPr>
        <w:t>2</w:t>
      </w:r>
      <w:r>
        <w:rPr>
          <w:rFonts w:hint="eastAsia" w:ascii="Times New Roman" w:hAnsi="Times New Roman" w:eastAsiaTheme="minorEastAsia"/>
          <w:color w:val="000000" w:themeColor="text1"/>
          <w14:textFill>
            <w14:solidFill>
              <w14:schemeClr w14:val="tx1"/>
            </w14:solidFill>
          </w14:textFill>
        </w:rPr>
        <w:t xml:space="preserve"> —— 试样的质量，单位为克（g）；</w:t>
      </w:r>
    </w:p>
    <w:p w14:paraId="59F88A85">
      <w:pPr>
        <w:pStyle w:val="44"/>
        <w:numPr>
          <w:ilvl w:val="0"/>
          <w:numId w:val="0"/>
        </w:numPr>
        <w:autoSpaceDE/>
        <w:autoSpaceDN/>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 xml:space="preserve">      p  ——标样中戊唑醇的质量分数，</w:t>
      </w:r>
      <w:r>
        <w:rPr>
          <w:rFonts w:ascii="Times New Roman" w:hAnsi="Times New Roman" w:eastAsiaTheme="minorEastAsia"/>
          <w:color w:val="000000" w:themeColor="text1"/>
          <w14:textFill>
            <w14:solidFill>
              <w14:schemeClr w14:val="tx1"/>
            </w14:solidFill>
          </w14:textFill>
        </w:rPr>
        <w:t>%</w:t>
      </w:r>
      <w:r>
        <w:rPr>
          <w:rFonts w:hint="eastAsia" w:ascii="Times New Roman" w:hAnsi="Times New Roman" w:eastAsiaTheme="minorEastAsia"/>
          <w:color w:val="000000" w:themeColor="text1"/>
          <w14:textFill>
            <w14:solidFill>
              <w14:schemeClr w14:val="tx1"/>
            </w14:solidFill>
          </w14:textFill>
        </w:rPr>
        <w:t>。</w:t>
      </w:r>
    </w:p>
    <w:p w14:paraId="5DA30A0F">
      <w:pPr>
        <w:pStyle w:val="44"/>
        <w:numPr>
          <w:ilvl w:val="0"/>
          <w:numId w:val="12"/>
        </w:numPr>
        <w:autoSpaceDE/>
        <w:autoSpaceDN/>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液相色谱法测定D</w:t>
      </w:r>
      <w:r>
        <w:rPr>
          <w:rFonts w:ascii="Times New Roman" w:hAnsi="Times New Roman" w:eastAsiaTheme="minorEastAsia"/>
          <w:color w:val="000000" w:themeColor="text1"/>
          <w14:textFill>
            <w14:solidFill>
              <w14:schemeClr w14:val="tx1"/>
            </w14:solidFill>
          </w14:textFill>
        </w:rPr>
        <w:t>DAC</w:t>
      </w:r>
      <w:r>
        <w:rPr>
          <w:rFonts w:hint="eastAsia" w:ascii="Times New Roman" w:hAnsi="Times New Roman" w:eastAsiaTheme="minorEastAsia"/>
          <w:color w:val="000000" w:themeColor="text1"/>
          <w14:textFill>
            <w14:solidFill>
              <w14:schemeClr w14:val="tx1"/>
            </w14:solidFill>
          </w14:textFill>
        </w:rPr>
        <w:t>和B</w:t>
      </w:r>
      <w:r>
        <w:rPr>
          <w:rFonts w:ascii="Times New Roman" w:hAnsi="Times New Roman" w:eastAsiaTheme="minorEastAsia"/>
          <w:color w:val="000000" w:themeColor="text1"/>
          <w14:textFill>
            <w14:solidFill>
              <w14:schemeClr w14:val="tx1"/>
            </w14:solidFill>
          </w14:textFill>
        </w:rPr>
        <w:t>AC</w:t>
      </w:r>
    </w:p>
    <w:p w14:paraId="337C8D5D">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eastAsia="zh-CN"/>
          <w14:textFill>
            <w14:solidFill>
              <w14:schemeClr w14:val="tx1"/>
            </w14:solidFill>
          </w14:textFill>
        </w:rPr>
        <w:t>按照</w:t>
      </w:r>
      <w:r>
        <w:rPr>
          <w:rFonts w:hint="eastAsia" w:ascii="Times New Roman" w:hAnsi="Times New Roman" w:eastAsiaTheme="minorEastAsia"/>
          <w:color w:val="000000" w:themeColor="text1"/>
          <w14:textFill>
            <w14:solidFill>
              <w14:schemeClr w14:val="tx1"/>
            </w14:solidFill>
          </w14:textFill>
        </w:rPr>
        <w:t>G</w:t>
      </w:r>
      <w:r>
        <w:rPr>
          <w:rFonts w:ascii="Times New Roman" w:hAnsi="Times New Roman" w:eastAsiaTheme="minorEastAsia"/>
          <w:color w:val="000000" w:themeColor="text1"/>
          <w14:textFill>
            <w14:solidFill>
              <w14:schemeClr w14:val="tx1"/>
            </w14:solidFill>
          </w14:textFill>
        </w:rPr>
        <w:t>B/T 23229-2023</w:t>
      </w:r>
      <w:r>
        <w:rPr>
          <w:rFonts w:hint="eastAsia" w:ascii="Times New Roman" w:hAnsi="Times New Roman" w:eastAsiaTheme="minorEastAsia"/>
          <w:color w:val="000000" w:themeColor="text1"/>
          <w14:textFill>
            <w14:solidFill>
              <w14:schemeClr w14:val="tx1"/>
            </w14:solidFill>
          </w14:textFill>
        </w:rPr>
        <w:t>中7的</w:t>
      </w:r>
      <w:r>
        <w:rPr>
          <w:rFonts w:hint="eastAsia" w:ascii="Times New Roman" w:hAnsi="Times New Roman" w:eastAsiaTheme="minorEastAsia"/>
          <w:color w:val="000000" w:themeColor="text1"/>
          <w:lang w:eastAsia="zh-CN"/>
          <w14:textFill>
            <w14:solidFill>
              <w14:schemeClr w14:val="tx1"/>
            </w14:solidFill>
          </w14:textFill>
        </w:rPr>
        <w:t>要求执行</w:t>
      </w:r>
      <w:r>
        <w:rPr>
          <w:rFonts w:hint="eastAsia" w:ascii="Times New Roman" w:hAnsi="Times New Roman" w:eastAsiaTheme="minorEastAsia"/>
          <w:color w:val="000000" w:themeColor="text1"/>
          <w14:textFill>
            <w14:solidFill>
              <w14:schemeClr w14:val="tx1"/>
            </w14:solidFill>
          </w14:textFill>
        </w:rPr>
        <w:t>。</w:t>
      </w:r>
    </w:p>
    <w:p w14:paraId="6B32AB13">
      <w:pPr>
        <w:pStyle w:val="44"/>
        <w:numPr>
          <w:ilvl w:val="0"/>
          <w:numId w:val="12"/>
        </w:numPr>
        <w:autoSpaceDE/>
        <w:autoSpaceDN/>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两项滴定法测D</w:t>
      </w:r>
      <w:r>
        <w:rPr>
          <w:rFonts w:ascii="Times New Roman" w:hAnsi="Times New Roman" w:eastAsiaTheme="minorEastAsia"/>
          <w:color w:val="000000" w:themeColor="text1"/>
          <w14:textFill>
            <w14:solidFill>
              <w14:schemeClr w14:val="tx1"/>
            </w14:solidFill>
          </w14:textFill>
        </w:rPr>
        <w:t>DAC</w:t>
      </w:r>
      <w:r>
        <w:rPr>
          <w:rFonts w:hint="eastAsia" w:ascii="Times New Roman" w:hAnsi="Times New Roman" w:eastAsiaTheme="minorEastAsia"/>
          <w:color w:val="000000" w:themeColor="text1"/>
          <w14:textFill>
            <w14:solidFill>
              <w14:schemeClr w14:val="tx1"/>
            </w14:solidFill>
          </w14:textFill>
        </w:rPr>
        <w:t>和B</w:t>
      </w:r>
      <w:r>
        <w:rPr>
          <w:rFonts w:ascii="Times New Roman" w:hAnsi="Times New Roman" w:eastAsiaTheme="minorEastAsia"/>
          <w:color w:val="000000" w:themeColor="text1"/>
          <w14:textFill>
            <w14:solidFill>
              <w14:schemeClr w14:val="tx1"/>
            </w14:solidFill>
          </w14:textFill>
        </w:rPr>
        <w:t>AC</w:t>
      </w:r>
    </w:p>
    <w:p w14:paraId="553DAC9F">
      <w:pPr>
        <w:pStyle w:val="44"/>
        <w:numPr>
          <w:ilvl w:val="0"/>
          <w:numId w:val="0"/>
        </w:numPr>
        <w:autoSpaceDE/>
        <w:autoSpaceDN/>
        <w:ind w:firstLine="420" w:firstLineChars="200"/>
        <w:rPr>
          <w:rFonts w:hint="eastAsia"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eastAsia="zh-CN"/>
          <w14:textFill>
            <w14:solidFill>
              <w14:schemeClr w14:val="tx1"/>
            </w14:solidFill>
          </w14:textFill>
        </w:rPr>
        <w:t>按照</w:t>
      </w:r>
      <w:r>
        <w:rPr>
          <w:rFonts w:hint="eastAsia" w:ascii="Times New Roman" w:hAnsi="Times New Roman" w:eastAsiaTheme="minorEastAsia"/>
          <w:color w:val="000000" w:themeColor="text1"/>
          <w14:textFill>
            <w14:solidFill>
              <w14:schemeClr w14:val="tx1"/>
            </w14:solidFill>
          </w14:textFill>
        </w:rPr>
        <w:t>G</w:t>
      </w:r>
      <w:r>
        <w:rPr>
          <w:rFonts w:ascii="Times New Roman" w:hAnsi="Times New Roman" w:eastAsiaTheme="minorEastAsia"/>
          <w:color w:val="000000" w:themeColor="text1"/>
          <w14:textFill>
            <w14:solidFill>
              <w14:schemeClr w14:val="tx1"/>
            </w14:solidFill>
          </w14:textFill>
        </w:rPr>
        <w:t>B/T 23229-2023</w:t>
      </w:r>
      <w:r>
        <w:rPr>
          <w:rFonts w:hint="eastAsia" w:ascii="Times New Roman" w:hAnsi="Times New Roman" w:eastAsiaTheme="minorEastAsia"/>
          <w:color w:val="000000" w:themeColor="text1"/>
          <w14:textFill>
            <w14:solidFill>
              <w14:schemeClr w14:val="tx1"/>
            </w14:solidFill>
          </w14:textFill>
        </w:rPr>
        <w:t>中</w:t>
      </w:r>
      <w:r>
        <w:rPr>
          <w:rFonts w:ascii="Times New Roman" w:hAnsi="Times New Roman" w:eastAsiaTheme="minorEastAsia"/>
          <w:color w:val="000000" w:themeColor="text1"/>
          <w14:textFill>
            <w14:solidFill>
              <w14:schemeClr w14:val="tx1"/>
            </w14:solidFill>
          </w14:textFill>
        </w:rPr>
        <w:t>8</w:t>
      </w:r>
      <w:r>
        <w:rPr>
          <w:rFonts w:hint="eastAsia" w:ascii="Times New Roman" w:hAnsi="Times New Roman" w:eastAsiaTheme="minorEastAsia"/>
          <w:color w:val="000000" w:themeColor="text1"/>
          <w14:textFill>
            <w14:solidFill>
              <w14:schemeClr w14:val="tx1"/>
            </w14:solidFill>
          </w14:textFill>
        </w:rPr>
        <w:t>的</w:t>
      </w:r>
      <w:r>
        <w:rPr>
          <w:rFonts w:hint="eastAsia" w:ascii="Times New Roman" w:hAnsi="Times New Roman" w:eastAsiaTheme="minorEastAsia"/>
          <w:color w:val="000000" w:themeColor="text1"/>
          <w:lang w:eastAsia="zh-CN"/>
          <w14:textFill>
            <w14:solidFill>
              <w14:schemeClr w14:val="tx1"/>
            </w14:solidFill>
          </w14:textFill>
        </w:rPr>
        <w:t>要求执行</w:t>
      </w:r>
      <w:r>
        <w:rPr>
          <w:rFonts w:hint="eastAsia" w:ascii="Times New Roman" w:hAnsi="Times New Roman" w:eastAsiaTheme="minorEastAsia"/>
          <w:color w:val="000000" w:themeColor="text1"/>
          <w14:textFill>
            <w14:solidFill>
              <w14:schemeClr w14:val="tx1"/>
            </w14:solidFill>
          </w14:textFill>
        </w:rPr>
        <w:t>。</w:t>
      </w:r>
    </w:p>
    <w:p w14:paraId="6AC8FCAD">
      <w:pPr>
        <w:pStyle w:val="44"/>
        <w:numPr>
          <w:ilvl w:val="0"/>
          <w:numId w:val="12"/>
        </w:numPr>
        <w:autoSpaceDE/>
        <w:autoSpaceDN/>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环丙唑醇测定</w:t>
      </w:r>
    </w:p>
    <w:p w14:paraId="55034FF9">
      <w:pPr>
        <w:pStyle w:val="44"/>
        <w:numPr>
          <w:ilvl w:val="0"/>
          <w:numId w:val="0"/>
        </w:numPr>
        <w:autoSpaceDE/>
        <w:autoSpaceDN/>
        <w:ind w:firstLine="420" w:firstLineChars="200"/>
        <w:rPr>
          <w:rFonts w:hint="eastAsia"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eastAsia="zh-CN"/>
          <w14:textFill>
            <w14:solidFill>
              <w14:schemeClr w14:val="tx1"/>
            </w14:solidFill>
          </w14:textFill>
        </w:rPr>
        <w:t>按照</w:t>
      </w:r>
      <w:r>
        <w:rPr>
          <w:rFonts w:hint="eastAsia" w:ascii="Times New Roman" w:hAnsi="Times New Roman" w:eastAsiaTheme="minorEastAsia"/>
          <w:color w:val="000000" w:themeColor="text1"/>
          <w14:textFill>
            <w14:solidFill>
              <w14:schemeClr w14:val="tx1"/>
            </w14:solidFill>
          </w14:textFill>
        </w:rPr>
        <w:t>G</w:t>
      </w:r>
      <w:r>
        <w:rPr>
          <w:rFonts w:ascii="Times New Roman" w:hAnsi="Times New Roman" w:eastAsiaTheme="minorEastAsia"/>
          <w:color w:val="000000" w:themeColor="text1"/>
          <w14:textFill>
            <w14:solidFill>
              <w14:schemeClr w14:val="tx1"/>
            </w14:solidFill>
          </w14:textFill>
        </w:rPr>
        <w:t>B/T 23229-2023</w:t>
      </w:r>
      <w:r>
        <w:rPr>
          <w:rFonts w:hint="eastAsia" w:ascii="Times New Roman" w:hAnsi="Times New Roman" w:eastAsiaTheme="minorEastAsia"/>
          <w:color w:val="000000" w:themeColor="text1"/>
          <w14:textFill>
            <w14:solidFill>
              <w14:schemeClr w14:val="tx1"/>
            </w14:solidFill>
          </w14:textFill>
        </w:rPr>
        <w:t>中</w:t>
      </w:r>
      <w:r>
        <w:rPr>
          <w:rFonts w:ascii="Times New Roman" w:hAnsi="Times New Roman" w:eastAsiaTheme="minorEastAsia"/>
          <w:color w:val="000000" w:themeColor="text1"/>
          <w14:textFill>
            <w14:solidFill>
              <w14:schemeClr w14:val="tx1"/>
            </w14:solidFill>
          </w14:textFill>
        </w:rPr>
        <w:t>9</w:t>
      </w:r>
      <w:r>
        <w:rPr>
          <w:rFonts w:hint="eastAsia" w:ascii="Times New Roman" w:hAnsi="Times New Roman" w:eastAsiaTheme="minorEastAsia"/>
          <w:color w:val="000000" w:themeColor="text1"/>
          <w:lang w:eastAsia="zh-CN"/>
          <w14:textFill>
            <w14:solidFill>
              <w14:schemeClr w14:val="tx1"/>
            </w14:solidFill>
          </w14:textFill>
        </w:rPr>
        <w:t>的要求执行</w:t>
      </w:r>
      <w:r>
        <w:rPr>
          <w:rFonts w:hint="eastAsia" w:ascii="Times New Roman" w:hAnsi="Times New Roman" w:eastAsiaTheme="minorEastAsia"/>
          <w:color w:val="000000" w:themeColor="text1"/>
          <w14:textFill>
            <w14:solidFill>
              <w14:schemeClr w14:val="tx1"/>
            </w14:solidFill>
          </w14:textFill>
        </w:rPr>
        <w:t>。</w:t>
      </w:r>
    </w:p>
    <w:p w14:paraId="214EEDE0">
      <w:pPr>
        <w:pStyle w:val="44"/>
        <w:numPr>
          <w:ilvl w:val="0"/>
          <w:numId w:val="12"/>
        </w:numPr>
        <w:autoSpaceDE/>
        <w:autoSpaceDN/>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戊唑醇、丙环唑、三唑醇 等分析方法</w:t>
      </w:r>
    </w:p>
    <w:p w14:paraId="0DA84CD4">
      <w:pPr>
        <w:pStyle w:val="44"/>
        <w:numPr>
          <w:ilvl w:val="0"/>
          <w:numId w:val="0"/>
        </w:numPr>
        <w:autoSpaceDE/>
        <w:autoSpaceDN/>
        <w:ind w:firstLine="420" w:firstLineChars="200"/>
        <w:rPr>
          <w:rFonts w:hint="eastAsia"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eastAsia="zh-CN"/>
          <w14:textFill>
            <w14:solidFill>
              <w14:schemeClr w14:val="tx1"/>
            </w14:solidFill>
          </w14:textFill>
        </w:rPr>
        <w:t>按照</w:t>
      </w:r>
      <w:r>
        <w:rPr>
          <w:rFonts w:hint="eastAsia" w:ascii="Times New Roman" w:hAnsi="Times New Roman" w:eastAsiaTheme="minorEastAsia"/>
          <w:color w:val="000000" w:themeColor="text1"/>
          <w14:textFill>
            <w14:solidFill>
              <w14:schemeClr w14:val="tx1"/>
            </w14:solidFill>
          </w14:textFill>
        </w:rPr>
        <w:t>G</w:t>
      </w:r>
      <w:r>
        <w:rPr>
          <w:rFonts w:ascii="Times New Roman" w:hAnsi="Times New Roman" w:eastAsiaTheme="minorEastAsia"/>
          <w:color w:val="000000" w:themeColor="text1"/>
          <w14:textFill>
            <w14:solidFill>
              <w14:schemeClr w14:val="tx1"/>
            </w14:solidFill>
          </w14:textFill>
        </w:rPr>
        <w:t>B/T 23229-2023</w:t>
      </w:r>
      <w:r>
        <w:rPr>
          <w:rFonts w:hint="eastAsia" w:ascii="Times New Roman" w:hAnsi="Times New Roman" w:eastAsiaTheme="minorEastAsia"/>
          <w:color w:val="000000" w:themeColor="text1"/>
          <w14:textFill>
            <w14:solidFill>
              <w14:schemeClr w14:val="tx1"/>
            </w14:solidFill>
          </w14:textFill>
        </w:rPr>
        <w:t>中</w:t>
      </w:r>
      <w:r>
        <w:rPr>
          <w:rFonts w:ascii="Times New Roman" w:hAnsi="Times New Roman" w:eastAsiaTheme="minorEastAsia"/>
          <w:color w:val="000000" w:themeColor="text1"/>
          <w14:textFill>
            <w14:solidFill>
              <w14:schemeClr w14:val="tx1"/>
            </w14:solidFill>
          </w14:textFill>
        </w:rPr>
        <w:t>10</w:t>
      </w:r>
      <w:r>
        <w:rPr>
          <w:rFonts w:hint="eastAsia" w:ascii="Times New Roman" w:hAnsi="Times New Roman" w:eastAsiaTheme="minorEastAsia"/>
          <w:color w:val="000000" w:themeColor="text1"/>
          <w14:textFill>
            <w14:solidFill>
              <w14:schemeClr w14:val="tx1"/>
            </w14:solidFill>
          </w14:textFill>
        </w:rPr>
        <w:t>的</w:t>
      </w:r>
      <w:r>
        <w:rPr>
          <w:rFonts w:hint="eastAsia" w:ascii="Times New Roman" w:hAnsi="Times New Roman" w:eastAsiaTheme="minorEastAsia"/>
          <w:color w:val="000000" w:themeColor="text1"/>
          <w:lang w:eastAsia="zh-CN"/>
          <w14:textFill>
            <w14:solidFill>
              <w14:schemeClr w14:val="tx1"/>
            </w14:solidFill>
          </w14:textFill>
        </w:rPr>
        <w:t>要求执行</w:t>
      </w:r>
      <w:r>
        <w:rPr>
          <w:rFonts w:hint="eastAsia" w:ascii="Times New Roman" w:hAnsi="Times New Roman" w:eastAsiaTheme="minorEastAsia"/>
          <w:color w:val="000000" w:themeColor="text1"/>
          <w14:textFill>
            <w14:solidFill>
              <w14:schemeClr w14:val="tx1"/>
            </w14:solidFill>
          </w14:textFill>
        </w:rPr>
        <w:t>。</w:t>
      </w:r>
    </w:p>
    <w:p w14:paraId="3719D96D">
      <w:pPr>
        <w:pStyle w:val="44"/>
        <w:numPr>
          <w:ilvl w:val="0"/>
          <w:numId w:val="12"/>
        </w:numPr>
        <w:autoSpaceDE/>
        <w:autoSpaceDN/>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D</w:t>
      </w:r>
      <w:r>
        <w:rPr>
          <w:rFonts w:ascii="Times New Roman" w:hAnsi="Times New Roman" w:eastAsiaTheme="minorEastAsia"/>
          <w:color w:val="000000" w:themeColor="text1"/>
          <w14:textFill>
            <w14:solidFill>
              <w14:schemeClr w14:val="tx1"/>
            </w14:solidFill>
          </w14:textFill>
        </w:rPr>
        <w:t>COI</w:t>
      </w:r>
      <w:r>
        <w:rPr>
          <w:rFonts w:hint="eastAsia" w:ascii="Times New Roman" w:hAnsi="Times New Roman" w:eastAsiaTheme="minorEastAsia"/>
          <w:color w:val="000000" w:themeColor="text1"/>
          <w14:textFill>
            <w14:solidFill>
              <w14:schemeClr w14:val="tx1"/>
            </w14:solidFill>
          </w14:textFill>
        </w:rPr>
        <w:t>、O</w:t>
      </w:r>
      <w:r>
        <w:rPr>
          <w:rFonts w:ascii="Times New Roman" w:hAnsi="Times New Roman" w:eastAsiaTheme="minorEastAsia"/>
          <w:color w:val="000000" w:themeColor="text1"/>
          <w14:textFill>
            <w14:solidFill>
              <w14:schemeClr w14:val="tx1"/>
            </w14:solidFill>
          </w14:textFill>
        </w:rPr>
        <w:t>IT</w:t>
      </w:r>
      <w:r>
        <w:rPr>
          <w:rFonts w:hint="eastAsia" w:ascii="Times New Roman" w:hAnsi="Times New Roman" w:eastAsiaTheme="minorEastAsia"/>
          <w:color w:val="000000" w:themeColor="text1"/>
          <w14:textFill>
            <w14:solidFill>
              <w14:schemeClr w14:val="tx1"/>
            </w14:solidFill>
          </w14:textFill>
        </w:rPr>
        <w:t>分析方法</w:t>
      </w:r>
    </w:p>
    <w:p w14:paraId="0F6E8317">
      <w:pPr>
        <w:pStyle w:val="44"/>
        <w:numPr>
          <w:ilvl w:val="0"/>
          <w:numId w:val="0"/>
        </w:numPr>
        <w:autoSpaceDE/>
        <w:autoSpaceDN/>
        <w:ind w:firstLine="420" w:firstLineChars="200"/>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eastAsia="zh-CN"/>
          <w14:textFill>
            <w14:solidFill>
              <w14:schemeClr w14:val="tx1"/>
            </w14:solidFill>
          </w14:textFill>
        </w:rPr>
        <w:t>按照</w:t>
      </w:r>
      <w:r>
        <w:rPr>
          <w:rFonts w:hint="eastAsia" w:ascii="Times New Roman" w:hAnsi="Times New Roman" w:eastAsiaTheme="minorEastAsia"/>
          <w:color w:val="000000" w:themeColor="text1"/>
          <w14:textFill>
            <w14:solidFill>
              <w14:schemeClr w14:val="tx1"/>
            </w14:solidFill>
          </w14:textFill>
        </w:rPr>
        <w:t>G</w:t>
      </w:r>
      <w:r>
        <w:rPr>
          <w:rFonts w:ascii="Times New Roman" w:hAnsi="Times New Roman" w:eastAsiaTheme="minorEastAsia"/>
          <w:color w:val="000000" w:themeColor="text1"/>
          <w14:textFill>
            <w14:solidFill>
              <w14:schemeClr w14:val="tx1"/>
            </w14:solidFill>
          </w14:textFill>
        </w:rPr>
        <w:t>B/T 23229-2023</w:t>
      </w:r>
      <w:r>
        <w:rPr>
          <w:rFonts w:hint="eastAsia" w:ascii="Times New Roman" w:hAnsi="Times New Roman" w:eastAsiaTheme="minorEastAsia"/>
          <w:color w:val="000000" w:themeColor="text1"/>
          <w14:textFill>
            <w14:solidFill>
              <w14:schemeClr w14:val="tx1"/>
            </w14:solidFill>
          </w14:textFill>
        </w:rPr>
        <w:t>中</w:t>
      </w:r>
      <w:r>
        <w:rPr>
          <w:rFonts w:ascii="Times New Roman" w:hAnsi="Times New Roman" w:eastAsiaTheme="minorEastAsia"/>
          <w:color w:val="000000" w:themeColor="text1"/>
          <w14:textFill>
            <w14:solidFill>
              <w14:schemeClr w14:val="tx1"/>
            </w14:solidFill>
          </w14:textFill>
        </w:rPr>
        <w:t>11</w:t>
      </w:r>
      <w:r>
        <w:rPr>
          <w:rFonts w:hint="eastAsia" w:ascii="Times New Roman" w:hAnsi="Times New Roman" w:eastAsiaTheme="minorEastAsia"/>
          <w:color w:val="000000" w:themeColor="text1"/>
          <w14:textFill>
            <w14:solidFill>
              <w14:schemeClr w14:val="tx1"/>
            </w14:solidFill>
          </w14:textFill>
        </w:rPr>
        <w:t>的</w:t>
      </w:r>
      <w:r>
        <w:rPr>
          <w:rFonts w:hint="eastAsia" w:ascii="Times New Roman" w:hAnsi="Times New Roman" w:eastAsiaTheme="minorEastAsia"/>
          <w:color w:val="000000" w:themeColor="text1"/>
          <w:lang w:eastAsia="zh-CN"/>
          <w14:textFill>
            <w14:solidFill>
              <w14:schemeClr w14:val="tx1"/>
            </w14:solidFill>
          </w14:textFill>
        </w:rPr>
        <w:t>要求执行</w:t>
      </w:r>
      <w:r>
        <w:rPr>
          <w:rFonts w:hint="eastAsia" w:ascii="Times New Roman" w:hAnsi="Times New Roman" w:eastAsiaTheme="minorEastAsia"/>
          <w:color w:val="000000" w:themeColor="text1"/>
          <w14:textFill>
            <w14:solidFill>
              <w14:schemeClr w14:val="tx1"/>
            </w14:solidFill>
          </w14:textFill>
        </w:rPr>
        <w:t>。</w:t>
      </w:r>
    </w:p>
    <w:p w14:paraId="2702727A">
      <w:pPr>
        <w:pStyle w:val="44"/>
        <w:numPr>
          <w:ilvl w:val="0"/>
          <w:numId w:val="12"/>
        </w:numPr>
        <w:autoSpaceDE/>
        <w:autoSpaceDN/>
        <w:rPr>
          <w:rFonts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w:t>C</w:t>
      </w:r>
      <w:r>
        <w:rPr>
          <w:rFonts w:ascii="Times New Roman" w:hAnsi="Times New Roman" w:eastAsiaTheme="minorEastAsia"/>
          <w:color w:val="000000" w:themeColor="text1"/>
          <w14:textFill>
            <w14:solidFill>
              <w14:schemeClr w14:val="tx1"/>
            </w14:solidFill>
          </w14:textFill>
        </w:rPr>
        <w:t>MIT</w:t>
      </w:r>
      <w:r>
        <w:rPr>
          <w:rFonts w:hint="eastAsia" w:ascii="Times New Roman" w:hAnsi="Times New Roman" w:eastAsiaTheme="minorEastAsia"/>
          <w:color w:val="000000" w:themeColor="text1"/>
          <w14:textFill>
            <w14:solidFill>
              <w14:schemeClr w14:val="tx1"/>
            </w14:solidFill>
          </w14:textFill>
        </w:rPr>
        <w:t>、M</w:t>
      </w:r>
      <w:r>
        <w:rPr>
          <w:rFonts w:ascii="Times New Roman" w:hAnsi="Times New Roman" w:eastAsiaTheme="minorEastAsia"/>
          <w:color w:val="000000" w:themeColor="text1"/>
          <w14:textFill>
            <w14:solidFill>
              <w14:schemeClr w14:val="tx1"/>
            </w14:solidFill>
          </w14:textFill>
        </w:rPr>
        <w:t>IT</w:t>
      </w:r>
      <w:r>
        <w:rPr>
          <w:rFonts w:hint="eastAsia" w:ascii="Times New Roman" w:hAnsi="Times New Roman" w:eastAsiaTheme="minorEastAsia"/>
          <w:color w:val="000000" w:themeColor="text1"/>
          <w14:textFill>
            <w14:solidFill>
              <w14:schemeClr w14:val="tx1"/>
            </w14:solidFill>
          </w14:textFill>
        </w:rPr>
        <w:t>分析方法</w:t>
      </w:r>
    </w:p>
    <w:p w14:paraId="189DF09D">
      <w:pPr>
        <w:pStyle w:val="44"/>
        <w:numPr>
          <w:ilvl w:val="0"/>
          <w:numId w:val="0"/>
        </w:numPr>
        <w:autoSpaceDE/>
        <w:autoSpaceDN/>
        <w:ind w:firstLine="420" w:firstLineChars="200"/>
        <w:rPr>
          <w:rFonts w:hint="eastAsia"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lang w:eastAsia="zh-CN"/>
          <w14:textFill>
            <w14:solidFill>
              <w14:schemeClr w14:val="tx1"/>
            </w14:solidFill>
          </w14:textFill>
        </w:rPr>
        <w:t>按照</w:t>
      </w:r>
      <w:r>
        <w:rPr>
          <w:rFonts w:hint="eastAsia" w:ascii="Times New Roman" w:hAnsi="Times New Roman" w:eastAsiaTheme="minorEastAsia"/>
          <w:color w:val="000000" w:themeColor="text1"/>
          <w14:textFill>
            <w14:solidFill>
              <w14:schemeClr w14:val="tx1"/>
            </w14:solidFill>
          </w14:textFill>
        </w:rPr>
        <w:t>G</w:t>
      </w:r>
      <w:r>
        <w:rPr>
          <w:rFonts w:ascii="Times New Roman" w:hAnsi="Times New Roman" w:eastAsiaTheme="minorEastAsia"/>
          <w:color w:val="000000" w:themeColor="text1"/>
          <w14:textFill>
            <w14:solidFill>
              <w14:schemeClr w14:val="tx1"/>
            </w14:solidFill>
          </w14:textFill>
        </w:rPr>
        <w:t>B/T 23229-2023</w:t>
      </w:r>
      <w:r>
        <w:rPr>
          <w:rFonts w:hint="eastAsia" w:ascii="Times New Roman" w:hAnsi="Times New Roman" w:eastAsiaTheme="minorEastAsia"/>
          <w:color w:val="000000" w:themeColor="text1"/>
          <w14:textFill>
            <w14:solidFill>
              <w14:schemeClr w14:val="tx1"/>
            </w14:solidFill>
          </w14:textFill>
        </w:rPr>
        <w:t>中</w:t>
      </w:r>
      <w:r>
        <w:rPr>
          <w:rFonts w:ascii="Times New Roman" w:hAnsi="Times New Roman" w:eastAsiaTheme="minorEastAsia"/>
          <w:color w:val="000000" w:themeColor="text1"/>
          <w14:textFill>
            <w14:solidFill>
              <w14:schemeClr w14:val="tx1"/>
            </w14:solidFill>
          </w14:textFill>
        </w:rPr>
        <w:t>12</w:t>
      </w:r>
      <w:r>
        <w:rPr>
          <w:rFonts w:hint="eastAsia" w:ascii="Times New Roman" w:hAnsi="Times New Roman" w:eastAsiaTheme="minorEastAsia"/>
          <w:color w:val="000000" w:themeColor="text1"/>
          <w14:textFill>
            <w14:solidFill>
              <w14:schemeClr w14:val="tx1"/>
            </w14:solidFill>
          </w14:textFill>
        </w:rPr>
        <w:t>的</w:t>
      </w:r>
      <w:r>
        <w:rPr>
          <w:rFonts w:hint="eastAsia" w:ascii="Times New Roman" w:hAnsi="Times New Roman" w:eastAsiaTheme="minorEastAsia"/>
          <w:color w:val="000000" w:themeColor="text1"/>
          <w:lang w:eastAsia="zh-CN"/>
          <w14:textFill>
            <w14:solidFill>
              <w14:schemeClr w14:val="tx1"/>
            </w14:solidFill>
          </w14:textFill>
        </w:rPr>
        <w:t>要求执行</w:t>
      </w:r>
      <w:r>
        <w:rPr>
          <w:rFonts w:hint="eastAsia" w:ascii="Times New Roman" w:hAnsi="Times New Roman" w:eastAsiaTheme="minorEastAsia"/>
          <w:color w:val="000000" w:themeColor="text1"/>
          <w14:textFill>
            <w14:solidFill>
              <w14:schemeClr w14:val="tx1"/>
            </w14:solidFill>
          </w14:textFill>
        </w:rPr>
        <w:t>。</w:t>
      </w:r>
    </w:p>
    <w:p w14:paraId="5CCA89D4">
      <w:pPr>
        <w:pStyle w:val="44"/>
        <w:numPr>
          <w:ilvl w:val="0"/>
          <w:numId w:val="12"/>
        </w:numPr>
        <w:autoSpaceDE/>
        <w:autoSpaceDN/>
        <w:rPr>
          <w:rFonts w:ascii="Times New Roman" w:hAnsi="Times New Roman" w:eastAsiaTheme="minorEastAsia"/>
          <w:color w:val="000000" w:themeColor="text1"/>
          <w14:textFill>
            <w14:solidFill>
              <w14:schemeClr w14:val="tx1"/>
            </w14:solidFill>
          </w14:textFill>
        </w:rPr>
      </w:pPr>
      <w:r>
        <w:rPr>
          <w:rFonts w:ascii="Times New Roman" w:hAnsi="Times New Roman" w:eastAsiaTheme="minorEastAsia"/>
          <w:color w:val="000000" w:themeColor="text1"/>
          <w14:textFill>
            <w14:solidFill>
              <w14:schemeClr w14:val="tx1"/>
            </w14:solidFill>
          </w14:textFill>
        </w:rPr>
        <w:t>IPBC</w:t>
      </w:r>
      <w:r>
        <w:rPr>
          <w:rFonts w:hint="eastAsia" w:ascii="Times New Roman" w:hAnsi="Times New Roman" w:eastAsiaTheme="minorEastAsia"/>
          <w:color w:val="000000" w:themeColor="text1"/>
          <w14:textFill>
            <w14:solidFill>
              <w14:schemeClr w14:val="tx1"/>
            </w14:solidFill>
          </w14:textFill>
        </w:rPr>
        <w:t>分析方法</w:t>
      </w:r>
    </w:p>
    <w:p w14:paraId="31010FD2">
      <w:pPr>
        <w:pStyle w:val="44"/>
        <w:numPr>
          <w:ilvl w:val="0"/>
          <w:numId w:val="0"/>
        </w:numPr>
        <w:autoSpaceDE/>
        <w:autoSpaceDN/>
        <w:ind w:firstLine="420" w:firstLineChars="200"/>
        <w:rPr>
          <w:rFonts w:hint="eastAsia" w:ascii="Times New Roman" w:hAnsi="Times New Roman" w:eastAsiaTheme="minorEastAsia"/>
          <w:color w:val="000000" w:themeColor="text1"/>
          <w14:textFill>
            <w14:solidFill>
              <w14:schemeClr w14:val="tx1"/>
            </w14:solidFill>
          </w14:textFill>
        </w:rPr>
      </w:pPr>
      <w:r>
        <w:rPr>
          <w:rFonts w:hint="eastAsia" w:ascii="Times New Roman" w:hAnsi="Times New Roman" w:eastAsiaTheme="minorEastAsia"/>
          <w:color w:val="000000" w:themeColor="text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862965</wp:posOffset>
                </wp:positionH>
                <wp:positionV relativeFrom="paragraph">
                  <wp:posOffset>443865</wp:posOffset>
                </wp:positionV>
                <wp:extent cx="2085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2085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67.95pt;margin-top:34.95pt;height:0pt;width:164.25pt;z-index:251665408;mso-width-relative:page;mso-height-relative:page;" filled="f" stroked="t" coordsize="21600,21600" o:gfxdata="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WVupYtcAAAAJ&#10;AQAADwAAAAAAAAABACAAAAAiAAAAZHJzL2Rvd25yZXYueG1sUEsBAhQAFAAAAAgAh07iQP169Y3k&#10;AQAAsQMAAA4AAAAAAAAAAQAgAAAAJgEAAGRycy9lMm9Eb2MueG1sUEsFBgAAAAAGAAYAWQEAAHwF&#10;AAAAAA==&#10;">
                <v:fill on="f" focussize="0,0"/>
                <v:stroke weight="0.5pt" color="#000000 [3200]" miterlimit="8" joinstyle="miter"/>
                <v:imagedata o:title=""/>
                <o:lock v:ext="edit" aspectratio="f"/>
              </v:line>
            </w:pict>
          </mc:Fallback>
        </mc:AlternateContent>
      </w:r>
      <w:r>
        <w:rPr>
          <w:rFonts w:hint="eastAsia" w:ascii="Times New Roman" w:hAnsi="Times New Roman" w:eastAsiaTheme="minorEastAsia"/>
          <w:color w:val="000000" w:themeColor="text1"/>
          <w:lang w:eastAsia="zh-CN"/>
          <w14:textFill>
            <w14:solidFill>
              <w14:schemeClr w14:val="tx1"/>
            </w14:solidFill>
          </w14:textFill>
        </w:rPr>
        <w:t>按照</w:t>
      </w:r>
      <w:r>
        <w:rPr>
          <w:rFonts w:hint="eastAsia" w:ascii="Times New Roman" w:hAnsi="Times New Roman" w:eastAsiaTheme="minorEastAsia"/>
          <w:color w:val="000000" w:themeColor="text1"/>
          <w14:textFill>
            <w14:solidFill>
              <w14:schemeClr w14:val="tx1"/>
            </w14:solidFill>
          </w14:textFill>
        </w:rPr>
        <w:t>G</w:t>
      </w:r>
      <w:r>
        <w:rPr>
          <w:rFonts w:ascii="Times New Roman" w:hAnsi="Times New Roman" w:eastAsiaTheme="minorEastAsia"/>
          <w:color w:val="000000" w:themeColor="text1"/>
          <w14:textFill>
            <w14:solidFill>
              <w14:schemeClr w14:val="tx1"/>
            </w14:solidFill>
          </w14:textFill>
        </w:rPr>
        <w:t>B/T 23229-2023</w:t>
      </w:r>
      <w:r>
        <w:rPr>
          <w:rFonts w:hint="eastAsia" w:ascii="Times New Roman" w:hAnsi="Times New Roman" w:eastAsiaTheme="minorEastAsia"/>
          <w:color w:val="000000" w:themeColor="text1"/>
          <w14:textFill>
            <w14:solidFill>
              <w14:schemeClr w14:val="tx1"/>
            </w14:solidFill>
          </w14:textFill>
        </w:rPr>
        <w:t>中1</w:t>
      </w:r>
      <w:r>
        <w:rPr>
          <w:rFonts w:ascii="Times New Roman" w:hAnsi="Times New Roman" w:eastAsiaTheme="minorEastAsia"/>
          <w:color w:val="000000" w:themeColor="text1"/>
          <w14:textFill>
            <w14:solidFill>
              <w14:schemeClr w14:val="tx1"/>
            </w14:solidFill>
          </w14:textFill>
        </w:rPr>
        <w:t>3</w:t>
      </w:r>
      <w:r>
        <w:rPr>
          <w:rFonts w:hint="eastAsia" w:ascii="Times New Roman" w:hAnsi="Times New Roman" w:eastAsiaTheme="minorEastAsia"/>
          <w:color w:val="000000" w:themeColor="text1"/>
          <w14:textFill>
            <w14:solidFill>
              <w14:schemeClr w14:val="tx1"/>
            </w14:solidFill>
          </w14:textFill>
        </w:rPr>
        <w:t>的</w:t>
      </w:r>
      <w:r>
        <w:rPr>
          <w:rFonts w:hint="eastAsia" w:ascii="Times New Roman" w:hAnsi="Times New Roman" w:eastAsiaTheme="minorEastAsia"/>
          <w:color w:val="000000" w:themeColor="text1"/>
          <w:lang w:eastAsia="zh-CN"/>
          <w14:textFill>
            <w14:solidFill>
              <w14:schemeClr w14:val="tx1"/>
            </w14:solidFill>
          </w14:textFill>
        </w:rPr>
        <w:t>要求执行</w:t>
      </w:r>
      <w:r>
        <w:rPr>
          <w:rFonts w:hint="eastAsia" w:ascii="Times New Roman" w:hAnsi="Times New Roman" w:eastAsiaTheme="minorEastAsia"/>
          <w:color w:val="000000" w:themeColor="text1"/>
          <w14:textFill>
            <w14:solidFill>
              <w14:schemeClr w14:val="tx1"/>
            </w14:solidFill>
          </w14:textFill>
        </w:rPr>
        <w:t>。</w:t>
      </w:r>
    </w:p>
    <w:sectPr>
      <w:footerReference r:id="rId13" w:type="default"/>
      <w:footerReference r:id="rId14" w:type="even"/>
      <w:pgSz w:w="11906" w:h="16838"/>
      <w:pgMar w:top="1701" w:right="1134" w:bottom="1134" w:left="1418" w:header="1361" w:footer="1134"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0" w:usb3="00000000" w:csb0="2000019F" w:csb1="00000000"/>
  </w:font>
  <w:font w:name="MS Gothic">
    <w:altName w:val="Hiragino Sans"/>
    <w:panose1 w:val="020B0609070205080204"/>
    <w:charset w:val="80"/>
    <w:family w:val="modern"/>
    <w:pitch w:val="default"/>
    <w:sig w:usb0="00000000" w:usb1="00000000" w:usb2="00000012" w:usb3="00000000" w:csb0="4002009F" w:csb1="DFD70000"/>
  </w:font>
  <w:font w:name="微软雅黑">
    <w:altName w:val="汉仪旗黑"/>
    <w:panose1 w:val="020B0503020204020204"/>
    <w:charset w:val="86"/>
    <w:family w:val="swiss"/>
    <w:pitch w:val="default"/>
    <w:sig w:usb0="00000000" w:usb1="0000000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汉仪中黑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95706">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8B9CE">
    <w:pPr>
      <w:pStyle w:val="11"/>
      <w:ind w:firstLine="360"/>
    </w:pPr>
  </w:p>
  <w:p w14:paraId="51ACFB29">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73A26">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E3FD3">
    <w:pPr>
      <w:pStyle w:val="62"/>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03BAC">
    <w:pPr>
      <w:pStyle w:val="62"/>
    </w:pPr>
    <w:r>
      <w:fldChar w:fldCharType="begin"/>
    </w:r>
    <w:r>
      <w:instrText xml:space="preserve"> PAGE  \* MERGEFORMAT </w:instrText>
    </w:r>
    <w:r>
      <w:fldChar w:fldCharType="separate"/>
    </w:r>
    <w: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651B">
    <w:pPr>
      <w:pStyle w:val="11"/>
      <w:ind w:firstLine="360"/>
    </w:pPr>
    <w:r>
      <w:fldChar w:fldCharType="begin"/>
    </w:r>
    <w:r>
      <w:instrText xml:space="preserve">PAGE   \* MERGEFORMAT</w:instrText>
    </w:r>
    <w:r>
      <w:fldChar w:fldCharType="separate"/>
    </w:r>
    <w:r>
      <w:rPr>
        <w:lang w:val="zh-CN"/>
      </w:rPr>
      <w:t>6</w:t>
    </w:r>
    <w:r>
      <w:fldChar w:fldCharType="end"/>
    </w:r>
  </w:p>
  <w:p w14:paraId="3C7E8E1B">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6C237">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5E88C">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D423A">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30CBE">
    <w:pPr>
      <w:pStyle w:val="63"/>
      <w:spacing w:after="284"/>
    </w:pPr>
    <w: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C0A7F8"/>
    <w:multiLevelType w:val="singleLevel"/>
    <w:tmpl w:val="8AC0A7F8"/>
    <w:lvl w:ilvl="0" w:tentative="0">
      <w:start w:val="6"/>
      <w:numFmt w:val="decimal"/>
      <w:suff w:val="nothing"/>
      <w:lvlText w:val="（%1）"/>
      <w:lvlJc w:val="left"/>
    </w:lvl>
  </w:abstractNum>
  <w:abstractNum w:abstractNumId="1">
    <w:nsid w:val="8E6A5BF2"/>
    <w:multiLevelType w:val="singleLevel"/>
    <w:tmpl w:val="8E6A5BF2"/>
    <w:lvl w:ilvl="0" w:tentative="0">
      <w:start w:val="1"/>
      <w:numFmt w:val="decimal"/>
      <w:suff w:val="nothing"/>
      <w:lvlText w:val="（%1）"/>
      <w:lvlJc w:val="left"/>
    </w:lvl>
  </w:abstractNum>
  <w:abstractNum w:abstractNumId="2">
    <w:nsid w:val="9F7E3A34"/>
    <w:multiLevelType w:val="singleLevel"/>
    <w:tmpl w:val="9F7E3A34"/>
    <w:lvl w:ilvl="0" w:tentative="0">
      <w:start w:val="1"/>
      <w:numFmt w:val="decimal"/>
      <w:suff w:val="nothing"/>
      <w:lvlText w:val="（%1）"/>
      <w:lvlJc w:val="left"/>
      <w:pPr>
        <w:ind w:left="630"/>
      </w:pPr>
    </w:lvl>
  </w:abstractNum>
  <w:abstractNum w:abstractNumId="3">
    <w:nsid w:val="C694C643"/>
    <w:multiLevelType w:val="singleLevel"/>
    <w:tmpl w:val="C694C643"/>
    <w:lvl w:ilvl="0" w:tentative="0">
      <w:start w:val="1"/>
      <w:numFmt w:val="decimal"/>
      <w:suff w:val="nothing"/>
      <w:lvlText w:val="（%1）"/>
      <w:lvlJc w:val="left"/>
    </w:lvl>
  </w:abstractNum>
  <w:abstractNum w:abstractNumId="4">
    <w:nsid w:val="FD74B7A2"/>
    <w:multiLevelType w:val="singleLevel"/>
    <w:tmpl w:val="FD74B7A2"/>
    <w:lvl w:ilvl="0" w:tentative="0">
      <w:start w:val="1"/>
      <w:numFmt w:val="decimal"/>
      <w:suff w:val="nothing"/>
      <w:lvlText w:val="（%1）"/>
      <w:lvlJc w:val="left"/>
    </w:lvl>
  </w:abstractNum>
  <w:abstractNum w:abstractNumId="5">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CBFC3CB"/>
    <w:multiLevelType w:val="singleLevel"/>
    <w:tmpl w:val="2CBFC3CB"/>
    <w:lvl w:ilvl="0" w:tentative="0">
      <w:start w:val="1"/>
      <w:numFmt w:val="lowerLetter"/>
      <w:suff w:val="nothing"/>
      <w:lvlText w:val="%1）"/>
      <w:lvlJc w:val="left"/>
    </w:lvl>
  </w:abstractNum>
  <w:abstractNum w:abstractNumId="7">
    <w:nsid w:val="46835CC9"/>
    <w:multiLevelType w:val="singleLevel"/>
    <w:tmpl w:val="46835CC9"/>
    <w:lvl w:ilvl="0" w:tentative="0">
      <w:start w:val="1"/>
      <w:numFmt w:val="decimal"/>
      <w:suff w:val="nothing"/>
      <w:lvlText w:val="（%1）"/>
      <w:lvlJc w:val="left"/>
    </w:lvl>
  </w:abstractNum>
  <w:abstractNum w:abstractNumId="8">
    <w:nsid w:val="46D22D8F"/>
    <w:multiLevelType w:val="multilevel"/>
    <w:tmpl w:val="46D22D8F"/>
    <w:lvl w:ilvl="0" w:tentative="0">
      <w:start w:val="1"/>
      <w:numFmt w:val="none"/>
      <w:pStyle w:val="81"/>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9DD6F04"/>
    <w:multiLevelType w:val="multilevel"/>
    <w:tmpl w:val="49DD6F04"/>
    <w:lvl w:ilvl="0" w:tentative="0">
      <w:start w:val="1"/>
      <w:numFmt w:val="decimal"/>
      <w:pStyle w:val="72"/>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abstractNum w:abstractNumId="1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60"/>
      <w:suff w:val="nothing"/>
      <w:lvlText w:val="%1%2　"/>
      <w:lvlJc w:val="left"/>
      <w:pPr>
        <w:ind w:left="0" w:firstLine="0"/>
      </w:pPr>
      <w:rPr>
        <w:rFonts w:hint="eastAsia" w:ascii="黑体" w:hAnsi="Times New Roman" w:eastAsia="黑体"/>
        <w:b w:val="0"/>
        <w:i w:val="0"/>
        <w:sz w:val="21"/>
      </w:rPr>
    </w:lvl>
    <w:lvl w:ilvl="2" w:tentative="0">
      <w:start w:val="1"/>
      <w:numFmt w:val="decimal"/>
      <w:pStyle w:val="5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10"/>
  </w:num>
  <w:num w:numId="3">
    <w:abstractNumId w:val="9"/>
  </w:num>
  <w:num w:numId="4">
    <w:abstractNumId w:val="8"/>
  </w:num>
  <w:num w:numId="5">
    <w:abstractNumId w:val="6"/>
  </w:num>
  <w:num w:numId="6">
    <w:abstractNumId w:val="1"/>
  </w:num>
  <w:num w:numId="7">
    <w:abstractNumId w:val="0"/>
  </w:num>
  <w:num w:numId="8">
    <w:abstractNumId w:val="2"/>
  </w:num>
  <w:num w:numId="9">
    <w:abstractNumId w:val="7"/>
  </w:num>
  <w:num w:numId="10">
    <w:abstractNumId w:val="3"/>
  </w:num>
  <w:num w:numId="11">
    <w:abstractNumId w:val="4"/>
  </w:num>
  <w:num w:numId="12">
    <w:abstractNumId w:val="5"/>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RlNWE1Y2Y1OGY2MjE4Y2ZlZTljZmEzOWZkM2Q5ZTgifQ=="/>
  </w:docVars>
  <w:rsids>
    <w:rsidRoot w:val="33F36BFE"/>
    <w:rsid w:val="00005CDD"/>
    <w:rsid w:val="00007EBF"/>
    <w:rsid w:val="000117DB"/>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A6E34"/>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5532"/>
    <w:rsid w:val="00300392"/>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2591"/>
    <w:rsid w:val="003563E1"/>
    <w:rsid w:val="00362295"/>
    <w:rsid w:val="003646E4"/>
    <w:rsid w:val="00374123"/>
    <w:rsid w:val="00376C18"/>
    <w:rsid w:val="003805EB"/>
    <w:rsid w:val="00380E0D"/>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4480"/>
    <w:rsid w:val="004A4696"/>
    <w:rsid w:val="004B01A5"/>
    <w:rsid w:val="004B3EA5"/>
    <w:rsid w:val="004C1149"/>
    <w:rsid w:val="004C24A1"/>
    <w:rsid w:val="004C4F73"/>
    <w:rsid w:val="004D0F9A"/>
    <w:rsid w:val="004D1D17"/>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5BCF"/>
    <w:rsid w:val="006106B8"/>
    <w:rsid w:val="00621FFE"/>
    <w:rsid w:val="0062291D"/>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9E1"/>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5B8E"/>
    <w:rsid w:val="007E73EA"/>
    <w:rsid w:val="007E77BE"/>
    <w:rsid w:val="007F2233"/>
    <w:rsid w:val="007F229F"/>
    <w:rsid w:val="007F24C1"/>
    <w:rsid w:val="007F3C8C"/>
    <w:rsid w:val="0080161F"/>
    <w:rsid w:val="008022DF"/>
    <w:rsid w:val="00803AD3"/>
    <w:rsid w:val="008100F2"/>
    <w:rsid w:val="00822B51"/>
    <w:rsid w:val="00824370"/>
    <w:rsid w:val="008245B0"/>
    <w:rsid w:val="00824D75"/>
    <w:rsid w:val="00825672"/>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16CC"/>
    <w:rsid w:val="008931F7"/>
    <w:rsid w:val="00893D0E"/>
    <w:rsid w:val="00896D96"/>
    <w:rsid w:val="00897CD3"/>
    <w:rsid w:val="008A668C"/>
    <w:rsid w:val="008B500D"/>
    <w:rsid w:val="008C1C85"/>
    <w:rsid w:val="008C4814"/>
    <w:rsid w:val="008D0B23"/>
    <w:rsid w:val="008D5D8B"/>
    <w:rsid w:val="008E0DB0"/>
    <w:rsid w:val="008E0E1D"/>
    <w:rsid w:val="008E0F0B"/>
    <w:rsid w:val="008E2EE0"/>
    <w:rsid w:val="008E6072"/>
    <w:rsid w:val="008F255D"/>
    <w:rsid w:val="008F26D2"/>
    <w:rsid w:val="00902E12"/>
    <w:rsid w:val="00903056"/>
    <w:rsid w:val="0092314E"/>
    <w:rsid w:val="00930168"/>
    <w:rsid w:val="0093170E"/>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90790"/>
    <w:rsid w:val="009915BF"/>
    <w:rsid w:val="009A3002"/>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503B"/>
    <w:rsid w:val="00A168C1"/>
    <w:rsid w:val="00A1736A"/>
    <w:rsid w:val="00A25CC6"/>
    <w:rsid w:val="00A278DD"/>
    <w:rsid w:val="00A30E2A"/>
    <w:rsid w:val="00A31A4A"/>
    <w:rsid w:val="00A3445E"/>
    <w:rsid w:val="00A37AAE"/>
    <w:rsid w:val="00A43FE3"/>
    <w:rsid w:val="00A45D64"/>
    <w:rsid w:val="00A46B3B"/>
    <w:rsid w:val="00A50429"/>
    <w:rsid w:val="00A529A8"/>
    <w:rsid w:val="00A54352"/>
    <w:rsid w:val="00A5695C"/>
    <w:rsid w:val="00A755BC"/>
    <w:rsid w:val="00A765DC"/>
    <w:rsid w:val="00A8009F"/>
    <w:rsid w:val="00A828CD"/>
    <w:rsid w:val="00AA021F"/>
    <w:rsid w:val="00AA2A81"/>
    <w:rsid w:val="00AA3A77"/>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071E3"/>
    <w:rsid w:val="00B118BA"/>
    <w:rsid w:val="00B13B8F"/>
    <w:rsid w:val="00B14A4F"/>
    <w:rsid w:val="00B156BC"/>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E301D"/>
    <w:rsid w:val="00BE77B4"/>
    <w:rsid w:val="00BF1714"/>
    <w:rsid w:val="00BF3B7B"/>
    <w:rsid w:val="00BF5500"/>
    <w:rsid w:val="00BF7A32"/>
    <w:rsid w:val="00C037AD"/>
    <w:rsid w:val="00C0571A"/>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6682"/>
    <w:rsid w:val="00D018AC"/>
    <w:rsid w:val="00D04B0D"/>
    <w:rsid w:val="00D14C1E"/>
    <w:rsid w:val="00D20EB1"/>
    <w:rsid w:val="00D22C61"/>
    <w:rsid w:val="00D23D7C"/>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7F2E"/>
    <w:rsid w:val="00D71A2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2F04"/>
    <w:rsid w:val="00DE3652"/>
    <w:rsid w:val="00DE3815"/>
    <w:rsid w:val="00DF1C33"/>
    <w:rsid w:val="00DF392C"/>
    <w:rsid w:val="00DF535B"/>
    <w:rsid w:val="00DF5512"/>
    <w:rsid w:val="00DF67DD"/>
    <w:rsid w:val="00E005F4"/>
    <w:rsid w:val="00E0170D"/>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6510"/>
    <w:rsid w:val="00ED4491"/>
    <w:rsid w:val="00ED65D2"/>
    <w:rsid w:val="00EE0BC0"/>
    <w:rsid w:val="00EE2C33"/>
    <w:rsid w:val="00EF0980"/>
    <w:rsid w:val="00EF1D52"/>
    <w:rsid w:val="00EF301B"/>
    <w:rsid w:val="00EF5B8B"/>
    <w:rsid w:val="00F003A7"/>
    <w:rsid w:val="00F019A7"/>
    <w:rsid w:val="00F06EFB"/>
    <w:rsid w:val="00F10307"/>
    <w:rsid w:val="00F1061E"/>
    <w:rsid w:val="00F13125"/>
    <w:rsid w:val="00F15106"/>
    <w:rsid w:val="00F16368"/>
    <w:rsid w:val="00F16577"/>
    <w:rsid w:val="00F20320"/>
    <w:rsid w:val="00F228CB"/>
    <w:rsid w:val="00F27F7C"/>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4808"/>
    <w:rsid w:val="00FF6ABF"/>
    <w:rsid w:val="00FF6CDB"/>
    <w:rsid w:val="00FF6E6E"/>
    <w:rsid w:val="00FF75ED"/>
    <w:rsid w:val="01BA178B"/>
    <w:rsid w:val="026A4959"/>
    <w:rsid w:val="029C290B"/>
    <w:rsid w:val="030329BA"/>
    <w:rsid w:val="032076CE"/>
    <w:rsid w:val="036A374F"/>
    <w:rsid w:val="03B47DC1"/>
    <w:rsid w:val="043B10A6"/>
    <w:rsid w:val="04F57CED"/>
    <w:rsid w:val="056A1D11"/>
    <w:rsid w:val="058B60C2"/>
    <w:rsid w:val="06686C72"/>
    <w:rsid w:val="067547B1"/>
    <w:rsid w:val="072256E2"/>
    <w:rsid w:val="073443D9"/>
    <w:rsid w:val="07CD53CA"/>
    <w:rsid w:val="07FD21B0"/>
    <w:rsid w:val="086E5263"/>
    <w:rsid w:val="08AD31FB"/>
    <w:rsid w:val="0A365262"/>
    <w:rsid w:val="0A4A0725"/>
    <w:rsid w:val="0AD91528"/>
    <w:rsid w:val="0CD7158E"/>
    <w:rsid w:val="11185298"/>
    <w:rsid w:val="11202301"/>
    <w:rsid w:val="117C00ED"/>
    <w:rsid w:val="11D90D02"/>
    <w:rsid w:val="135143B1"/>
    <w:rsid w:val="14542EBC"/>
    <w:rsid w:val="176D0592"/>
    <w:rsid w:val="194C4AAD"/>
    <w:rsid w:val="1ADFB2DA"/>
    <w:rsid w:val="1B555E6B"/>
    <w:rsid w:val="1BB7555A"/>
    <w:rsid w:val="1C295179"/>
    <w:rsid w:val="1CB52B35"/>
    <w:rsid w:val="1E005FA5"/>
    <w:rsid w:val="1E4C2C3B"/>
    <w:rsid w:val="1E544886"/>
    <w:rsid w:val="1EE04EB1"/>
    <w:rsid w:val="1FDB487E"/>
    <w:rsid w:val="20CD1E0F"/>
    <w:rsid w:val="22A2772B"/>
    <w:rsid w:val="25332346"/>
    <w:rsid w:val="260D76B9"/>
    <w:rsid w:val="263D4A74"/>
    <w:rsid w:val="267E2238"/>
    <w:rsid w:val="274C5429"/>
    <w:rsid w:val="294008AF"/>
    <w:rsid w:val="29CF1658"/>
    <w:rsid w:val="2A95764F"/>
    <w:rsid w:val="2C9E5875"/>
    <w:rsid w:val="2DA763C8"/>
    <w:rsid w:val="2FA73189"/>
    <w:rsid w:val="2FAF4C07"/>
    <w:rsid w:val="30F67906"/>
    <w:rsid w:val="314D0EE2"/>
    <w:rsid w:val="32043FBE"/>
    <w:rsid w:val="32E90F84"/>
    <w:rsid w:val="33663940"/>
    <w:rsid w:val="33F36BFE"/>
    <w:rsid w:val="35625557"/>
    <w:rsid w:val="384A186B"/>
    <w:rsid w:val="39810466"/>
    <w:rsid w:val="3A2B1F54"/>
    <w:rsid w:val="3A38784C"/>
    <w:rsid w:val="3A5B1046"/>
    <w:rsid w:val="3B38142F"/>
    <w:rsid w:val="3B5C2526"/>
    <w:rsid w:val="3BA478A4"/>
    <w:rsid w:val="3C5E5B29"/>
    <w:rsid w:val="3C933C0E"/>
    <w:rsid w:val="3CE47B2E"/>
    <w:rsid w:val="3CF01CC5"/>
    <w:rsid w:val="3CFA5E5C"/>
    <w:rsid w:val="3E9D72A2"/>
    <w:rsid w:val="3EA811A8"/>
    <w:rsid w:val="3EB640DE"/>
    <w:rsid w:val="3F5FB594"/>
    <w:rsid w:val="415D16B6"/>
    <w:rsid w:val="4335211A"/>
    <w:rsid w:val="447B74B4"/>
    <w:rsid w:val="44ED4117"/>
    <w:rsid w:val="44F63F7F"/>
    <w:rsid w:val="460A0EAE"/>
    <w:rsid w:val="4820224D"/>
    <w:rsid w:val="49137B1B"/>
    <w:rsid w:val="49A90486"/>
    <w:rsid w:val="4ABF7A2E"/>
    <w:rsid w:val="4B386D45"/>
    <w:rsid w:val="4CD337E9"/>
    <w:rsid w:val="4DC30244"/>
    <w:rsid w:val="4DF8131E"/>
    <w:rsid w:val="4EBB7C58"/>
    <w:rsid w:val="501972E0"/>
    <w:rsid w:val="506015E4"/>
    <w:rsid w:val="524C30E6"/>
    <w:rsid w:val="52607EE4"/>
    <w:rsid w:val="5438739A"/>
    <w:rsid w:val="54890F5A"/>
    <w:rsid w:val="55300172"/>
    <w:rsid w:val="553B7BF2"/>
    <w:rsid w:val="568B7EE3"/>
    <w:rsid w:val="580C7B94"/>
    <w:rsid w:val="58B11C11"/>
    <w:rsid w:val="5A0F3C17"/>
    <w:rsid w:val="5B5D4FDD"/>
    <w:rsid w:val="5CB13BA9"/>
    <w:rsid w:val="5E19638D"/>
    <w:rsid w:val="5F373FBF"/>
    <w:rsid w:val="5FA559DE"/>
    <w:rsid w:val="60AD60FE"/>
    <w:rsid w:val="60AE671D"/>
    <w:rsid w:val="62271D9E"/>
    <w:rsid w:val="626266E7"/>
    <w:rsid w:val="62A87EE4"/>
    <w:rsid w:val="63051A3D"/>
    <w:rsid w:val="644454F5"/>
    <w:rsid w:val="65970E49"/>
    <w:rsid w:val="662305C2"/>
    <w:rsid w:val="67FE6E91"/>
    <w:rsid w:val="68807A41"/>
    <w:rsid w:val="69191871"/>
    <w:rsid w:val="69A23E61"/>
    <w:rsid w:val="6D5F728E"/>
    <w:rsid w:val="6EF230AA"/>
    <w:rsid w:val="6F25667C"/>
    <w:rsid w:val="70A1532D"/>
    <w:rsid w:val="7263752C"/>
    <w:rsid w:val="73935206"/>
    <w:rsid w:val="73A97663"/>
    <w:rsid w:val="74174D74"/>
    <w:rsid w:val="75F9CBA7"/>
    <w:rsid w:val="77BE5CAD"/>
    <w:rsid w:val="7828682C"/>
    <w:rsid w:val="7981729A"/>
    <w:rsid w:val="7B327CBF"/>
    <w:rsid w:val="7BD7640F"/>
    <w:rsid w:val="7E3A23B3"/>
    <w:rsid w:val="EBEFC9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qFormat="1" w:unhideWhenUsed="0" w:uiPriority="0" w:semiHidden="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73"/>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7">
    <w:name w:val="toc 3"/>
    <w:basedOn w:val="1"/>
    <w:next w:val="1"/>
    <w:unhideWhenUsed/>
    <w:qFormat/>
    <w:uiPriority w:val="39"/>
    <w:pPr>
      <w:ind w:left="840" w:leftChars="400"/>
    </w:pPr>
  </w:style>
  <w:style w:type="paragraph" w:styleId="8">
    <w:name w:val="Plain Text"/>
    <w:basedOn w:val="1"/>
    <w:link w:val="68"/>
    <w:qFormat/>
    <w:uiPriority w:val="0"/>
    <w:rPr>
      <w:rFonts w:ascii="宋体" w:hAnsi="Courier New" w:cs="Courier New"/>
      <w:szCs w:val="21"/>
    </w:rPr>
  </w:style>
  <w:style w:type="paragraph" w:styleId="9">
    <w:name w:val="Date"/>
    <w:basedOn w:val="1"/>
    <w:next w:val="1"/>
    <w:link w:val="80"/>
    <w:qFormat/>
    <w:uiPriority w:val="0"/>
    <w:pPr>
      <w:ind w:left="100" w:leftChars="2500"/>
    </w:pPr>
  </w:style>
  <w:style w:type="paragraph" w:styleId="10">
    <w:name w:val="Balloon Text"/>
    <w:basedOn w:val="1"/>
    <w:link w:val="55"/>
    <w:qFormat/>
    <w:uiPriority w:val="0"/>
    <w:rPr>
      <w:sz w:val="18"/>
      <w:szCs w:val="18"/>
    </w:rPr>
  </w:style>
  <w:style w:type="paragraph" w:styleId="11">
    <w:name w:val="footer"/>
    <w:basedOn w:val="1"/>
    <w:link w:val="57"/>
    <w:qFormat/>
    <w:uiPriority w:val="99"/>
    <w:pPr>
      <w:tabs>
        <w:tab w:val="center" w:pos="4153"/>
        <w:tab w:val="right" w:pos="8306"/>
      </w:tabs>
      <w:snapToGrid w:val="0"/>
      <w:jc w:val="left"/>
    </w:pPr>
    <w:rPr>
      <w:sz w:val="18"/>
    </w:rPr>
  </w:style>
  <w:style w:type="paragraph" w:styleId="12">
    <w:name w:val="header"/>
    <w:basedOn w:val="1"/>
    <w:link w:val="50"/>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Body Text Indent 3"/>
    <w:basedOn w:val="1"/>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Body Text 2"/>
    <w:basedOn w:val="1"/>
    <w:qFormat/>
    <w:uiPriority w:val="0"/>
    <w:rPr>
      <w:rFonts w:ascii="宋体"/>
      <w:sz w:val="18"/>
      <w:szCs w:val="20"/>
    </w:rPr>
  </w:style>
  <w:style w:type="paragraph" w:styleId="17">
    <w:name w:val="Title"/>
    <w:basedOn w:val="1"/>
    <w:next w:val="1"/>
    <w:link w:val="69"/>
    <w:qFormat/>
    <w:uiPriority w:val="0"/>
    <w:pPr>
      <w:spacing w:before="240" w:after="60"/>
      <w:jc w:val="center"/>
      <w:outlineLvl w:val="0"/>
    </w:pPr>
    <w:rPr>
      <w:rFonts w:ascii="Calibri Light" w:hAnsi="Calibri Light"/>
      <w:b/>
      <w:bCs/>
      <w:sz w:val="32"/>
      <w:szCs w:val="32"/>
    </w:rPr>
  </w:style>
  <w:style w:type="paragraph" w:styleId="18">
    <w:name w:val="annotation subject"/>
    <w:basedOn w:val="4"/>
    <w:next w:val="4"/>
    <w:link w:val="54"/>
    <w:qFormat/>
    <w:uiPriority w:val="0"/>
    <w:rPr>
      <w:b/>
      <w:bCs/>
    </w:rPr>
  </w:style>
  <w:style w:type="paragraph" w:styleId="19">
    <w:name w:val="Body Text First Indent"/>
    <w:basedOn w:val="5"/>
    <w:qFormat/>
    <w:uiPriority w:val="0"/>
    <w:pPr>
      <w:ind w:firstLine="100" w:firstLineChars="100"/>
    </w:p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rPr>
      <w:rFonts w:ascii="Times New Roman" w:hAnsi="Times New Roman" w:eastAsia="宋体"/>
      <w:sz w:val="18"/>
    </w:rPr>
  </w:style>
  <w:style w:type="character" w:styleId="24">
    <w:name w:val="Emphasis"/>
    <w:basedOn w:val="22"/>
    <w:qFormat/>
    <w:uiPriority w:val="20"/>
    <w:rPr>
      <w:i/>
      <w:iCs/>
    </w:rPr>
  </w:style>
  <w:style w:type="character" w:styleId="25">
    <w:name w:val="HTML Definition"/>
    <w:basedOn w:val="22"/>
    <w:qFormat/>
    <w:uiPriority w:val="0"/>
    <w:rPr>
      <w:i/>
      <w:iCs/>
    </w:rPr>
  </w:style>
  <w:style w:type="character" w:styleId="26">
    <w:name w:val="Hyperlink"/>
    <w:basedOn w:val="22"/>
    <w:unhideWhenUsed/>
    <w:qFormat/>
    <w:uiPriority w:val="99"/>
    <w:rPr>
      <w:color w:val="0000FF"/>
      <w:u w:val="single"/>
    </w:rPr>
  </w:style>
  <w:style w:type="character" w:styleId="27">
    <w:name w:val="annotation reference"/>
    <w:qFormat/>
    <w:uiPriority w:val="0"/>
    <w:rPr>
      <w:sz w:val="21"/>
      <w:szCs w:val="21"/>
    </w:rPr>
  </w:style>
  <w:style w:type="paragraph" w:customStyle="1" w:styleId="28">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3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1">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2">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4">
    <w:name w:val="封面标准英文名称"/>
    <w:basedOn w:val="33"/>
    <w:qFormat/>
    <w:uiPriority w:val="0"/>
    <w:pPr>
      <w:framePr w:wrap="around"/>
      <w:spacing w:before="370" w:line="400" w:lineRule="exact"/>
    </w:pPr>
    <w:rPr>
      <w:rFonts w:ascii="Times New Roman"/>
      <w:sz w:val="28"/>
      <w:szCs w:val="28"/>
    </w:rPr>
  </w:style>
  <w:style w:type="paragraph" w:customStyle="1" w:styleId="35">
    <w:name w:val="封面一致性程度标识"/>
    <w:basedOn w:val="34"/>
    <w:qFormat/>
    <w:uiPriority w:val="0"/>
    <w:pPr>
      <w:framePr w:wrap="around"/>
      <w:spacing w:before="440"/>
    </w:pPr>
    <w:rPr>
      <w:rFonts w:ascii="宋体" w:eastAsia="宋体"/>
    </w:rPr>
  </w:style>
  <w:style w:type="paragraph" w:customStyle="1" w:styleId="36">
    <w:name w:val="封面标准文稿类别"/>
    <w:basedOn w:val="35"/>
    <w:qFormat/>
    <w:uiPriority w:val="0"/>
    <w:pPr>
      <w:framePr w:wrap="around"/>
      <w:spacing w:after="160" w:line="240" w:lineRule="auto"/>
    </w:pPr>
    <w:rPr>
      <w:sz w:val="24"/>
    </w:rPr>
  </w:style>
  <w:style w:type="paragraph" w:customStyle="1" w:styleId="37">
    <w:name w:val="封面标准文稿编辑信息"/>
    <w:basedOn w:val="36"/>
    <w:qFormat/>
    <w:uiPriority w:val="0"/>
    <w:pPr>
      <w:framePr w:wrap="around"/>
      <w:spacing w:before="180" w:line="180" w:lineRule="exact"/>
    </w:pPr>
    <w:rPr>
      <w:sz w:val="21"/>
    </w:rPr>
  </w:style>
  <w:style w:type="paragraph" w:customStyle="1" w:styleId="38">
    <w:name w:val="其他发布日期"/>
    <w:basedOn w:val="39"/>
    <w:qFormat/>
    <w:uiPriority w:val="0"/>
    <w:pPr>
      <w:framePr w:wrap="around" w:vAnchor="page" w:hAnchor="text" w:x="1419"/>
    </w:pPr>
  </w:style>
  <w:style w:type="paragraph" w:customStyle="1" w:styleId="39">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40">
    <w:name w:val="其他实施日期"/>
    <w:basedOn w:val="41"/>
    <w:qFormat/>
    <w:uiPriority w:val="0"/>
    <w:pPr>
      <w:framePr w:wrap="around"/>
    </w:pPr>
  </w:style>
  <w:style w:type="paragraph" w:customStyle="1" w:styleId="41">
    <w:name w:val="实施日期"/>
    <w:basedOn w:val="39"/>
    <w:qFormat/>
    <w:uiPriority w:val="0"/>
    <w:pPr>
      <w:framePr w:wrap="around" w:vAnchor="page" w:hAnchor="text"/>
      <w:jc w:val="right"/>
    </w:pPr>
  </w:style>
  <w:style w:type="paragraph" w:customStyle="1" w:styleId="42">
    <w:name w:val="其他发布部门"/>
    <w:basedOn w:val="43"/>
    <w:qFormat/>
    <w:uiPriority w:val="0"/>
    <w:pPr>
      <w:framePr w:wrap="around" w:y="15310"/>
      <w:spacing w:line="0" w:lineRule="atLeast"/>
    </w:pPr>
    <w:rPr>
      <w:rFonts w:ascii="黑体" w:eastAsia="黑体"/>
      <w:b w:val="0"/>
    </w:rPr>
  </w:style>
  <w:style w:type="paragraph" w:customStyle="1" w:styleId="43">
    <w:name w:val="发布部门"/>
    <w:next w:val="44"/>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4">
    <w:name w:val="段"/>
    <w:link w:val="52"/>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5">
    <w:name w:val="发布"/>
    <w:qFormat/>
    <w:uiPriority w:val="0"/>
    <w:rPr>
      <w:rFonts w:ascii="黑体" w:eastAsia="黑体"/>
      <w:spacing w:val="85"/>
      <w:w w:val="100"/>
      <w:position w:val="3"/>
      <w:sz w:val="28"/>
      <w:szCs w:val="28"/>
    </w:rPr>
  </w:style>
  <w:style w:type="paragraph" w:customStyle="1" w:styleId="46">
    <w:name w:val="前言、引言标题"/>
    <w:next w:val="1"/>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7">
    <w:name w:val="目次、标准名称标题"/>
    <w:basedOn w:val="46"/>
    <w:next w:val="44"/>
    <w:qFormat/>
    <w:uiPriority w:val="0"/>
    <w:pPr>
      <w:tabs>
        <w:tab w:val="center" w:pos="4201"/>
        <w:tab w:val="right" w:leader="dot" w:pos="9298"/>
      </w:tabs>
      <w:spacing w:line="460" w:lineRule="exact"/>
    </w:pPr>
    <w:rPr>
      <w:szCs w:val="20"/>
    </w:rPr>
  </w:style>
  <w:style w:type="paragraph" w:customStyle="1" w:styleId="48">
    <w:name w:val="章标题"/>
    <w:next w:val="44"/>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49">
    <w:name w:val="终结线"/>
    <w:basedOn w:val="1"/>
    <w:qFormat/>
    <w:uiPriority w:val="0"/>
    <w:pPr>
      <w:framePr w:hSpace="181" w:vSpace="181" w:wrap="around" w:vAnchor="text" w:hAnchor="margin" w:xAlign="center" w:y="285"/>
    </w:pPr>
  </w:style>
  <w:style w:type="character" w:customStyle="1" w:styleId="50">
    <w:name w:val="页眉 字符"/>
    <w:link w:val="12"/>
    <w:qFormat/>
    <w:uiPriority w:val="99"/>
    <w:rPr>
      <w:kern w:val="2"/>
      <w:sz w:val="18"/>
      <w:szCs w:val="18"/>
    </w:rPr>
  </w:style>
  <w:style w:type="paragraph" w:customStyle="1" w:styleId="51">
    <w:name w:val="修订1"/>
    <w:hidden/>
    <w:unhideWhenUsed/>
    <w:qFormat/>
    <w:uiPriority w:val="99"/>
    <w:rPr>
      <w:rFonts w:ascii="Calibri" w:hAnsi="Calibri" w:eastAsia="宋体" w:cs="Times New Roman"/>
      <w:kern w:val="2"/>
      <w:sz w:val="21"/>
      <w:szCs w:val="24"/>
      <w:lang w:val="en-US" w:eastAsia="zh-CN" w:bidi="ar-SA"/>
    </w:rPr>
  </w:style>
  <w:style w:type="character" w:customStyle="1" w:styleId="52">
    <w:name w:val="段 Char"/>
    <w:basedOn w:val="22"/>
    <w:link w:val="44"/>
    <w:qFormat/>
    <w:uiPriority w:val="0"/>
    <w:rPr>
      <w:rFonts w:ascii="黑体" w:hAnsi="黑体" w:eastAsia="黑体"/>
      <w:sz w:val="21"/>
      <w:szCs w:val="22"/>
    </w:rPr>
  </w:style>
  <w:style w:type="character" w:customStyle="1" w:styleId="53">
    <w:name w:val="批注文字 字符"/>
    <w:link w:val="4"/>
    <w:qFormat/>
    <w:uiPriority w:val="0"/>
    <w:rPr>
      <w:kern w:val="2"/>
      <w:sz w:val="21"/>
      <w:szCs w:val="24"/>
    </w:rPr>
  </w:style>
  <w:style w:type="character" w:customStyle="1" w:styleId="54">
    <w:name w:val="批注主题 字符"/>
    <w:link w:val="18"/>
    <w:qFormat/>
    <w:uiPriority w:val="0"/>
    <w:rPr>
      <w:b/>
      <w:bCs/>
      <w:kern w:val="2"/>
      <w:sz w:val="21"/>
      <w:szCs w:val="24"/>
    </w:rPr>
  </w:style>
  <w:style w:type="character" w:customStyle="1" w:styleId="55">
    <w:name w:val="批注框文本 字符"/>
    <w:link w:val="10"/>
    <w:qFormat/>
    <w:uiPriority w:val="0"/>
    <w:rPr>
      <w:kern w:val="2"/>
      <w:sz w:val="18"/>
      <w:szCs w:val="18"/>
    </w:rPr>
  </w:style>
  <w:style w:type="paragraph" w:styleId="56">
    <w:name w:val="List Paragraph"/>
    <w:basedOn w:val="1"/>
    <w:qFormat/>
    <w:uiPriority w:val="99"/>
  </w:style>
  <w:style w:type="character" w:customStyle="1" w:styleId="57">
    <w:name w:val="页脚 字符"/>
    <w:link w:val="11"/>
    <w:qFormat/>
    <w:uiPriority w:val="99"/>
    <w:rPr>
      <w:rFonts w:ascii="Calibri" w:hAnsi="Calibri" w:eastAsia="宋体" w:cs="Times New Roman"/>
      <w:kern w:val="2"/>
      <w:sz w:val="18"/>
      <w:szCs w:val="24"/>
    </w:rPr>
  </w:style>
  <w:style w:type="paragraph" w:customStyle="1" w:styleId="58">
    <w:name w:val="一级条标题"/>
    <w:basedOn w:val="59"/>
    <w:next w:val="44"/>
    <w:qFormat/>
    <w:uiPriority w:val="0"/>
    <w:pPr>
      <w:spacing w:beforeLines="50" w:afterLines="50"/>
      <w:ind w:left="142"/>
      <w:outlineLvl w:val="2"/>
    </w:pPr>
    <w:rPr>
      <w:rFonts w:cs="Times New Roman"/>
    </w:rPr>
  </w:style>
  <w:style w:type="paragraph" w:customStyle="1" w:styleId="59">
    <w:name w:val="标准文件_一级条标题"/>
    <w:basedOn w:val="60"/>
    <w:next w:val="61"/>
    <w:qFormat/>
    <w:uiPriority w:val="99"/>
    <w:pPr>
      <w:numPr>
        <w:ilvl w:val="2"/>
      </w:numPr>
      <w:spacing w:beforeLines="0" w:afterLines="0"/>
      <w:outlineLvl w:val="1"/>
    </w:pPr>
  </w:style>
  <w:style w:type="paragraph" w:customStyle="1" w:styleId="60">
    <w:name w:val="1章标题"/>
    <w:next w:val="61"/>
    <w:qFormat/>
    <w:uiPriority w:val="99"/>
    <w:pPr>
      <w:numPr>
        <w:ilvl w:val="1"/>
        <w:numId w:val="2"/>
      </w:numPr>
      <w:spacing w:beforeLines="50" w:afterLines="50"/>
      <w:jc w:val="both"/>
      <w:outlineLvl w:val="0"/>
    </w:pPr>
    <w:rPr>
      <w:rFonts w:ascii="黑体" w:hAnsi="Times New Roman" w:eastAsia="黑体" w:cs="黑体"/>
      <w:sz w:val="21"/>
      <w:szCs w:val="21"/>
      <w:lang w:val="en-US" w:eastAsia="zh-CN" w:bidi="ar-SA"/>
    </w:rPr>
  </w:style>
  <w:style w:type="paragraph" w:customStyle="1" w:styleId="61">
    <w:name w:val="标准文件_段"/>
    <w:qFormat/>
    <w:uiPriority w:val="99"/>
    <w:pPr>
      <w:widowControl w:val="0"/>
      <w:ind w:firstLine="198" w:firstLineChars="200"/>
      <w:jc w:val="both"/>
    </w:pPr>
    <w:rPr>
      <w:rFonts w:ascii="宋体" w:hAnsi="宋体" w:eastAsia="宋体" w:cs="宋体"/>
      <w:kern w:val="2"/>
      <w:sz w:val="21"/>
      <w:szCs w:val="21"/>
      <w:lang w:val="en-US" w:eastAsia="zh-CN" w:bidi="ar-SA"/>
    </w:rPr>
  </w:style>
  <w:style w:type="paragraph" w:customStyle="1" w:styleId="6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4">
    <w:name w:val="二级条标题"/>
    <w:basedOn w:val="58"/>
    <w:next w:val="44"/>
    <w:qFormat/>
    <w:uiPriority w:val="0"/>
    <w:pPr>
      <w:spacing w:before="50" w:after="50"/>
      <w:ind w:left="0"/>
      <w:outlineLvl w:val="3"/>
    </w:pPr>
  </w:style>
  <w:style w:type="paragraph" w:customStyle="1" w:styleId="65">
    <w:name w:val="三级条标题"/>
    <w:basedOn w:val="64"/>
    <w:next w:val="44"/>
    <w:qFormat/>
    <w:uiPriority w:val="0"/>
    <w:pPr>
      <w:ind w:left="1134"/>
      <w:outlineLvl w:val="4"/>
    </w:pPr>
  </w:style>
  <w:style w:type="paragraph" w:customStyle="1" w:styleId="66">
    <w:name w:val="四级条标题"/>
    <w:basedOn w:val="65"/>
    <w:next w:val="44"/>
    <w:qFormat/>
    <w:uiPriority w:val="0"/>
    <w:pPr>
      <w:ind w:left="0"/>
      <w:outlineLvl w:val="5"/>
    </w:pPr>
  </w:style>
  <w:style w:type="paragraph" w:customStyle="1" w:styleId="67">
    <w:name w:val="五级条标题"/>
    <w:basedOn w:val="66"/>
    <w:next w:val="44"/>
    <w:qFormat/>
    <w:uiPriority w:val="0"/>
    <w:pPr>
      <w:outlineLvl w:val="6"/>
    </w:pPr>
  </w:style>
  <w:style w:type="character" w:customStyle="1" w:styleId="68">
    <w:name w:val="纯文本 字符"/>
    <w:link w:val="8"/>
    <w:qFormat/>
    <w:uiPriority w:val="0"/>
    <w:rPr>
      <w:rFonts w:ascii="宋体" w:hAnsi="Courier New" w:eastAsia="宋体" w:cs="Courier New"/>
      <w:kern w:val="2"/>
      <w:sz w:val="21"/>
      <w:szCs w:val="21"/>
    </w:rPr>
  </w:style>
  <w:style w:type="character" w:customStyle="1" w:styleId="69">
    <w:name w:val="标题 字符"/>
    <w:link w:val="17"/>
    <w:qFormat/>
    <w:uiPriority w:val="0"/>
    <w:rPr>
      <w:rFonts w:ascii="Calibri Light" w:hAnsi="Calibri Light" w:cs="Times New Roman"/>
      <w:b/>
      <w:bCs/>
      <w:kern w:val="2"/>
      <w:sz w:val="32"/>
      <w:szCs w:val="32"/>
    </w:rPr>
  </w:style>
  <w:style w:type="character" w:styleId="70">
    <w:name w:val="Placeholder Text"/>
    <w:basedOn w:val="22"/>
    <w:semiHidden/>
    <w:qFormat/>
    <w:uiPriority w:val="99"/>
    <w:rPr>
      <w:color w:val="808080"/>
    </w:rPr>
  </w:style>
  <w:style w:type="paragraph" w:customStyle="1" w:styleId="71">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72">
    <w:name w:val="章"/>
    <w:basedOn w:val="1"/>
    <w:next w:val="44"/>
    <w:qFormat/>
    <w:uiPriority w:val="0"/>
    <w:pPr>
      <w:numPr>
        <w:ilvl w:val="0"/>
        <w:numId w:val="3"/>
      </w:numPr>
      <w:adjustRightInd w:val="0"/>
      <w:spacing w:before="156" w:beforeLines="50" w:after="156" w:afterLines="50"/>
      <w:ind w:left="0"/>
      <w:jc w:val="center"/>
      <w:outlineLvl w:val="0"/>
    </w:pPr>
    <w:rPr>
      <w:b/>
      <w:kern w:val="21"/>
      <w:sz w:val="32"/>
      <w:szCs w:val="32"/>
    </w:rPr>
  </w:style>
  <w:style w:type="character" w:customStyle="1" w:styleId="73">
    <w:name w:val="标题 2 字符"/>
    <w:basedOn w:val="22"/>
    <w:link w:val="3"/>
    <w:qFormat/>
    <w:uiPriority w:val="0"/>
    <w:rPr>
      <w:rFonts w:asciiTheme="majorHAnsi" w:hAnsiTheme="majorHAnsi" w:eastAsiaTheme="majorEastAsia" w:cstheme="majorBidi"/>
      <w:b/>
      <w:bCs/>
      <w:kern w:val="2"/>
      <w:sz w:val="32"/>
      <w:szCs w:val="32"/>
    </w:rPr>
  </w:style>
  <w:style w:type="paragraph" w:customStyle="1" w:styleId="74">
    <w:name w:val="附录A列表"/>
    <w:basedOn w:val="1"/>
    <w:qFormat/>
    <w:uiPriority w:val="0"/>
    <w:pPr>
      <w:keepNext/>
      <w:spacing w:line="300" w:lineRule="auto"/>
      <w:jc w:val="center"/>
    </w:pPr>
  </w:style>
  <w:style w:type="paragraph" w:customStyle="1" w:styleId="75">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6">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7">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8">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9">
    <w:name w:val="TOC 标题2"/>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80">
    <w:name w:val="日期 字符"/>
    <w:basedOn w:val="22"/>
    <w:link w:val="9"/>
    <w:qFormat/>
    <w:uiPriority w:val="0"/>
    <w:rPr>
      <w:rFonts w:asciiTheme="minorEastAsia" w:hAnsiTheme="minorEastAsia" w:eastAsiaTheme="minorEastAsia"/>
      <w:sz w:val="21"/>
      <w:szCs w:val="22"/>
    </w:rPr>
  </w:style>
  <w:style w:type="paragraph" w:customStyle="1" w:styleId="81">
    <w:name w:val="注："/>
    <w:next w:val="44"/>
    <w:qFormat/>
    <w:uiPriority w:val="0"/>
    <w:pPr>
      <w:widowControl w:val="0"/>
      <w:numPr>
        <w:ilvl w:val="0"/>
        <w:numId w:val="4"/>
      </w:numPr>
      <w:autoSpaceDE w:val="0"/>
      <w:autoSpaceDN w:val="0"/>
      <w:jc w:val="both"/>
    </w:pPr>
    <w:rPr>
      <w:rFonts w:ascii="宋体" w:hAnsi="Times New Roman" w:eastAsia="宋体" w:cs="Times New Roman"/>
      <w:sz w:val="18"/>
      <w:lang w:val="en-US" w:eastAsia="zh-CN" w:bidi="ar-SA"/>
    </w:rPr>
  </w:style>
  <w:style w:type="character" w:customStyle="1" w:styleId="82">
    <w:name w:val="三级条标题 Char"/>
    <w:basedOn w:val="22"/>
    <w:qFormat/>
    <w:uiPriority w:val="0"/>
    <w:rPr>
      <w:rFonts w:eastAsia="黑体"/>
      <w:kern w:val="2"/>
      <w:sz w:val="21"/>
      <w:szCs w:val="24"/>
      <w:lang w:val="en-US" w:eastAsia="zh-CN" w:bidi="ar-SA"/>
    </w:rPr>
  </w:style>
  <w:style w:type="paragraph" w:customStyle="1" w:styleId="83">
    <w:name w:val="Revision"/>
    <w:hidden/>
    <w:semiHidden/>
    <w:qFormat/>
    <w:uiPriority w:val="99"/>
    <w:rPr>
      <w:rFonts w:cs="Times New Roman" w:asciiTheme="minorEastAsia" w:hAnsiTheme="minorEastAsia" w:eastAsiaTheme="minorEastAsia"/>
      <w:sz w:val="21"/>
      <w:szCs w:val="22"/>
      <w:lang w:val="en-US" w:eastAsia="zh-CN" w:bidi="ar-SA"/>
    </w:rPr>
  </w:style>
  <w:style w:type="paragraph" w:customStyle="1" w:styleId="84">
    <w:name w:val="正文样式"/>
    <w:basedOn w:val="1"/>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421BE-BF48-44D9-BAA3-8C1D04BBD316}">
  <ds:schemaRefs/>
</ds:datastoreItem>
</file>

<file path=docProps/app.xml><?xml version="1.0" encoding="utf-8"?>
<Properties xmlns="http://schemas.openxmlformats.org/officeDocument/2006/extended-properties" xmlns:vt="http://schemas.openxmlformats.org/officeDocument/2006/docPropsVTypes">
  <Template>Normal</Template>
  <Pages>26</Pages>
  <Words>2423</Words>
  <Characters>2851</Characters>
  <Lines>587</Lines>
  <Paragraphs>736</Paragraphs>
  <TotalTime>2</TotalTime>
  <ScaleCrop>false</ScaleCrop>
  <LinksUpToDate>false</LinksUpToDate>
  <CharactersWithSpaces>2959</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2025-07-29T00:07:00Z</dcterms:created>
  <dc:creator>梵高先生 </dc:creator>
  <cp:lastModifiedBy>白乙含</cp:lastModifiedBy>
  <cp:lastPrinted>2022-05-12T11:12:00Z</cp:lastPrinted>
  <dcterms:modified xsi:type="dcterms:W3CDTF">2025-09-09T10:29:21Z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FB80C113A3E128D23590BF68BE63544C_43</vt:lpwstr>
  </property>
  <property fmtid="{D5CDD505-2E9C-101B-9397-08002B2CF9AE}" pid="4" name="KSOTemplateDocerSaveRecord">
    <vt:lpwstr>eyJoZGlkIjoiNGRlNWE1Y2Y1OGY2MjE4Y2ZlZTljZmEzOWZkM2Q5ZTgiLCJ1c2VySWQiOiIxNDQ3NzcxMDU2In0=</vt:lpwstr>
  </property>
</Properties>
</file>