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C126E">
      <w:pPr>
        <w:autoSpaceDE/>
        <w:autoSpaceDN/>
        <w:rPr>
          <w:rFonts w:ascii="Times New Roman" w:hAnsi="Times New Roman"/>
        </w:rPr>
      </w:pPr>
    </w:p>
    <w:p w14:paraId="2BBBCA5F">
      <w:pPr>
        <w:autoSpaceDE/>
        <w:autoSpaceDN/>
        <w:rPr>
          <w:rFonts w:ascii="Times New Roman" w:hAnsi="Times New Roman"/>
        </w:rPr>
      </w:pPr>
    </w:p>
    <w:p w14:paraId="5E4F7221">
      <w:pPr>
        <w:autoSpaceDE/>
        <w:autoSpaceDN/>
        <w:rPr>
          <w:rFonts w:ascii="Times New Roman" w:hAnsi="Times New Roman"/>
        </w:rPr>
      </w:pPr>
    </w:p>
    <w:p w14:paraId="28DA511A">
      <w:pPr>
        <w:pStyle w:val="27"/>
        <w:framePr w:wrap="around"/>
        <w:rPr>
          <w:rFonts w:ascii="Times New Roman" w:hAnsi="Times New Roman"/>
        </w:rPr>
      </w:pPr>
      <w:r>
        <w:rPr>
          <w:rFonts w:ascii="Times New Roman" w:hAnsi="Times New Roman"/>
        </w:rPr>
        <w:t>ICS</w:t>
      </w:r>
      <w:r>
        <w:rPr>
          <w:rFonts w:ascii="Times New Roman" w:hAnsi="Times New Roman" w:eastAsia="MS Gothic"/>
        </w:rPr>
        <w:t> </w:t>
      </w:r>
      <w:r>
        <w:rPr>
          <w:rFonts w:ascii="Times New Roman" w:hAnsi="Times New Roman"/>
          <w:sz w:val="18"/>
        </w:rPr>
        <w:t>71.100.50</w:t>
      </w:r>
    </w:p>
    <w:p w14:paraId="5A66289D">
      <w:pPr>
        <w:pStyle w:val="27"/>
        <w:framePr w:wrap="around"/>
        <w:rPr>
          <w:rFonts w:ascii="Times New Roman" w:hAnsi="Times New Roman"/>
        </w:rPr>
      </w:pPr>
      <w:bookmarkStart w:id="0" w:name="WXFLH"/>
      <w:r>
        <w:rPr>
          <w:rFonts w:ascii="Times New Roman" w:hAnsi="Times New Roman"/>
        </w:rPr>
        <w:t xml:space="preserve">CCS </w:t>
      </w:r>
      <w:bookmarkEnd w:id="0"/>
      <w:r>
        <w:rPr>
          <w:rFonts w:ascii="Times New Roman" w:hAnsi="Times New Roman"/>
        </w:rPr>
        <w:t>B</w:t>
      </w:r>
      <w:r>
        <w:rPr>
          <w:rFonts w:ascii="Times New Roman" w:hAnsi="Times New Roman"/>
          <w:sz w:val="18"/>
        </w:rPr>
        <w:t>71</w:t>
      </w:r>
    </w:p>
    <w:tbl>
      <w:tblPr>
        <w:tblStyle w:val="21"/>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1ABBF28D">
        <w:tc>
          <w:tcPr>
            <w:tcW w:w="9854" w:type="dxa"/>
            <w:tcBorders>
              <w:top w:val="nil"/>
              <w:left w:val="nil"/>
              <w:bottom w:val="nil"/>
              <w:right w:val="nil"/>
            </w:tcBorders>
          </w:tcPr>
          <w:p w14:paraId="1C30E488">
            <w:pPr>
              <w:pStyle w:val="27"/>
              <w:framePr w:wrap="around"/>
              <w:rPr>
                <w:rFonts w:ascii="Times New Roman" w:hAnsi="Times New Roman"/>
              </w:rPr>
            </w:pPr>
            <w:r>
              <w:rPr>
                <w:rFonts w:ascii="Times New Roman" w:hAnsi="Times New Roman"/>
              </w:rPr>
              <w:t>备案号：</w:t>
            </w:r>
            <w:r>
              <w:rPr>
                <w:rFonts w:ascii="Times New Roman" w:hAnsi="Times New Roman"/>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070E84BB">
                                  <w:pPr>
                                    <w:rPr>
                                      <w:rFonts w:hint="eastAsia"/>
                                    </w:rPr>
                                  </w:pPr>
                                </w:p>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070E84BB">
                            <w:pPr>
                              <w:rPr>
                                <w:rFonts w:hint="eastAsia"/>
                              </w:rPr>
                            </w:pPr>
                          </w:p>
                        </w:txbxContent>
                      </v:textbox>
                    </v:rect>
                  </w:pict>
                </mc:Fallback>
              </mc:AlternateContent>
            </w:r>
          </w:p>
        </w:tc>
      </w:tr>
    </w:tbl>
    <w:p w14:paraId="3754C717">
      <w:pPr>
        <w:pStyle w:val="28"/>
        <w:framePr w:wrap="around"/>
        <w:rPr>
          <w:rFonts w:ascii="Times New Roman" w:hAnsi="Times New Roman"/>
          <w:b w:val="0"/>
        </w:rPr>
      </w:pPr>
      <w:bookmarkStart w:id="1" w:name="c1"/>
      <w:r>
        <w:rPr>
          <w:rFonts w:ascii="Times New Roman" w:hAnsi="Times New Roman"/>
          <w:b w:val="0"/>
        </w:rPr>
        <w:fldChar w:fldCharType="begin">
          <w:ffData>
            <w:name w:val="c1"/>
            <w:enabled/>
            <w:calcOnExit w:val="0"/>
            <w:entryMacro w:val="ShowHelp15"/>
            <w:textInput>
              <w:maxLength w:val="2"/>
            </w:textInput>
          </w:ffData>
        </w:fldChar>
      </w:r>
      <w:r>
        <w:rPr>
          <w:rFonts w:ascii="Times New Roman" w:hAnsi="Times New Roman"/>
          <w:b w:val="0"/>
        </w:rPr>
        <w:instrText xml:space="preserve"> FORMTEXT </w:instrText>
      </w:r>
      <w:r>
        <w:rPr>
          <w:rFonts w:ascii="Times New Roman" w:hAnsi="Times New Roman"/>
          <w:b w:val="0"/>
        </w:rPr>
        <w:fldChar w:fldCharType="separate"/>
      </w:r>
      <w:r>
        <w:rPr>
          <w:rFonts w:ascii="Times New Roman" w:hAnsi="Times New Roman"/>
          <w:b w:val="0"/>
        </w:rPr>
        <w:t>JC</w:t>
      </w:r>
      <w:r>
        <w:rPr>
          <w:rFonts w:ascii="Times New Roman" w:hAnsi="Times New Roman"/>
          <w:b w:val="0"/>
        </w:rPr>
        <w:fldChar w:fldCharType="end"/>
      </w:r>
      <w:bookmarkEnd w:id="1"/>
    </w:p>
    <w:p w14:paraId="4A669C37">
      <w:pPr>
        <w:pStyle w:val="29"/>
        <w:framePr w:wrap="around"/>
        <w:rPr>
          <w:rFonts w:ascii="Times New Roman" w:hAnsi="Times New Roman"/>
        </w:rPr>
      </w:pPr>
      <w:r>
        <w:rPr>
          <w:rFonts w:ascii="Times New Roman" w:hAnsi="Times New Roman"/>
        </w:rPr>
        <w:t>中华人民共和国</w:t>
      </w:r>
      <w:bookmarkStart w:id="2" w:name="c2"/>
      <w:r>
        <w:rPr>
          <w:rFonts w:ascii="Times New Roman" w:hAnsi="Times New Roman"/>
        </w:rPr>
        <w:fldChar w:fldCharType="begin">
          <w:ffData>
            <w:name w:val="c2"/>
            <w:enabled/>
            <w:calcOnExit w:val="0"/>
            <w:entryMacro w:val="showhelp11"/>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建材</w:t>
      </w:r>
      <w:r>
        <w:rPr>
          <w:rFonts w:ascii="Times New Roman" w:hAnsi="Times New Roman"/>
        </w:rPr>
        <w:fldChar w:fldCharType="end"/>
      </w:r>
      <w:bookmarkEnd w:id="2"/>
      <w:r>
        <w:rPr>
          <w:rFonts w:ascii="Times New Roman" w:hAnsi="Times New Roman"/>
        </w:rPr>
        <w:t>行业标准</w:t>
      </w:r>
    </w:p>
    <w:p w14:paraId="5D83C22B">
      <w:pPr>
        <w:pStyle w:val="30"/>
        <w:framePr w:wrap="around"/>
        <w:rPr>
          <w:rFonts w:ascii="Times New Roman" w:hAnsi="Times New Roman"/>
        </w:rPr>
      </w:pPr>
      <w:bookmarkStart w:id="3" w:name="StdNo0"/>
      <w:r>
        <w:rPr>
          <w:rFonts w:ascii="Times New Roman" w:hAnsi="Times New Roman"/>
        </w:rPr>
        <w:fldChar w:fldCharType="begin">
          <w:ffData>
            <w:name w:val="StdNo0"/>
            <w:enabled/>
            <w:calcOnExit w:val="0"/>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JC</w:t>
      </w:r>
      <w:r>
        <w:rPr>
          <w:rFonts w:ascii="Times New Roman" w:hAnsi="Times New Roman"/>
        </w:rPr>
        <w:fldChar w:fldCharType="end"/>
      </w:r>
      <w:bookmarkEnd w:id="3"/>
      <w:r>
        <w:rPr>
          <w:rFonts w:ascii="Times New Roman" w:hAnsi="Times New Roman"/>
        </w:rPr>
        <w:t xml:space="preserve">/T </w:t>
      </w:r>
      <w:bookmarkStart w:id="4" w:name="StdNo1"/>
      <w:r>
        <w:rPr>
          <w:rFonts w:ascii="Times New Roman" w:hAnsi="Times New Roman"/>
        </w:rPr>
        <w:fldChar w:fldCharType="begin">
          <w:ffData>
            <w:name w:val="StdNo1"/>
            <w:enabled/>
            <w:calcOnExit w:val="0"/>
            <w:textInput>
              <w:default w:val="XXXXX"/>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XXXXX</w:t>
      </w:r>
      <w:r>
        <w:rPr>
          <w:rFonts w:ascii="Times New Roman" w:hAnsi="Times New Roman"/>
        </w:rPr>
        <w:fldChar w:fldCharType="end"/>
      </w:r>
      <w:bookmarkEnd w:id="4"/>
      <w:r>
        <w:rPr>
          <w:rFonts w:ascii="Times New Roman" w:hAnsi="Times New Roman"/>
        </w:rPr>
        <w:t>—</w:t>
      </w:r>
      <w:bookmarkStart w:id="5" w:name="StdNo2"/>
      <w:r>
        <w:rPr>
          <w:rFonts w:ascii="Times New Roman" w:hAnsi="Times New Roman"/>
        </w:rPr>
        <w:fldChar w:fldCharType="begin">
          <w:ffData>
            <w:name w:val="StdNo2"/>
            <w:enabled/>
            <w:calcOnExit w:val="0"/>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5"/>
    </w:p>
    <w:tbl>
      <w:tblPr>
        <w:tblStyle w:val="21"/>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437C3D2A">
        <w:tc>
          <w:tcPr>
            <w:tcW w:w="9356" w:type="dxa"/>
            <w:tcBorders>
              <w:top w:val="nil"/>
              <w:left w:val="nil"/>
              <w:bottom w:val="nil"/>
              <w:right w:val="nil"/>
            </w:tcBorders>
          </w:tcPr>
          <w:p w14:paraId="22BCE3CF">
            <w:pPr>
              <w:pStyle w:val="31"/>
              <w:framePr w:wrap="around"/>
              <w:ind w:right="210"/>
              <w:rPr>
                <w:rFonts w:ascii="Times New Roman" w:hAnsi="Times New Roman"/>
              </w:rPr>
            </w:pPr>
            <w:r>
              <w:rPr>
                <w:rFonts w:hint="eastAsia" w:ascii="黑体" w:hAnsi="黑体" w:eastAsia="黑体" w:cs="黑体"/>
              </w:rPr>
              <w:t>代替SB/T 10435-2007</w:t>
            </w:r>
          </w:p>
        </w:tc>
      </w:tr>
    </w:tbl>
    <w:p w14:paraId="10433A3E">
      <w:pPr>
        <w:pStyle w:val="30"/>
        <w:framePr w:wrap="around"/>
        <w:rPr>
          <w:rFonts w:ascii="Times New Roman" w:hAnsi="Times New Roman"/>
        </w:rPr>
      </w:pPr>
    </w:p>
    <w:p w14:paraId="7E1E2906">
      <w:pPr>
        <w:pStyle w:val="30"/>
        <w:framePr w:wrap="around"/>
        <w:rPr>
          <w:rFonts w:ascii="Times New Roman" w:hAnsi="Times New Roman"/>
        </w:rPr>
      </w:pPr>
    </w:p>
    <w:p w14:paraId="6618B67A">
      <w:pPr>
        <w:pStyle w:val="32"/>
        <w:framePr w:w="9293" w:wrap="around" w:x="1699"/>
        <w:rPr>
          <w:rFonts w:ascii="Times New Roman" w:hAnsi="Times New Roman"/>
        </w:rPr>
      </w:pPr>
      <w:r>
        <w:rPr>
          <w:rFonts w:ascii="Times New Roman" w:hAnsi="Times New Roman"/>
        </w:rPr>
        <w:t>木材防腐剂  铜唑-B型（CA-B）</w:t>
      </w:r>
    </w:p>
    <w:p w14:paraId="5D1D445B">
      <w:pPr>
        <w:pStyle w:val="32"/>
        <w:framePr w:w="9293" w:wrap="around" w:x="1699"/>
        <w:rPr>
          <w:rFonts w:ascii="Times New Roman" w:hAnsi="Times New Roman"/>
        </w:rPr>
      </w:pPr>
      <w:r>
        <w:rPr>
          <w:rFonts w:ascii="Times New Roman" w:hAnsi="Times New Roman"/>
        </w:rPr>
        <w:t>（草案）</w:t>
      </w:r>
    </w:p>
    <w:tbl>
      <w:tblPr>
        <w:tblStyle w:val="21"/>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55285BF1">
        <w:tc>
          <w:tcPr>
            <w:tcW w:w="9855" w:type="dxa"/>
            <w:tcBorders>
              <w:top w:val="nil"/>
              <w:left w:val="nil"/>
              <w:bottom w:val="nil"/>
              <w:right w:val="nil"/>
            </w:tcBorders>
          </w:tcPr>
          <w:p w14:paraId="46D42F53">
            <w:pPr>
              <w:pStyle w:val="35"/>
              <w:keepNext w:val="0"/>
              <w:keepLines w:val="0"/>
              <w:pageBreakBefore w:val="0"/>
              <w:framePr w:w="9293" w:wrap="around" w:x="1699"/>
              <w:widowControl w:val="0"/>
              <w:kinsoku/>
              <w:wordWrap/>
              <w:overflowPunct/>
              <w:topLinePunct w:val="0"/>
              <w:autoSpaceDE/>
              <w:autoSpaceDN/>
              <w:bidi w:val="0"/>
              <w:adjustRightInd/>
              <w:snapToGrid/>
              <w:spacing w:before="370" w:after="0" w:line="400" w:lineRule="exact"/>
              <w:textAlignment w:val="center"/>
              <w:rPr>
                <w:rFonts w:ascii="Times New Roman" w:hAnsi="Times New Roman" w:eastAsia="黑体"/>
                <w:sz w:val="28"/>
              </w:rPr>
            </w:pPr>
            <w:r>
              <w:rPr>
                <w:rFonts w:hint="default" w:ascii="Times New Roman Regular" w:hAnsi="Times New Roman Regular" w:eastAsia="微软雅黑" w:cs="Times New Roman Regular"/>
                <w:color w:val="333333"/>
                <w:sz w:val="21"/>
                <w:szCs w:val="21"/>
              </w:rPr>
              <w:t xml:space="preserve">Wood </w:t>
            </w:r>
            <w:r>
              <w:rPr>
                <w:rFonts w:hint="default" w:ascii="Times New Roman Regular" w:hAnsi="Times New Roman Regular" w:eastAsia="微软雅黑" w:cs="Times New Roman Regular"/>
                <w:color w:val="333333"/>
                <w:sz w:val="21"/>
                <w:szCs w:val="21"/>
                <w:lang w:val="en-US" w:eastAsia="zh-CN"/>
              </w:rPr>
              <w:t>p</w:t>
            </w:r>
            <w:r>
              <w:rPr>
                <w:rFonts w:hint="default" w:ascii="Times New Roman Regular" w:hAnsi="Times New Roman Regular" w:eastAsia="微软雅黑" w:cs="Times New Roman Regular"/>
                <w:color w:val="333333"/>
                <w:sz w:val="21"/>
                <w:szCs w:val="21"/>
              </w:rPr>
              <w:t xml:space="preserve">reservative—Copper </w:t>
            </w:r>
            <w:r>
              <w:rPr>
                <w:rFonts w:hint="default" w:ascii="Times New Roman Regular" w:hAnsi="Times New Roman Regular" w:eastAsia="微软雅黑" w:cs="Times New Roman Regular"/>
                <w:color w:val="333333"/>
                <w:sz w:val="21"/>
                <w:szCs w:val="21"/>
                <w:lang w:val="en-US" w:eastAsia="zh-CN"/>
              </w:rPr>
              <w:t>a</w:t>
            </w:r>
            <w:r>
              <w:rPr>
                <w:rFonts w:hint="default" w:ascii="Times New Roman Regular" w:hAnsi="Times New Roman Regular" w:eastAsia="微软雅黑" w:cs="Times New Roman Regular"/>
                <w:color w:val="333333"/>
                <w:sz w:val="21"/>
                <w:szCs w:val="21"/>
              </w:rPr>
              <w:t>zole－</w:t>
            </w:r>
            <w:r>
              <w:rPr>
                <w:rFonts w:hint="default" w:ascii="Times New Roman Regular" w:hAnsi="Times New Roman Regular" w:eastAsia="微软雅黑" w:cs="Times New Roman Regular"/>
                <w:color w:val="333333"/>
                <w:sz w:val="21"/>
                <w:szCs w:val="21"/>
                <w:lang w:val="en-US" w:eastAsia="zh-CN"/>
              </w:rPr>
              <w:t>t</w:t>
            </w:r>
            <w:r>
              <w:rPr>
                <w:rFonts w:hint="default" w:ascii="Times New Roman Regular" w:hAnsi="Times New Roman Regular" w:eastAsia="微软雅黑" w:cs="Times New Roman Regular"/>
                <w:color w:val="333333"/>
                <w:sz w:val="21"/>
                <w:szCs w:val="21"/>
              </w:rPr>
              <w:t>ype B (CA-B)</w:t>
            </w:r>
            <w:r>
              <w:rPr>
                <w:rFonts w:ascii="Times New Roman" w:hAnsi="Times New Roman" w:eastAsia="黑体"/>
                <w:sz w:val="28"/>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40DE7656">
                                  <w:pPr>
                                    <w:rPr>
                                      <w:rFonts w:hint="eastAsia"/>
                                    </w:rPr>
                                  </w:pPr>
                                </w:p>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40DE7656">
                            <w:pPr>
                              <w:rPr>
                                <w:rFonts w:hint="eastAsia"/>
                              </w:rPr>
                            </w:pPr>
                          </w:p>
                        </w:txbxContent>
                      </v:textbox>
                      <w10:anchorlock/>
                    </v:rect>
                  </w:pict>
                </mc:Fallback>
              </mc:AlternateContent>
            </w:r>
          </w:p>
        </w:tc>
      </w:tr>
      <w:tr w14:paraId="4ED54BD5">
        <w:tc>
          <w:tcPr>
            <w:tcW w:w="9855" w:type="dxa"/>
            <w:tcBorders>
              <w:top w:val="nil"/>
              <w:left w:val="nil"/>
              <w:bottom w:val="nil"/>
              <w:right w:val="nil"/>
            </w:tcBorders>
          </w:tcPr>
          <w:p w14:paraId="085C0FC2">
            <w:pPr>
              <w:pStyle w:val="36"/>
              <w:framePr w:w="9293" w:wrap="around" w:x="1699"/>
              <w:rPr>
                <w:rFonts w:ascii="Times New Roman" w:hAnsi="Times New Roman"/>
              </w:rPr>
            </w:pPr>
          </w:p>
        </w:tc>
      </w:tr>
    </w:tbl>
    <w:p w14:paraId="67CB19B8">
      <w:pPr>
        <w:pStyle w:val="37"/>
        <w:framePr w:wrap="around" w:vAnchor="page" w:hAnchor="page" w:x="1741" w:y="14176"/>
        <w:rPr>
          <w:rFonts w:ascii="Times New Roman" w:hAnsi="Times New Roman"/>
        </w:rPr>
      </w:pPr>
      <w:bookmarkStart w:id="6" w:name="FY"/>
      <w:r>
        <w:rPr>
          <w:rFonts w:ascii="Times New Roman" w:hAnsi="Times New Roman"/>
        </w:rPr>
        <w:fldChar w:fldCharType="begin">
          <w:ffData>
            <w:name w:val="FY"/>
            <w:enabled/>
            <w:calcOnExit w:val="0"/>
            <w:entryMacro w:val="ShowHelp8"/>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6"/>
      <w:r>
        <w:rPr>
          <w:rFonts w:ascii="Times New Roman" w:hAnsi="Times New Roman"/>
        </w:rPr>
        <w:t>-</w:t>
      </w:r>
      <w:r>
        <w:rPr>
          <w:rFonts w:ascii="Times New Roman" w:hAnsi="Times New Roman"/>
        </w:rPr>
        <w:fldChar w:fldCharType="begin">
          <w:ffData>
            <w:name w:val="FM"/>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r>
        <w:rPr>
          <w:rFonts w:ascii="Times New Roman" w:hAnsi="Times New Roman"/>
        </w:rPr>
        <w:t>-</w:t>
      </w:r>
      <w:bookmarkStart w:id="7" w:name="FD"/>
      <w:r>
        <w:rPr>
          <w:rFonts w:ascii="Times New Roman" w:hAnsi="Times New Roman"/>
        </w:rPr>
        <w:fldChar w:fldCharType="begin">
          <w:ffData>
            <w:name w:val="FD"/>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7"/>
      <w:r>
        <w:rPr>
          <w:rFonts w:ascii="Times New Roman" w:hAnsi="Times New Roman"/>
        </w:rPr>
        <w:t>发布</w:t>
      </w:r>
    </w:p>
    <w:p w14:paraId="75A6A4E5">
      <w:pPr>
        <w:pStyle w:val="39"/>
        <w:framePr w:wrap="around" w:hAnchor="page" w:x="7096" w:y="14176"/>
        <w:rPr>
          <w:rFonts w:ascii="Times New Roman" w:hAnsi="Times New Roman"/>
        </w:rPr>
      </w:pPr>
      <w:bookmarkStart w:id="8" w:name="SY"/>
      <w:r>
        <w:rPr>
          <w:rFonts w:ascii="Times New Roman" w:hAnsi="Times New Roman"/>
        </w:rPr>
        <w:fldChar w:fldCharType="begin">
          <w:ffData>
            <w:name w:val="SY"/>
            <w:enabled/>
            <w:calcOnExit w:val="0"/>
            <w:entryMacro w:val="ShowHelp9"/>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8"/>
      <w:r>
        <w:rPr>
          <w:rFonts w:ascii="Times New Roman" w:hAnsi="Times New Roman"/>
        </w:rPr>
        <w:t>-</w:t>
      </w:r>
      <w:bookmarkStart w:id="9" w:name="SM"/>
      <w:r>
        <w:rPr>
          <w:rFonts w:ascii="Times New Roman" w:hAnsi="Times New Roman"/>
        </w:rPr>
        <w:fldChar w:fldCharType="begin">
          <w:ffData>
            <w:name w:val="SM"/>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9"/>
      <w:r>
        <w:rPr>
          <w:rFonts w:ascii="Times New Roman" w:hAnsi="Times New Roman"/>
        </w:rPr>
        <w:t>-</w:t>
      </w:r>
      <w:bookmarkStart w:id="10" w:name="SD"/>
      <w:r>
        <w:rPr>
          <w:rFonts w:ascii="Times New Roman" w:hAnsi="Times New Roman"/>
        </w:rPr>
        <w:fldChar w:fldCharType="begin">
          <w:ffData>
            <w:name w:val="SD"/>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10"/>
      <w:r>
        <w:rPr>
          <w:rFonts w:ascii="Times New Roman" w:hAnsi="Times New Roman"/>
        </w:rPr>
        <w:t>实施</w:t>
      </w:r>
    </w:p>
    <w:p w14:paraId="1510EB77">
      <w:pPr>
        <w:pStyle w:val="41"/>
        <w:framePr w:wrap="around" w:x="2186" w:y="15211"/>
        <w:rPr>
          <w:rFonts w:ascii="Times New Roman" w:hAnsi="Times New Roman"/>
        </w:rPr>
      </w:pPr>
      <w:bookmarkStart w:id="11" w:name="fm"/>
      <w:r>
        <w:rPr>
          <w:rFonts w:ascii="Times New Roman" w:hAnsi="Times New Roman"/>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7A8E0E51">
                            <w:pPr>
                              <w:rPr>
                                <w:rFonts w:hint="eastAsia"/>
                              </w:rPr>
                            </w:pPr>
                          </w:p>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7A8E0E51">
                      <w:pPr>
                        <w:rPr>
                          <w:rFonts w:hint="eastAsia"/>
                        </w:rPr>
                      </w:pPr>
                    </w:p>
                  </w:txbxContent>
                </v:textbox>
              </v:rect>
            </w:pict>
          </mc:Fallback>
        </mc:AlternateContent>
      </w:r>
      <w:r>
        <w:rPr>
          <w:rFonts w:ascii="Times New Roman" w:hAnsi="Times New Roman"/>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38523E84">
                            <w:pPr>
                              <w:rPr>
                                <w:rFonts w:hint="eastAsia"/>
                              </w:rPr>
                            </w:pPr>
                          </w:p>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38523E84">
                      <w:pPr>
                        <w:rPr>
                          <w:rFonts w:hint="eastAsia"/>
                        </w:rPr>
                      </w:pPr>
                    </w:p>
                  </w:txbxContent>
                </v:textbox>
              </v:rect>
            </w:pict>
          </mc:Fallback>
        </mc:AlternateContent>
      </w: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rPr>
          <w:rFonts w:ascii="Times New Roman" w:hAnsi="Times New Roman"/>
        </w:rPr>
        <w:fldChar w:fldCharType="begin">
          <w:ffData>
            <w:name w:val="fm"/>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hint="eastAsia" w:ascii="Times New Roman" w:hAnsi="Times New Roman"/>
        </w:rPr>
        <w:t>中华人民共和国工业和信息化部</w:t>
      </w:r>
      <w:r>
        <w:rPr>
          <w:rFonts w:ascii="Times New Roman" w:hAnsi="Times New Roman"/>
        </w:rPr>
        <w:fldChar w:fldCharType="end"/>
      </w:r>
      <w:bookmarkEnd w:id="11"/>
      <w:r>
        <w:rPr>
          <w:rStyle w:val="44"/>
          <w:rFonts w:hint="eastAsia" w:ascii="Times New Roman" w:hAnsi="Times New Roman"/>
        </w:rPr>
        <w:t>发布</w:t>
      </w:r>
    </w:p>
    <w:p w14:paraId="4525FAE3">
      <w:pPr>
        <w:autoSpaceDE/>
        <w:autoSpaceDN/>
        <w:rPr>
          <w:rFonts w:ascii="Times New Roman" w:hAnsi="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w:rPr>
          <w:rFonts w:ascii="Times New Roman" w:hAnsi="Times New Roman"/>
        </w:rP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5D16BB51">
      <w:pPr>
        <w:pStyle w:val="45"/>
        <w:tabs>
          <w:tab w:val="center" w:pos="4677"/>
          <w:tab w:val="left" w:pos="7092"/>
        </w:tabs>
        <w:jc w:val="left"/>
        <w:rPr>
          <w:rFonts w:ascii="Times New Roman" w:hAnsi="Times New Roman"/>
        </w:rPr>
      </w:pPr>
      <w:r>
        <w:rPr>
          <w:rFonts w:ascii="Times New Roman" w:hAnsi="Times New Roman"/>
        </w:rPr>
        <w:tab/>
      </w:r>
      <w:bookmarkStart w:id="12" w:name="_Toc65048765"/>
      <w:bookmarkStart w:id="13" w:name="_Toc103159534"/>
      <w:bookmarkStart w:id="14" w:name="_Toc65048651"/>
      <w:r>
        <w:rPr>
          <w:rFonts w:ascii="Times New Roman" w:hAnsi="Times New Roman"/>
        </w:rPr>
        <w:t>前</w:t>
      </w:r>
      <w:bookmarkStart w:id="15" w:name="BKQY"/>
      <w:r>
        <w:rPr>
          <w:rFonts w:ascii="Times New Roman" w:hAnsi="Times New Roman"/>
        </w:rPr>
        <w:t>  言</w:t>
      </w:r>
      <w:bookmarkEnd w:id="12"/>
      <w:bookmarkEnd w:id="13"/>
      <w:bookmarkEnd w:id="14"/>
      <w:bookmarkEnd w:id="15"/>
      <w:r>
        <w:rPr>
          <w:rFonts w:ascii="Times New Roman" w:hAnsi="Times New Roman"/>
        </w:rPr>
        <w:tab/>
      </w:r>
    </w:p>
    <w:p w14:paraId="4C1CFEFF">
      <w:pPr>
        <w:autoSpaceDE/>
        <w:autoSpaceDN/>
        <w:rPr>
          <w:rFonts w:ascii="Times New Roman" w:hAnsi="Times New Roman"/>
        </w:rPr>
      </w:pPr>
      <w:r>
        <w:rPr>
          <w:rFonts w:ascii="Times New Roman" w:hAnsi="Times New Roman"/>
        </w:rPr>
        <w:t>本文件按照GB/T 1.1-2020《标准化工作导则 第1部分：标准化文件的结构和起草规则》的规定起草。</w:t>
      </w:r>
    </w:p>
    <w:p w14:paraId="0F6F5E0C">
      <w:pPr>
        <w:autoSpaceDE/>
        <w:autoSpaceDN/>
        <w:rPr>
          <w:rFonts w:ascii="Times New Roman" w:hAnsi="Times New Roman"/>
        </w:rPr>
      </w:pPr>
      <w:r>
        <w:rPr>
          <w:rFonts w:ascii="Times New Roman" w:hAnsi="Times New Roman"/>
        </w:rPr>
        <w:t>本文件代替SB/T 10435-2007《木材防腐剂 铜唑-B型（CA-B）》，</w:t>
      </w:r>
      <w:r>
        <w:rPr>
          <w:rFonts w:hint="eastAsia" w:ascii="Times New Roman" w:hAnsi="Times New Roman"/>
          <w:lang w:val="en-US" w:eastAsia="zh-CN"/>
        </w:rPr>
        <w:t>与</w:t>
      </w:r>
      <w:r>
        <w:rPr>
          <w:rFonts w:ascii="Times New Roman" w:hAnsi="Times New Roman"/>
        </w:rPr>
        <w:t>SB/T 10435-2007</w:t>
      </w:r>
      <w:r>
        <w:rPr>
          <w:rFonts w:hint="eastAsia" w:ascii="Times New Roman" w:hAnsi="Times New Roman"/>
          <w:lang w:val="en-US" w:eastAsia="zh-CN"/>
        </w:rPr>
        <w:t>相比，</w:t>
      </w:r>
      <w:r>
        <w:rPr>
          <w:rFonts w:ascii="Times New Roman" w:hAnsi="Times New Roman"/>
        </w:rPr>
        <w:t>除结构调整和编辑性改动外，与SB/T 10435-2007相比，主要技术变化如下：</w:t>
      </w:r>
    </w:p>
    <w:p w14:paraId="27013B6B">
      <w:pPr>
        <w:autoSpaceDE/>
        <w:autoSpaceDN/>
        <w:rPr>
          <w:rFonts w:hint="default" w:ascii="Times New Roman" w:hAnsi="Times New Roman" w:eastAsiaTheme="minorEastAsia"/>
          <w:color w:val="auto"/>
          <w:highlight w:val="none"/>
          <w:lang w:val="en-US" w:eastAsia="zh-CN"/>
        </w:rPr>
      </w:pPr>
      <w:r>
        <w:rPr>
          <w:rFonts w:ascii="Times New Roman" w:hAnsi="Times New Roman"/>
          <w:color w:val="auto"/>
          <w:highlight w:val="none"/>
        </w:rPr>
        <w:t>a）</w:t>
      </w:r>
      <w:r>
        <w:rPr>
          <w:rFonts w:hint="eastAsia" w:ascii="Times New Roman" w:hAnsi="Times New Roman"/>
          <w:color w:val="auto"/>
          <w:highlight w:val="none"/>
          <w:lang w:val="en-US" w:eastAsia="zh-CN"/>
        </w:rPr>
        <w:t>增加了</w:t>
      </w:r>
      <w:r>
        <w:rPr>
          <w:rFonts w:hint="eastAsia" w:ascii="Times New Roman" w:hAnsi="Times New Roman"/>
          <w:color w:val="auto"/>
          <w:highlight w:val="none"/>
        </w:rPr>
        <w:t>铜唑-B型（CA-B）</w:t>
      </w:r>
      <w:r>
        <w:rPr>
          <w:rFonts w:hint="eastAsia" w:ascii="Times New Roman" w:hAnsi="Times New Roman"/>
          <w:color w:val="auto"/>
          <w:highlight w:val="none"/>
          <w:lang w:val="en-US" w:eastAsia="zh-CN"/>
        </w:rPr>
        <w:t>木材防腐剂的定义（见3.1）。</w:t>
      </w:r>
    </w:p>
    <w:p w14:paraId="3E77AAEE">
      <w:pPr>
        <w:autoSpaceDE/>
        <w:autoSpaceDN/>
        <w:rPr>
          <w:rFonts w:ascii="Times New Roman" w:hAnsi="Times New Roman"/>
          <w:color w:val="auto"/>
          <w:highlight w:val="none"/>
        </w:rPr>
      </w:pPr>
      <w:r>
        <w:rPr>
          <w:rFonts w:hint="eastAsia" w:ascii="Times New Roman" w:hAnsi="Times New Roman"/>
          <w:color w:val="auto"/>
          <w:highlight w:val="none"/>
          <w:lang w:val="en-US" w:eastAsia="zh-CN"/>
        </w:rPr>
        <w:t>b）</w:t>
      </w:r>
      <w:r>
        <w:rPr>
          <w:rFonts w:ascii="Times New Roman" w:hAnsi="Times New Roman"/>
          <w:color w:val="auto"/>
          <w:highlight w:val="none"/>
        </w:rPr>
        <w:t>增加了2项</w:t>
      </w:r>
      <w:r>
        <w:rPr>
          <w:rFonts w:hint="eastAsia" w:ascii="Times New Roman" w:hAnsi="Times New Roman"/>
          <w:color w:val="auto"/>
          <w:highlight w:val="none"/>
          <w:lang w:val="en-US" w:eastAsia="zh-CN"/>
        </w:rPr>
        <w:t>试验</w:t>
      </w:r>
      <w:r>
        <w:rPr>
          <w:rFonts w:ascii="Times New Roman" w:hAnsi="Times New Roman"/>
          <w:color w:val="auto"/>
          <w:highlight w:val="none"/>
        </w:rPr>
        <w:t>方法：</w:t>
      </w:r>
    </w:p>
    <w:p w14:paraId="0FE54BA0">
      <w:pPr>
        <w:autoSpaceDE/>
        <w:autoSpaceDN/>
        <w:rPr>
          <w:rFonts w:ascii="Times New Roman" w:hAnsi="Times New Roman"/>
          <w:color w:val="auto"/>
          <w:highlight w:val="none"/>
        </w:rPr>
      </w:pPr>
      <w:r>
        <w:rPr>
          <w:rFonts w:ascii="Times New Roman" w:hAnsi="Times New Roman"/>
          <w:color w:val="auto"/>
          <w:highlight w:val="none"/>
        </w:rPr>
        <w:t xml:space="preserve">       ——</w:t>
      </w:r>
      <w:r>
        <w:rPr>
          <w:rFonts w:hint="eastAsia" w:ascii="Times New Roman" w:hAnsi="Times New Roman"/>
          <w:color w:val="auto"/>
          <w:highlight w:val="none"/>
          <w:lang w:val="en-US" w:eastAsia="zh-CN"/>
        </w:rPr>
        <w:t xml:space="preserve">铜含量测定 </w:t>
      </w:r>
      <w:r>
        <w:rPr>
          <w:rFonts w:ascii="Times New Roman" w:hAnsi="Times New Roman"/>
          <w:color w:val="auto"/>
          <w:highlight w:val="none"/>
        </w:rPr>
        <w:t>原子吸收光谱法</w:t>
      </w:r>
      <w:r>
        <w:rPr>
          <w:rFonts w:hint="eastAsia" w:ascii="Times New Roman" w:hAnsi="Times New Roman"/>
          <w:color w:val="auto"/>
          <w:highlight w:val="none"/>
          <w:lang w:val="en-US" w:eastAsia="zh-CN"/>
        </w:rPr>
        <w:t>（见5.2.2）；</w:t>
      </w:r>
    </w:p>
    <w:p w14:paraId="6A92E076">
      <w:pPr>
        <w:autoSpaceDE/>
        <w:autoSpaceDN/>
        <w:rPr>
          <w:rFonts w:ascii="Times New Roman" w:hAnsi="Times New Roman"/>
          <w:color w:val="auto"/>
          <w:highlight w:val="none"/>
        </w:rPr>
      </w:pPr>
      <w:r>
        <w:rPr>
          <w:rFonts w:ascii="Times New Roman" w:hAnsi="Times New Roman"/>
          <w:color w:val="auto"/>
          <w:highlight w:val="none"/>
        </w:rPr>
        <w:t xml:space="preserve">       ——</w:t>
      </w:r>
      <w:r>
        <w:rPr>
          <w:rFonts w:hint="eastAsia" w:ascii="Times New Roman" w:hAnsi="Times New Roman"/>
          <w:color w:val="auto"/>
          <w:highlight w:val="none"/>
          <w:lang w:val="en-US" w:eastAsia="zh-CN"/>
        </w:rPr>
        <w:t xml:space="preserve">戊唑醇、丙环唑含量测定 </w:t>
      </w:r>
      <w:r>
        <w:rPr>
          <w:rFonts w:ascii="Times New Roman" w:hAnsi="Times New Roman"/>
          <w:color w:val="auto"/>
          <w:highlight w:val="none"/>
        </w:rPr>
        <w:t>三重四极杆液质联用法</w:t>
      </w:r>
      <w:r>
        <w:rPr>
          <w:rFonts w:hint="eastAsia" w:ascii="Times New Roman" w:hAnsi="Times New Roman"/>
          <w:color w:val="auto"/>
          <w:highlight w:val="none"/>
          <w:lang w:val="en-US" w:eastAsia="zh-CN"/>
        </w:rPr>
        <w:t>（见5.3.2）。</w:t>
      </w:r>
    </w:p>
    <w:p w14:paraId="2A16BA31">
      <w:pPr>
        <w:autoSpaceDE/>
        <w:autoSpaceDN/>
        <w:rPr>
          <w:rFonts w:hint="default" w:ascii="Times New Roman" w:hAnsi="Times New Roman" w:eastAsiaTheme="minorEastAsia"/>
          <w:color w:val="auto"/>
          <w:highlight w:val="none"/>
          <w:lang w:val="en-US" w:eastAsia="zh-CN"/>
        </w:rPr>
      </w:pPr>
      <w:r>
        <w:rPr>
          <w:rFonts w:hint="eastAsia" w:ascii="Times New Roman" w:hAnsi="Times New Roman"/>
          <w:color w:val="auto"/>
          <w:highlight w:val="none"/>
          <w:lang w:val="en-US" w:eastAsia="zh-CN"/>
        </w:rPr>
        <w:t>c）增加了检验规则（第6章）。</w:t>
      </w:r>
    </w:p>
    <w:p w14:paraId="1FB9F692">
      <w:pPr>
        <w:autoSpaceDE/>
        <w:autoSpaceDN/>
        <w:rPr>
          <w:rFonts w:ascii="Times New Roman" w:hAnsi="Times New Roman"/>
          <w:color w:val="auto"/>
          <w:highlight w:val="none"/>
        </w:rPr>
      </w:pPr>
      <w:r>
        <w:rPr>
          <w:rFonts w:ascii="Times New Roman" w:hAnsi="Times New Roman"/>
          <w:color w:val="auto"/>
          <w:highlight w:val="none"/>
        </w:rPr>
        <w:t>请注意本文件的某些内容可能涉及专利。本文件的发布机构不承担识别专利的责任。</w:t>
      </w:r>
    </w:p>
    <w:p w14:paraId="195AC60B">
      <w:pPr>
        <w:autoSpaceDE/>
        <w:autoSpaceDN/>
        <w:rPr>
          <w:rFonts w:hint="eastAsia" w:ascii="Times New Roman" w:hAnsi="Times New Roman"/>
          <w:color w:val="0000FF"/>
          <w:highlight w:val="none"/>
        </w:rPr>
      </w:pPr>
      <w:r>
        <w:rPr>
          <w:rFonts w:hint="eastAsia" w:ascii="Times New Roman" w:hAnsi="Times New Roman"/>
          <w:color w:val="0000FF"/>
          <w:highlight w:val="none"/>
        </w:rPr>
        <w:t>本文件由中国建筑材料联合会提出。</w:t>
      </w:r>
    </w:p>
    <w:p w14:paraId="1A149EA6">
      <w:pPr>
        <w:autoSpaceDE/>
        <w:autoSpaceDN/>
        <w:rPr>
          <w:rFonts w:ascii="Times New Roman" w:hAnsi="Times New Roman"/>
          <w:color w:val="0000FF"/>
          <w:highlight w:val="none"/>
        </w:rPr>
      </w:pPr>
      <w:r>
        <w:rPr>
          <w:rFonts w:hint="eastAsia" w:ascii="Times New Roman" w:hAnsi="Times New Roman"/>
          <w:color w:val="0000FF"/>
          <w:highlight w:val="none"/>
        </w:rPr>
        <w:t>本文件由建材工业综合标准化技术委员会归口。</w:t>
      </w:r>
    </w:p>
    <w:p w14:paraId="6EDBAFCE">
      <w:pPr>
        <w:autoSpaceDE/>
        <w:autoSpaceDN/>
        <w:rPr>
          <w:rFonts w:hint="eastAsia" w:ascii="Times New Roman" w:hAnsi="Times New Roman" w:eastAsiaTheme="minorEastAsia"/>
          <w:color w:val="auto"/>
          <w:highlight w:val="none"/>
          <w:lang w:eastAsia="zh-CN"/>
        </w:rPr>
      </w:pPr>
      <w:r>
        <w:rPr>
          <w:rFonts w:ascii="Times New Roman" w:hAnsi="Times New Roman"/>
          <w:color w:val="auto"/>
          <w:highlight w:val="none"/>
        </w:rPr>
        <w:t>本文件起草单位：木材节约发展中心</w:t>
      </w:r>
      <w:r>
        <w:rPr>
          <w:rFonts w:hint="eastAsia" w:ascii="Times New Roman" w:hAnsi="Times New Roman"/>
          <w:color w:val="auto"/>
          <w:highlight w:val="none"/>
          <w:lang w:eastAsia="zh-CN"/>
        </w:rPr>
        <w:t>。</w:t>
      </w:r>
    </w:p>
    <w:p w14:paraId="0717C0BC">
      <w:pPr>
        <w:autoSpaceDE/>
        <w:autoSpaceDN/>
        <w:rPr>
          <w:rFonts w:ascii="Times New Roman" w:hAnsi="Times New Roman"/>
          <w:color w:val="auto"/>
          <w:highlight w:val="none"/>
        </w:rPr>
      </w:pPr>
      <w:r>
        <w:rPr>
          <w:rFonts w:ascii="Times New Roman" w:hAnsi="Times New Roman"/>
          <w:color w:val="auto"/>
          <w:highlight w:val="none"/>
        </w:rPr>
        <w:t>本文件主要起草人：×××等。</w:t>
      </w:r>
    </w:p>
    <w:p w14:paraId="68D41607">
      <w:pPr>
        <w:autoSpaceDE/>
        <w:autoSpaceDN/>
        <w:rPr>
          <w:rFonts w:ascii="Times New Roman" w:hAnsi="Times New Roman"/>
          <w:color w:val="auto"/>
          <w:highlight w:val="none"/>
        </w:rPr>
      </w:pPr>
      <w:r>
        <w:rPr>
          <w:rFonts w:ascii="Times New Roman" w:hAnsi="Times New Roman"/>
          <w:color w:val="auto"/>
          <w:highlight w:val="none"/>
        </w:rPr>
        <w:t>本文件</w:t>
      </w:r>
      <w:r>
        <w:rPr>
          <w:rFonts w:hint="eastAsia" w:ascii="Times New Roman" w:hAnsi="Times New Roman"/>
          <w:color w:val="auto"/>
          <w:highlight w:val="none"/>
          <w:lang w:val="en-US" w:eastAsia="zh-CN"/>
        </w:rPr>
        <w:t>于</w:t>
      </w:r>
      <w:r>
        <w:rPr>
          <w:rFonts w:ascii="Times New Roman" w:hAnsi="Times New Roman"/>
          <w:color w:val="auto"/>
          <w:highlight w:val="none"/>
        </w:rPr>
        <w:t>2007年首次发布</w:t>
      </w:r>
      <w:r>
        <w:rPr>
          <w:rFonts w:hint="eastAsia" w:ascii="Times New Roman" w:hAnsi="Times New Roman"/>
          <w:color w:val="auto"/>
          <w:highlight w:val="none"/>
          <w:lang w:eastAsia="zh-CN"/>
        </w:rPr>
        <w:t>，</w:t>
      </w:r>
      <w:r>
        <w:rPr>
          <w:rFonts w:ascii="Times New Roman" w:hAnsi="Times New Roman"/>
          <w:color w:val="auto"/>
          <w:highlight w:val="none"/>
        </w:rPr>
        <w:t>本次为第一次修订。</w:t>
      </w:r>
      <w:bookmarkStart w:id="19" w:name="_GoBack"/>
      <w:bookmarkEnd w:id="19"/>
    </w:p>
    <w:p w14:paraId="2B5DE6DB">
      <w:pPr>
        <w:autoSpaceDE/>
        <w:autoSpaceDN/>
        <w:rPr>
          <w:rFonts w:ascii="Times New Roman" w:hAnsi="Times New Roman"/>
        </w:rPr>
      </w:pPr>
    </w:p>
    <w:p w14:paraId="4C6E3101">
      <w:pPr>
        <w:autoSpaceDE/>
        <w:autoSpaceDN/>
        <w:rPr>
          <w:rFonts w:ascii="Times New Roman" w:hAnsi="Times New Roman"/>
        </w:rPr>
      </w:pPr>
    </w:p>
    <w:p w14:paraId="3A5ADE36">
      <w:pPr>
        <w:autoSpaceDE/>
        <w:autoSpaceDN/>
        <w:rPr>
          <w:rFonts w:ascii="Times New Roman" w:hAnsi="Times New Roman"/>
        </w:rPr>
      </w:pPr>
      <w:r>
        <w:rPr>
          <w:rFonts w:ascii="Times New Roman" w:hAnsi="Times New Roman"/>
        </w:rPr>
        <w:br w:type="page"/>
      </w:r>
    </w:p>
    <w:p w14:paraId="4B0B9835">
      <w:pPr>
        <w:pStyle w:val="75"/>
        <w:rPr>
          <w:rFonts w:ascii="Times New Roman" w:hAnsi="Times New Roman" w:cs="Times New Roman"/>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16DAF3E3">
      <w:pPr>
        <w:pStyle w:val="18"/>
        <w:widowControl w:val="0"/>
        <w:tabs>
          <w:tab w:val="clear" w:pos="4201"/>
          <w:tab w:val="clear" w:pos="9298"/>
        </w:tabs>
        <w:autoSpaceDE/>
        <w:autoSpaceDN/>
        <w:ind w:firstLine="0" w:firstLineChars="0"/>
        <w:rPr>
          <w:rFonts w:ascii="Times New Roman" w:hAnsi="Times New Roman" w:eastAsia="黑体"/>
          <w:b w:val="0"/>
          <w:kern w:val="2"/>
        </w:rPr>
      </w:pPr>
      <w:r>
        <w:rPr>
          <w:rFonts w:ascii="Times New Roman" w:hAnsi="Times New Roman" w:eastAsia="黑体"/>
          <w:b w:val="0"/>
          <w:kern w:val="2"/>
        </w:rPr>
        <w:t>木材防腐剂  铜唑-B型（CA-B）</w:t>
      </w:r>
    </w:p>
    <w:p w14:paraId="68CAFBA4">
      <w:pPr>
        <w:pStyle w:val="47"/>
        <w:numPr>
          <w:ilvl w:val="0"/>
          <w:numId w:val="1"/>
        </w:numPr>
        <w:tabs>
          <w:tab w:val="clear" w:pos="0"/>
        </w:tabs>
        <w:spacing w:before="312" w:after="312"/>
        <w:rPr>
          <w:rFonts w:ascii="Times New Roman" w:hAnsi="Times New Roman"/>
        </w:rPr>
      </w:pPr>
      <w:bookmarkStart w:id="16" w:name="_Toc78802403"/>
      <w:r>
        <w:rPr>
          <w:rFonts w:ascii="Times New Roman" w:hAnsi="Times New Roman"/>
        </w:rPr>
        <w:t>范围</w:t>
      </w:r>
      <w:bookmarkEnd w:id="16"/>
    </w:p>
    <w:p w14:paraId="722371E8">
      <w:pPr>
        <w:autoSpaceDE/>
        <w:autoSpaceDN/>
        <w:rPr>
          <w:rFonts w:hint="eastAsia" w:ascii="Times New Roman" w:hAnsi="Times New Roman"/>
          <w:highlight w:val="none"/>
        </w:rPr>
      </w:pPr>
      <w:r>
        <w:rPr>
          <w:rFonts w:ascii="Times New Roman" w:hAnsi="Times New Roman"/>
        </w:rPr>
        <w:t>本标准规定了铜唑</w:t>
      </w:r>
      <w:r>
        <w:rPr>
          <w:rFonts w:hint="eastAsia" w:ascii="Times New Roman" w:hAnsi="Times New Roman"/>
          <w:lang w:val="en-US" w:eastAsia="zh-CN"/>
        </w:rPr>
        <w:t>-</w:t>
      </w:r>
      <w:r>
        <w:rPr>
          <w:rFonts w:ascii="Times New Roman" w:hAnsi="Times New Roman"/>
        </w:rPr>
        <w:t>B型（CA-B）木材防腐剂</w:t>
      </w:r>
      <w:r>
        <w:rPr>
          <w:rFonts w:ascii="Times New Roman" w:hAnsi="Times New Roman"/>
          <w:highlight w:val="none"/>
        </w:rPr>
        <w:t>的要求、试验</w:t>
      </w:r>
      <w:r>
        <w:rPr>
          <w:rFonts w:hint="eastAsia" w:ascii="Times New Roman" w:hAnsi="Times New Roman"/>
          <w:highlight w:val="none"/>
          <w:lang w:val="en-US" w:eastAsia="zh-CN"/>
        </w:rPr>
        <w:t>方法</w:t>
      </w:r>
      <w:r>
        <w:rPr>
          <w:rFonts w:ascii="Times New Roman" w:hAnsi="Times New Roman"/>
          <w:highlight w:val="none"/>
        </w:rPr>
        <w:t>、</w:t>
      </w:r>
      <w:r>
        <w:rPr>
          <w:rFonts w:hint="eastAsia" w:ascii="Times New Roman" w:hAnsi="Times New Roman"/>
          <w:highlight w:val="none"/>
          <w:lang w:val="en-US" w:eastAsia="zh-CN"/>
        </w:rPr>
        <w:t>检验规则、</w:t>
      </w:r>
      <w:r>
        <w:rPr>
          <w:rFonts w:ascii="Times New Roman" w:hAnsi="Times New Roman"/>
          <w:highlight w:val="none"/>
        </w:rPr>
        <w:t>标识、包装、运输和贮存等。</w:t>
      </w:r>
    </w:p>
    <w:p w14:paraId="54D5B562">
      <w:pPr>
        <w:autoSpaceDE/>
        <w:autoSpaceDN/>
        <w:rPr>
          <w:rFonts w:ascii="Times New Roman" w:hAnsi="Times New Roman"/>
          <w:highlight w:val="none"/>
        </w:rPr>
      </w:pPr>
      <w:r>
        <w:rPr>
          <w:rFonts w:ascii="Times New Roman" w:hAnsi="Times New Roman"/>
        </w:rPr>
        <w:t>铜唑</w:t>
      </w:r>
      <w:r>
        <w:rPr>
          <w:rFonts w:hint="eastAsia" w:ascii="Times New Roman" w:hAnsi="Times New Roman"/>
          <w:lang w:val="en-US" w:eastAsia="zh-CN"/>
        </w:rPr>
        <w:t>-</w:t>
      </w:r>
      <w:r>
        <w:rPr>
          <w:rFonts w:ascii="Times New Roman" w:hAnsi="Times New Roman"/>
        </w:rPr>
        <w:t>B型（CA-B）</w:t>
      </w:r>
      <w:r>
        <w:rPr>
          <w:rFonts w:ascii="Times New Roman" w:hAnsi="Times New Roman"/>
          <w:highlight w:val="none"/>
        </w:rPr>
        <w:t>木材防腐剂适用于</w:t>
      </w:r>
      <w:r>
        <w:rPr>
          <w:rFonts w:hint="eastAsia" w:ascii="Times New Roman" w:hAnsi="Times New Roman"/>
          <w:highlight w:val="none"/>
          <w:lang w:val="en-US" w:eastAsia="zh-CN"/>
        </w:rPr>
        <w:t>处理建筑内部及装饰、家具用材，建筑外门窗、甲板、户外家具用材</w:t>
      </w:r>
      <w:r>
        <w:rPr>
          <w:rFonts w:hint="eastAsia" w:ascii="Times New Roman" w:hAnsi="Times New Roman"/>
          <w:highlight w:val="none"/>
          <w:lang w:eastAsia="zh-CN"/>
        </w:rPr>
        <w:t>，</w:t>
      </w:r>
      <w:r>
        <w:rPr>
          <w:rFonts w:ascii="Times New Roman" w:hAnsi="Times New Roman"/>
          <w:highlight w:val="none"/>
        </w:rPr>
        <w:t>以及其他与土壤和淡水接触的木材，以达到防腐、防虫（蚁）的目的。</w:t>
      </w:r>
    </w:p>
    <w:p w14:paraId="259C6438">
      <w:pPr>
        <w:pStyle w:val="47"/>
        <w:numPr>
          <w:ilvl w:val="0"/>
          <w:numId w:val="1"/>
        </w:numPr>
        <w:tabs>
          <w:tab w:val="clear" w:pos="0"/>
        </w:tabs>
        <w:spacing w:before="312" w:after="312"/>
        <w:rPr>
          <w:rFonts w:ascii="Times New Roman" w:hAnsi="Times New Roman"/>
          <w:highlight w:val="none"/>
        </w:rPr>
      </w:pPr>
      <w:bookmarkStart w:id="17" w:name="_Toc78802404"/>
      <w:bookmarkStart w:id="18" w:name="_Toc103159536"/>
      <w:r>
        <w:rPr>
          <w:rFonts w:ascii="Times New Roman" w:hAnsi="Times New Roman"/>
          <w:highlight w:val="none"/>
        </w:rPr>
        <w:t>规范性引用文件</w:t>
      </w:r>
      <w:bookmarkEnd w:id="17"/>
      <w:bookmarkEnd w:id="18"/>
    </w:p>
    <w:p w14:paraId="7BBD763B">
      <w:pPr>
        <w:pStyle w:val="43"/>
        <w:numPr>
          <w:ilvl w:val="0"/>
          <w:numId w:val="0"/>
        </w:numPr>
        <w:autoSpaceDE/>
        <w:autoSpaceDN/>
        <w:ind w:firstLine="420" w:firstLineChars="200"/>
        <w:rPr>
          <w:rFonts w:ascii="Times New Roman" w:hAnsi="Times New Roman" w:eastAsiaTheme="minorEastAsia"/>
          <w:highlight w:val="none"/>
        </w:rPr>
      </w:pPr>
      <w:r>
        <w:rPr>
          <w:rFonts w:ascii="Times New Roman" w:hAnsi="Times New Roman" w:eastAsiaTheme="minor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E6DB6FC">
      <w:pPr>
        <w:pStyle w:val="43"/>
        <w:numPr>
          <w:ilvl w:val="0"/>
          <w:numId w:val="0"/>
        </w:numPr>
        <w:autoSpaceDE/>
        <w:autoSpaceDN/>
        <w:spacing w:before="0" w:beforeLines="0" w:after="0" w:afterLines="0"/>
        <w:ind w:left="420"/>
        <w:rPr>
          <w:rFonts w:ascii="Times New Roman" w:hAnsi="Times New Roman" w:eastAsiaTheme="minorEastAsia"/>
          <w:highlight w:val="none"/>
        </w:rPr>
      </w:pPr>
      <w:r>
        <w:rPr>
          <w:rFonts w:ascii="Times New Roman" w:hAnsi="Times New Roman"/>
          <w:highlight w:val="none"/>
        </w:rPr>
        <w:t xml:space="preserve">GB/T 14019 </w:t>
      </w:r>
      <w:r>
        <w:rPr>
          <w:rFonts w:ascii="Times New Roman" w:hAnsi="Times New Roman" w:eastAsiaTheme="minorEastAsia"/>
          <w:highlight w:val="none"/>
        </w:rPr>
        <w:t>木材防腐术语</w:t>
      </w:r>
    </w:p>
    <w:p w14:paraId="4211BDA2">
      <w:pPr>
        <w:pStyle w:val="43"/>
        <w:numPr>
          <w:ilvl w:val="0"/>
          <w:numId w:val="0"/>
        </w:numPr>
        <w:autoSpaceDE/>
        <w:autoSpaceDN/>
        <w:spacing w:before="0" w:beforeLines="0" w:after="0" w:afterLines="0"/>
        <w:ind w:left="420"/>
        <w:rPr>
          <w:rFonts w:ascii="Times New Roman" w:hAnsi="Times New Roman" w:eastAsiaTheme="minorEastAsia"/>
          <w:highlight w:val="none"/>
        </w:rPr>
      </w:pPr>
      <w:r>
        <w:rPr>
          <w:rFonts w:ascii="Times New Roman" w:hAnsi="Times New Roman" w:eastAsiaTheme="minorEastAsia"/>
          <w:highlight w:val="none"/>
        </w:rPr>
        <w:t>GB/T 23229-2023 水载型木材防腐剂的分析方法</w:t>
      </w:r>
    </w:p>
    <w:p w14:paraId="6A44A071">
      <w:pPr>
        <w:pStyle w:val="43"/>
        <w:numPr>
          <w:ilvl w:val="0"/>
          <w:numId w:val="0"/>
        </w:numPr>
        <w:autoSpaceDE/>
        <w:autoSpaceDN/>
        <w:spacing w:before="0" w:beforeLines="0" w:after="0" w:afterLines="0"/>
        <w:ind w:firstLine="420" w:firstLineChars="200"/>
        <w:rPr>
          <w:rFonts w:hint="eastAsia" w:ascii="Times New Roman" w:hAnsi="Times New Roman" w:eastAsiaTheme="minorEastAsia"/>
          <w:highlight w:val="none"/>
        </w:rPr>
      </w:pPr>
      <w:r>
        <w:rPr>
          <w:rFonts w:ascii="Times New Roman" w:hAnsi="Times New Roman" w:eastAsiaTheme="minorEastAsia"/>
          <w:highlight w:val="none"/>
        </w:rPr>
        <w:t>GB/T 27654-2023 木材防腐剂</w:t>
      </w:r>
    </w:p>
    <w:p w14:paraId="7475A29D">
      <w:pPr>
        <w:pStyle w:val="43"/>
        <w:numPr>
          <w:ilvl w:val="0"/>
          <w:numId w:val="0"/>
        </w:numPr>
        <w:autoSpaceDE/>
        <w:autoSpaceDN/>
        <w:spacing w:before="0" w:beforeLines="0" w:after="0" w:afterLines="0"/>
        <w:ind w:firstLine="420" w:firstLineChars="200"/>
        <w:rPr>
          <w:rFonts w:hint="eastAsia" w:ascii="Times New Roman" w:hAnsi="Times New Roman" w:eastAsiaTheme="minorEastAsia"/>
          <w:highlight w:val="none"/>
        </w:rPr>
      </w:pPr>
      <w:r>
        <w:rPr>
          <w:rFonts w:hint="eastAsia" w:ascii="Times New Roman" w:hAnsi="Times New Roman" w:eastAsiaTheme="minorEastAsia"/>
          <w:highlight w:val="none"/>
        </w:rPr>
        <w:t>JC/T XXXXX-20XX 防腐木材及木材防腐剂取样方法</w:t>
      </w:r>
    </w:p>
    <w:p w14:paraId="5F92C41A">
      <w:pPr>
        <w:pStyle w:val="43"/>
        <w:numPr>
          <w:ilvl w:val="0"/>
          <w:numId w:val="0"/>
        </w:numPr>
        <w:autoSpaceDE/>
        <w:autoSpaceDN/>
        <w:spacing w:before="0" w:beforeLines="0" w:after="0" w:afterLines="0"/>
        <w:ind w:firstLine="420" w:firstLineChars="200"/>
        <w:rPr>
          <w:rFonts w:hint="eastAsia" w:ascii="Times New Roman" w:hAnsi="Times New Roman" w:eastAsiaTheme="minorEastAsia"/>
          <w:highlight w:val="none"/>
          <w:lang w:val="en-US" w:eastAsia="zh-CN"/>
        </w:rPr>
      </w:pPr>
      <w:r>
        <w:rPr>
          <w:rFonts w:hint="eastAsia" w:ascii="Times New Roman" w:hAnsi="Times New Roman" w:eastAsiaTheme="minorEastAsia"/>
          <w:highlight w:val="none"/>
        </w:rPr>
        <w:t>JC/T XXXXX-20XX</w:t>
      </w:r>
      <w:r>
        <w:rPr>
          <w:rFonts w:hint="eastAsia" w:ascii="Times New Roman" w:hAnsi="Times New Roman" w:eastAsiaTheme="minorEastAsia"/>
          <w:highlight w:val="none"/>
          <w:lang w:val="en-US" w:eastAsia="zh-CN"/>
        </w:rPr>
        <w:t xml:space="preserve"> 水载型防腐剂和阻燃剂主要成分的测定</w:t>
      </w:r>
    </w:p>
    <w:p w14:paraId="5FEC5CBD">
      <w:pPr>
        <w:pStyle w:val="47"/>
        <w:numPr>
          <w:ilvl w:val="0"/>
          <w:numId w:val="1"/>
        </w:numPr>
        <w:tabs>
          <w:tab w:val="clear" w:pos="0"/>
        </w:tabs>
        <w:spacing w:before="312" w:beforeLines="100" w:after="312" w:afterLines="100"/>
        <w:ind w:firstLine="0" w:firstLineChars="0"/>
        <w:rPr>
          <w:rFonts w:ascii="Times New Roman" w:hAnsi="Times New Roman"/>
          <w:highlight w:val="none"/>
        </w:rPr>
      </w:pPr>
      <w:r>
        <w:rPr>
          <w:rFonts w:ascii="Times New Roman" w:hAnsi="Times New Roman"/>
          <w:highlight w:val="none"/>
        </w:rPr>
        <w:t>术语和定义</w:t>
      </w:r>
    </w:p>
    <w:p w14:paraId="7199D5B7">
      <w:pPr>
        <w:pStyle w:val="43"/>
        <w:numPr>
          <w:ilvl w:val="255"/>
          <w:numId w:val="0"/>
        </w:numPr>
        <w:autoSpaceDE/>
        <w:autoSpaceDN/>
        <w:spacing w:before="0" w:beforeLines="0" w:after="0" w:afterLines="0"/>
        <w:ind w:firstLine="420" w:firstLineChars="200"/>
        <w:rPr>
          <w:rFonts w:hint="eastAsia" w:ascii="Times New Roman" w:hAnsi="Times New Roman"/>
          <w:highlight w:val="none"/>
        </w:rPr>
      </w:pPr>
      <w:r>
        <w:rPr>
          <w:rFonts w:ascii="Times New Roman" w:hAnsi="Times New Roman"/>
          <w:highlight w:val="none"/>
        </w:rPr>
        <w:t>GB/T 14019界定的术语和定义适用于本文件</w:t>
      </w:r>
      <w:r>
        <w:rPr>
          <w:rFonts w:hint="eastAsia" w:ascii="Times New Roman" w:hAnsi="Times New Roman"/>
          <w:highlight w:val="none"/>
        </w:rPr>
        <w:t>。</w:t>
      </w:r>
    </w:p>
    <w:p w14:paraId="0D748A42">
      <w:pPr>
        <w:pStyle w:val="43"/>
        <w:numPr>
          <w:ilvl w:val="255"/>
          <w:numId w:val="0"/>
        </w:numPr>
        <w:autoSpaceDE/>
        <w:autoSpaceDN/>
        <w:spacing w:before="0" w:beforeLines="0" w:after="0" w:afterLines="0"/>
        <w:rPr>
          <w:rFonts w:hint="eastAsia" w:ascii="Times New Roman" w:hAnsi="Times New Roman"/>
          <w:highlight w:val="none"/>
        </w:rPr>
      </w:pPr>
      <w:r>
        <w:rPr>
          <w:rFonts w:hint="eastAsia" w:ascii="Times New Roman" w:hAnsi="Times New Roman"/>
          <w:strike w:val="0"/>
          <w:highlight w:val="none"/>
        </w:rPr>
        <w:t>3.</w:t>
      </w:r>
      <w:r>
        <w:rPr>
          <w:rFonts w:hint="eastAsia" w:ascii="Times New Roman" w:hAnsi="Times New Roman"/>
          <w:strike w:val="0"/>
          <w:highlight w:val="none"/>
          <w:lang w:eastAsia="zh-CN"/>
        </w:rPr>
        <w:t>1</w:t>
      </w:r>
    </w:p>
    <w:p w14:paraId="7F29128F">
      <w:pPr>
        <w:pStyle w:val="43"/>
        <w:numPr>
          <w:ilvl w:val="255"/>
          <w:numId w:val="0"/>
        </w:numPr>
        <w:autoSpaceDE/>
        <w:autoSpaceDN/>
        <w:spacing w:before="0" w:beforeLines="0" w:after="0" w:afterLines="0"/>
        <w:ind w:firstLine="420" w:firstLineChars="200"/>
        <w:rPr>
          <w:rFonts w:ascii="Times New Roman" w:hAnsi="Times New Roman" w:eastAsia="黑体"/>
          <w:highlight w:val="none"/>
        </w:rPr>
      </w:pPr>
      <w:r>
        <w:rPr>
          <w:rFonts w:hint="eastAsia" w:ascii="Times New Roman" w:hAnsi="Times New Roman" w:eastAsia="黑体"/>
          <w:highlight w:val="none"/>
        </w:rPr>
        <w:t>铜唑-B型（CA-B）</w:t>
      </w:r>
      <w:r>
        <w:rPr>
          <w:rFonts w:hint="eastAsia" w:ascii="Times New Roman" w:hAnsi="Times New Roman"/>
          <w:highlight w:val="none"/>
          <w:lang w:val="en-US" w:eastAsia="zh-CN"/>
        </w:rPr>
        <w:t>木材防腐剂</w:t>
      </w:r>
    </w:p>
    <w:p w14:paraId="49360ABE">
      <w:pPr>
        <w:pStyle w:val="43"/>
        <w:numPr>
          <w:ilvl w:val="255"/>
          <w:numId w:val="0"/>
        </w:numPr>
        <w:autoSpaceDE/>
        <w:autoSpaceDN/>
        <w:spacing w:before="0" w:beforeLines="0" w:after="0" w:afterLines="0"/>
        <w:ind w:firstLine="420" w:firstLineChars="200"/>
        <w:rPr>
          <w:rFonts w:hint="eastAsia" w:ascii="Times New Roman" w:hAnsi="Times New Roman" w:eastAsiaTheme="minorEastAsia"/>
          <w:highlight w:val="none"/>
        </w:rPr>
      </w:pPr>
      <w:r>
        <w:rPr>
          <w:rFonts w:ascii="Times New Roman" w:hAnsi="Times New Roman" w:eastAsiaTheme="minorEastAsia"/>
          <w:highlight w:val="none"/>
        </w:rPr>
        <w:t>以非水溶性的二价铜化合物和唑类化合物为主要活性成分，溶解在乙醇胺和表面活性剂中制得的水载型复合木材防腐剂</w:t>
      </w:r>
      <w:r>
        <w:rPr>
          <w:rFonts w:hint="eastAsia" w:ascii="Times New Roman" w:hAnsi="Times New Roman" w:eastAsiaTheme="minorEastAsia"/>
          <w:highlight w:val="none"/>
        </w:rPr>
        <w:t>。</w:t>
      </w:r>
    </w:p>
    <w:p w14:paraId="65B9EF75">
      <w:pPr>
        <w:pStyle w:val="47"/>
        <w:numPr>
          <w:ilvl w:val="255"/>
          <w:numId w:val="0"/>
        </w:numPr>
        <w:tabs>
          <w:tab w:val="clear" w:pos="0"/>
        </w:tabs>
        <w:spacing w:before="312" w:after="312"/>
        <w:rPr>
          <w:rFonts w:ascii="Times New Roman" w:hAnsi="Times New Roman"/>
          <w:highlight w:val="none"/>
        </w:rPr>
      </w:pPr>
      <w:r>
        <w:rPr>
          <w:rFonts w:hint="eastAsia" w:ascii="Times New Roman" w:hAnsi="Times New Roman"/>
          <w:highlight w:val="none"/>
        </w:rPr>
        <w:t>4</w:t>
      </w:r>
      <w:r>
        <w:rPr>
          <w:rFonts w:ascii="Times New Roman" w:hAnsi="Times New Roman"/>
          <w:highlight w:val="none"/>
        </w:rPr>
        <w:t xml:space="preserve">  要求</w:t>
      </w:r>
    </w:p>
    <w:p w14:paraId="292450EB">
      <w:pPr>
        <w:pStyle w:val="43"/>
        <w:numPr>
          <w:ilvl w:val="255"/>
          <w:numId w:val="0"/>
        </w:numPr>
        <w:spacing w:before="0" w:beforeLines="0" w:after="0" w:afterLines="0"/>
        <w:rPr>
          <w:rFonts w:ascii="Times New Roman" w:hAnsi="Times New Roman" w:eastAsiaTheme="minorEastAsia"/>
          <w:highlight w:val="none"/>
        </w:rPr>
      </w:pPr>
      <w:r>
        <w:rPr>
          <w:rFonts w:hint="eastAsia" w:ascii="Times New Roman" w:hAnsi="Times New Roman" w:eastAsiaTheme="minorEastAsia"/>
          <w:highlight w:val="none"/>
        </w:rPr>
        <w:t>4</w:t>
      </w:r>
      <w:r>
        <w:rPr>
          <w:rFonts w:ascii="Times New Roman" w:hAnsi="Times New Roman" w:eastAsiaTheme="minorEastAsia"/>
          <w:highlight w:val="none"/>
        </w:rPr>
        <w:t>.1 外观：深蓝色液体，无沉淀物。</w:t>
      </w:r>
    </w:p>
    <w:p w14:paraId="7141130C">
      <w:pPr>
        <w:pStyle w:val="43"/>
        <w:numPr>
          <w:ilvl w:val="255"/>
          <w:numId w:val="0"/>
        </w:numPr>
        <w:spacing w:before="0" w:beforeLines="0" w:after="0" w:afterLines="0"/>
        <w:rPr>
          <w:rFonts w:ascii="Times New Roman" w:hAnsi="Times New Roman" w:eastAsiaTheme="minorEastAsia"/>
          <w:highlight w:val="none"/>
        </w:rPr>
      </w:pPr>
      <w:r>
        <w:rPr>
          <w:rFonts w:hint="eastAsia" w:ascii="Times New Roman" w:hAnsi="Times New Roman" w:eastAsiaTheme="minorEastAsia"/>
          <w:highlight w:val="none"/>
        </w:rPr>
        <w:t>4</w:t>
      </w:r>
      <w:r>
        <w:rPr>
          <w:rFonts w:ascii="Times New Roman" w:hAnsi="Times New Roman" w:eastAsiaTheme="minorEastAsia"/>
          <w:highlight w:val="none"/>
        </w:rPr>
        <w:t>.2 有效成分应符合表1要求。</w:t>
      </w:r>
    </w:p>
    <w:p w14:paraId="68849EBB">
      <w:pPr>
        <w:autoSpaceDE/>
        <w:autoSpaceDN/>
        <w:ind w:firstLine="0" w:firstLineChars="0"/>
        <w:jc w:val="center"/>
        <w:rPr>
          <w:rFonts w:ascii="Times New Roman" w:hAnsi="Times New Roman"/>
          <w:b/>
          <w:bCs/>
          <w:highlight w:val="none"/>
        </w:rPr>
      </w:pPr>
      <w:r>
        <w:rPr>
          <w:rFonts w:ascii="Times New Roman" w:hAnsi="Times New Roman"/>
          <w:b/>
          <w:bCs/>
          <w:highlight w:val="none"/>
        </w:rPr>
        <w:t xml:space="preserve">表1  </w:t>
      </w:r>
      <w:r>
        <w:rPr>
          <w:rFonts w:hint="eastAsia" w:ascii="Times New Roman" w:hAnsi="Times New Roman"/>
          <w:b/>
          <w:bCs/>
          <w:highlight w:val="none"/>
        </w:rPr>
        <w:t>铜唑-B型（CA-B）</w:t>
      </w:r>
      <w:r>
        <w:rPr>
          <w:rFonts w:ascii="Times New Roman" w:hAnsi="Times New Roman"/>
          <w:b/>
          <w:bCs/>
          <w:highlight w:val="none"/>
        </w:rPr>
        <w:t>木材防腐剂有效成分表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4252"/>
      </w:tblGrid>
      <w:tr w14:paraId="26248EF0">
        <w:trPr>
          <w:jc w:val="center"/>
        </w:trPr>
        <w:tc>
          <w:tcPr>
            <w:tcW w:w="3256" w:type="dxa"/>
            <w:tcBorders>
              <w:top w:val="single" w:color="auto" w:sz="4" w:space="0"/>
              <w:left w:val="single" w:color="auto" w:sz="4" w:space="0"/>
              <w:bottom w:val="single" w:color="auto" w:sz="4" w:space="0"/>
              <w:right w:val="single" w:color="auto" w:sz="4" w:space="0"/>
            </w:tcBorders>
            <w:shd w:val="clear" w:color="auto" w:fill="auto"/>
            <w:vAlign w:val="center"/>
          </w:tcPr>
          <w:p w14:paraId="42CA5103">
            <w:pPr>
              <w:pStyle w:val="17"/>
              <w:ind w:firstLine="0" w:firstLineChars="0"/>
              <w:jc w:val="center"/>
              <w:rPr>
                <w:rFonts w:ascii="Times New Roman" w:hAnsi="Times New Roman" w:eastAsia="宋体"/>
                <w:sz w:val="18"/>
                <w:szCs w:val="18"/>
                <w:highlight w:val="none"/>
              </w:rPr>
            </w:pPr>
            <w:r>
              <w:rPr>
                <w:rFonts w:ascii="Times New Roman" w:hAnsi="Times New Roman" w:eastAsia="宋体"/>
                <w:sz w:val="18"/>
                <w:szCs w:val="18"/>
                <w:highlight w:val="none"/>
                <w:lang w:bidi="ar"/>
              </w:rPr>
              <w:t>有效成分</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14:paraId="6692BB33">
            <w:pPr>
              <w:pStyle w:val="17"/>
              <w:ind w:firstLine="0" w:firstLineChars="0"/>
              <w:jc w:val="center"/>
              <w:rPr>
                <w:rFonts w:ascii="Times New Roman" w:hAnsi="Times New Roman" w:eastAsia="宋体"/>
                <w:sz w:val="18"/>
                <w:szCs w:val="18"/>
                <w:highlight w:val="none"/>
              </w:rPr>
            </w:pPr>
            <w:r>
              <w:rPr>
                <w:rFonts w:hint="eastAsia" w:ascii="Times New Roman" w:hAnsi="Times New Roman" w:eastAsia="宋体"/>
                <w:sz w:val="18"/>
                <w:szCs w:val="18"/>
                <w:highlight w:val="none"/>
                <w:vertAlign w:val="baseline"/>
                <w:lang w:val="en-US" w:eastAsia="zh-CN" w:bidi="ar"/>
              </w:rPr>
              <w:t>比例范围</w:t>
            </w:r>
            <w:r>
              <w:rPr>
                <w:rFonts w:ascii="Times New Roman" w:hAnsi="Times New Roman" w:eastAsia="宋体"/>
                <w:sz w:val="18"/>
                <w:szCs w:val="18"/>
                <w:highlight w:val="none"/>
                <w:vertAlign w:val="superscript"/>
                <w:lang w:bidi="ar"/>
              </w:rPr>
              <w:t>a</w:t>
            </w:r>
            <w:r>
              <w:rPr>
                <w:rFonts w:ascii="Times New Roman" w:hAnsi="Times New Roman" w:eastAsia="宋体"/>
                <w:sz w:val="18"/>
                <w:szCs w:val="18"/>
                <w:highlight w:val="none"/>
                <w:lang w:bidi="ar"/>
              </w:rPr>
              <w:t>/%</w:t>
            </w:r>
          </w:p>
        </w:tc>
      </w:tr>
      <w:tr w14:paraId="5C5B2946">
        <w:trPr>
          <w:jc w:val="center"/>
        </w:trPr>
        <w:tc>
          <w:tcPr>
            <w:tcW w:w="3256" w:type="dxa"/>
            <w:tcBorders>
              <w:top w:val="single" w:color="auto" w:sz="4" w:space="0"/>
              <w:left w:val="single" w:color="auto" w:sz="4" w:space="0"/>
              <w:bottom w:val="single" w:color="auto" w:sz="4" w:space="0"/>
              <w:right w:val="single" w:color="auto" w:sz="4" w:space="0"/>
            </w:tcBorders>
            <w:shd w:val="clear" w:color="auto" w:fill="auto"/>
            <w:vAlign w:val="center"/>
          </w:tcPr>
          <w:p w14:paraId="638C46E1">
            <w:pPr>
              <w:pStyle w:val="17"/>
              <w:ind w:firstLine="0" w:firstLineChars="0"/>
              <w:jc w:val="center"/>
              <w:rPr>
                <w:rFonts w:ascii="Times New Roman" w:hAnsi="Times New Roman"/>
                <w:sz w:val="18"/>
                <w:szCs w:val="18"/>
                <w:highlight w:val="none"/>
              </w:rPr>
            </w:pPr>
            <w:r>
              <w:rPr>
                <w:rFonts w:ascii="Times New Roman" w:hAnsi="Times New Roman" w:eastAsia="宋体"/>
                <w:sz w:val="18"/>
                <w:szCs w:val="18"/>
                <w:highlight w:val="none"/>
                <w:lang w:bidi="ar"/>
              </w:rPr>
              <w:t>铜（以Cu计）</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14:paraId="178820B3">
            <w:pPr>
              <w:pStyle w:val="17"/>
              <w:ind w:firstLine="0" w:firstLineChars="0"/>
              <w:jc w:val="center"/>
              <w:rPr>
                <w:rFonts w:ascii="Times New Roman" w:hAnsi="Times New Roman"/>
                <w:sz w:val="18"/>
                <w:szCs w:val="18"/>
                <w:highlight w:val="none"/>
              </w:rPr>
            </w:pPr>
            <w:r>
              <w:rPr>
                <w:rFonts w:ascii="Times New Roman" w:hAnsi="Times New Roman" w:eastAsia="宋体"/>
                <w:sz w:val="18"/>
                <w:szCs w:val="18"/>
                <w:highlight w:val="none"/>
                <w:lang w:bidi="ar"/>
              </w:rPr>
              <w:t>95.4～96.8（96.1）</w:t>
            </w:r>
          </w:p>
        </w:tc>
      </w:tr>
      <w:tr w14:paraId="1C645BA0">
        <w:trPr>
          <w:jc w:val="center"/>
        </w:trPr>
        <w:tc>
          <w:tcPr>
            <w:tcW w:w="3256" w:type="dxa"/>
            <w:tcBorders>
              <w:top w:val="single" w:color="auto" w:sz="4" w:space="0"/>
              <w:left w:val="single" w:color="auto" w:sz="4" w:space="0"/>
              <w:bottom w:val="single" w:color="auto" w:sz="4" w:space="0"/>
              <w:right w:val="single" w:color="auto" w:sz="4" w:space="0"/>
            </w:tcBorders>
            <w:shd w:val="clear" w:color="auto" w:fill="auto"/>
            <w:vAlign w:val="center"/>
          </w:tcPr>
          <w:p w14:paraId="304B4FC0">
            <w:pPr>
              <w:pStyle w:val="17"/>
              <w:ind w:firstLine="0" w:firstLineChars="0"/>
              <w:jc w:val="center"/>
              <w:rPr>
                <w:rFonts w:hint="eastAsia" w:ascii="Times New Roman" w:hAnsi="Times New Roman" w:eastAsia="宋体" w:cs="Times New Roman"/>
                <w:sz w:val="18"/>
                <w:szCs w:val="18"/>
                <w:highlight w:val="none"/>
              </w:rPr>
            </w:pPr>
            <w:r>
              <w:rPr>
                <w:rFonts w:ascii="Times New Roman" w:hAnsi="Times New Roman" w:eastAsia="宋体"/>
                <w:sz w:val="18"/>
                <w:szCs w:val="18"/>
                <w:highlight w:val="none"/>
                <w:lang w:bidi="ar"/>
              </w:rPr>
              <w:t>唑（以戊唑醇</w:t>
            </w:r>
            <w:r>
              <w:rPr>
                <w:rFonts w:hint="eastAsia" w:ascii="Times New Roman" w:hAnsi="Times New Roman" w:eastAsia="宋体"/>
                <w:sz w:val="18"/>
                <w:szCs w:val="18"/>
                <w:highlight w:val="none"/>
                <w:lang w:eastAsia="zh-CN" w:bidi="ar"/>
              </w:rPr>
              <w:t>、</w:t>
            </w:r>
            <w:r>
              <w:rPr>
                <w:rFonts w:hint="eastAsia" w:ascii="Times New Roman" w:hAnsi="Times New Roman" w:eastAsia="宋体"/>
                <w:sz w:val="18"/>
                <w:szCs w:val="18"/>
                <w:highlight w:val="none"/>
                <w:lang w:val="en-US" w:eastAsia="zh-CN" w:bidi="ar"/>
              </w:rPr>
              <w:t>丙环唑</w:t>
            </w:r>
            <w:r>
              <w:rPr>
                <w:rFonts w:ascii="Times New Roman" w:hAnsi="Times New Roman" w:eastAsia="宋体"/>
                <w:sz w:val="18"/>
                <w:szCs w:val="18"/>
                <w:highlight w:val="none"/>
                <w:lang w:bidi="ar"/>
              </w:rPr>
              <w:t>计）</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14:paraId="543F531D">
            <w:pPr>
              <w:pStyle w:val="17"/>
              <w:ind w:firstLine="0" w:firstLineChars="0"/>
              <w:jc w:val="center"/>
              <w:rPr>
                <w:rFonts w:ascii="Times New Roman" w:hAnsi="Times New Roman"/>
                <w:sz w:val="18"/>
                <w:szCs w:val="18"/>
                <w:highlight w:val="none"/>
              </w:rPr>
            </w:pPr>
            <w:r>
              <w:rPr>
                <w:rFonts w:ascii="Times New Roman" w:hAnsi="Times New Roman" w:eastAsia="宋体"/>
                <w:sz w:val="18"/>
                <w:szCs w:val="18"/>
                <w:highlight w:val="none"/>
                <w:lang w:bidi="ar"/>
              </w:rPr>
              <w:t>3.2～4.6（3.9）</w:t>
            </w:r>
          </w:p>
        </w:tc>
      </w:tr>
      <w:tr w14:paraId="317B01F8">
        <w:trPr>
          <w:jc w:val="center"/>
        </w:trPr>
        <w:tc>
          <w:tcPr>
            <w:tcW w:w="75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1BC5AB">
            <w:pPr>
              <w:pStyle w:val="17"/>
              <w:ind w:firstLine="0" w:firstLineChars="0"/>
              <w:rPr>
                <w:rFonts w:ascii="Times New Roman" w:hAnsi="Times New Roman" w:eastAsia="宋体"/>
                <w:sz w:val="18"/>
                <w:szCs w:val="18"/>
                <w:highlight w:val="none"/>
              </w:rPr>
            </w:pPr>
            <w:r>
              <w:rPr>
                <w:rFonts w:ascii="Times New Roman" w:hAnsi="Times New Roman" w:eastAsia="宋体"/>
                <w:szCs w:val="24"/>
                <w:highlight w:val="none"/>
                <w:vertAlign w:val="superscript"/>
                <w:lang w:bidi="ar"/>
              </w:rPr>
              <w:t>a</w:t>
            </w:r>
            <w:r>
              <w:rPr>
                <w:rFonts w:ascii="Times New Roman" w:hAnsi="Times New Roman" w:eastAsia="宋体"/>
                <w:sz w:val="18"/>
                <w:szCs w:val="18"/>
                <w:highlight w:val="none"/>
                <w:lang w:bidi="ar"/>
              </w:rPr>
              <w:t>括号内的数值为代表性值。</w:t>
            </w:r>
          </w:p>
        </w:tc>
      </w:tr>
    </w:tbl>
    <w:p w14:paraId="5707608F">
      <w:pPr>
        <w:pStyle w:val="43"/>
        <w:numPr>
          <w:ilvl w:val="255"/>
          <w:numId w:val="0"/>
        </w:numPr>
        <w:spacing w:before="0" w:beforeLines="0" w:after="0" w:afterLines="0"/>
        <w:rPr>
          <w:rFonts w:ascii="Times New Roman" w:hAnsi="Times New Roman" w:eastAsiaTheme="minorEastAsia"/>
          <w:highlight w:val="none"/>
        </w:rPr>
      </w:pPr>
      <w:r>
        <w:rPr>
          <w:rFonts w:hint="eastAsia" w:ascii="Times New Roman" w:hAnsi="Times New Roman" w:eastAsiaTheme="minorEastAsia"/>
          <w:highlight w:val="none"/>
        </w:rPr>
        <w:t>4</w:t>
      </w:r>
      <w:r>
        <w:rPr>
          <w:rFonts w:ascii="Times New Roman" w:hAnsi="Times New Roman" w:eastAsiaTheme="minorEastAsia"/>
          <w:highlight w:val="none"/>
        </w:rPr>
        <w:t>.3</w:t>
      </w:r>
      <w:r>
        <w:rPr>
          <w:rFonts w:hint="eastAsia" w:ascii="Times New Roman" w:hAnsi="Times New Roman" w:eastAsiaTheme="minorEastAsia"/>
          <w:highlight w:val="none"/>
        </w:rPr>
        <w:t xml:space="preserve"> </w:t>
      </w:r>
      <w:r>
        <w:rPr>
          <w:rFonts w:ascii="Times New Roman" w:hAnsi="Times New Roman" w:eastAsiaTheme="minorEastAsia"/>
          <w:highlight w:val="none"/>
        </w:rPr>
        <w:t xml:space="preserve"> pH值：9</w:t>
      </w:r>
      <w:r>
        <w:rPr>
          <w:rFonts w:hint="eastAsia" w:ascii="Times New Roman" w:hAnsi="Times New Roman" w:eastAsiaTheme="minorEastAsia"/>
          <w:highlight w:val="none"/>
          <w:lang w:val="en-US" w:eastAsia="zh-CN"/>
        </w:rPr>
        <w:t>.0</w:t>
      </w:r>
      <w:r>
        <w:rPr>
          <w:rFonts w:ascii="Times New Roman" w:hAnsi="Times New Roman" w:eastAsiaTheme="minorEastAsia"/>
          <w:highlight w:val="none"/>
        </w:rPr>
        <w:t>～12</w:t>
      </w:r>
      <w:r>
        <w:rPr>
          <w:rFonts w:hint="eastAsia" w:ascii="Times New Roman" w:hAnsi="Times New Roman" w:eastAsiaTheme="minorEastAsia"/>
          <w:highlight w:val="none"/>
          <w:lang w:val="en-US" w:eastAsia="zh-CN"/>
        </w:rPr>
        <w:t>.0</w:t>
      </w:r>
      <w:r>
        <w:rPr>
          <w:rFonts w:ascii="Times New Roman" w:hAnsi="Times New Roman" w:eastAsiaTheme="minorEastAsia"/>
          <w:highlight w:val="none"/>
        </w:rPr>
        <w:t>。</w:t>
      </w:r>
    </w:p>
    <w:p w14:paraId="51102324">
      <w:pPr>
        <w:pStyle w:val="43"/>
        <w:numPr>
          <w:ilvl w:val="255"/>
          <w:numId w:val="0"/>
        </w:numPr>
        <w:spacing w:before="0" w:beforeLines="0" w:after="0" w:afterLines="0"/>
        <w:rPr>
          <w:rFonts w:ascii="Times New Roman" w:hAnsi="Times New Roman" w:eastAsiaTheme="minorEastAsia"/>
          <w:highlight w:val="none"/>
        </w:rPr>
      </w:pPr>
      <w:r>
        <w:rPr>
          <w:rFonts w:hint="eastAsia" w:ascii="Times New Roman" w:hAnsi="Times New Roman" w:eastAsiaTheme="minorEastAsia"/>
          <w:highlight w:val="none"/>
        </w:rPr>
        <w:t>4</w:t>
      </w:r>
      <w:r>
        <w:rPr>
          <w:rFonts w:ascii="Times New Roman" w:hAnsi="Times New Roman" w:eastAsiaTheme="minorEastAsia"/>
          <w:highlight w:val="none"/>
        </w:rPr>
        <w:t>.4 二价铜化合物原料应该是纯度高于95%（无水基）的碱式碳酸铜、氧化铜等，不能用硫酸铜、氯化铜等水溶性铜盐。戊唑醇</w:t>
      </w:r>
      <w:r>
        <w:rPr>
          <w:rFonts w:hint="eastAsia" w:ascii="Times New Roman" w:hAnsi="Times New Roman" w:eastAsiaTheme="minorEastAsia"/>
          <w:highlight w:val="none"/>
          <w:lang w:val="en-US" w:eastAsia="zh-CN"/>
        </w:rPr>
        <w:t>和丙环唑</w:t>
      </w:r>
      <w:r>
        <w:rPr>
          <w:rFonts w:ascii="Times New Roman" w:hAnsi="Times New Roman" w:eastAsiaTheme="minorEastAsia"/>
          <w:highlight w:val="none"/>
        </w:rPr>
        <w:t>（无水基）原料的纯度应高于95%。</w:t>
      </w:r>
    </w:p>
    <w:p w14:paraId="73210A12">
      <w:pPr>
        <w:pStyle w:val="43"/>
        <w:numPr>
          <w:ilvl w:val="255"/>
          <w:numId w:val="0"/>
        </w:numPr>
        <w:spacing w:before="0" w:beforeLines="0" w:after="0" w:afterLines="0"/>
        <w:rPr>
          <w:rFonts w:ascii="Times New Roman" w:hAnsi="Times New Roman" w:eastAsiaTheme="minorEastAsia"/>
          <w:highlight w:val="none"/>
        </w:rPr>
      </w:pPr>
      <w:r>
        <w:rPr>
          <w:rFonts w:hint="eastAsia" w:ascii="Times New Roman" w:hAnsi="Times New Roman" w:eastAsiaTheme="minorEastAsia"/>
          <w:highlight w:val="none"/>
        </w:rPr>
        <w:t>4</w:t>
      </w:r>
      <w:r>
        <w:rPr>
          <w:rFonts w:ascii="Times New Roman" w:hAnsi="Times New Roman" w:eastAsiaTheme="minorEastAsia"/>
          <w:highlight w:val="none"/>
        </w:rPr>
        <w:t>.5 配置</w:t>
      </w:r>
      <w:r>
        <w:rPr>
          <w:rFonts w:hint="eastAsia" w:ascii="Times New Roman" w:hAnsi="Times New Roman" w:eastAsiaTheme="minorEastAsia"/>
          <w:highlight w:val="none"/>
        </w:rPr>
        <w:t>铜唑-B型（CA-B）</w:t>
      </w:r>
      <w:r>
        <w:rPr>
          <w:rFonts w:hint="eastAsia" w:ascii="Times New Roman" w:hAnsi="Times New Roman" w:eastAsiaTheme="minorEastAsia"/>
          <w:highlight w:val="none"/>
          <w:lang w:val="en-US" w:eastAsia="zh-CN"/>
        </w:rPr>
        <w:t>木材</w:t>
      </w:r>
      <w:r>
        <w:rPr>
          <w:rFonts w:ascii="Times New Roman" w:hAnsi="Times New Roman" w:eastAsiaTheme="minorEastAsia"/>
          <w:highlight w:val="none"/>
        </w:rPr>
        <w:t>防腐剂时，</w:t>
      </w:r>
      <w:r>
        <w:rPr>
          <w:rFonts w:hint="eastAsia" w:ascii="Times New Roman" w:hAnsi="Times New Roman" w:eastAsiaTheme="minorEastAsia"/>
          <w:highlight w:val="none"/>
        </w:rPr>
        <w:t>二价铜应溶于乙醇胺或氨的水溶液中。用乙醇胺时，处理液中所含乙醇胺的质量应为铜质量的（3.8±0.2）倍；当乙醇胺和氨水混合使用时，它们的量应足够使铜溶解。</w:t>
      </w:r>
    </w:p>
    <w:p w14:paraId="558C4741">
      <w:pPr>
        <w:pStyle w:val="47"/>
        <w:numPr>
          <w:ilvl w:val="255"/>
          <w:numId w:val="0"/>
        </w:numPr>
        <w:tabs>
          <w:tab w:val="clear" w:pos="0"/>
        </w:tabs>
        <w:spacing w:before="312" w:after="312"/>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 xml:space="preserve"> 试验方法</w:t>
      </w:r>
    </w:p>
    <w:p w14:paraId="34FFA9AA">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 xml:space="preserve">1 </w:t>
      </w:r>
      <w:r>
        <w:rPr>
          <w:rFonts w:ascii="Times New Roman" w:hAnsi="Times New Roman"/>
          <w:highlight w:val="none"/>
        </w:rPr>
        <w:t>试剂</w:t>
      </w:r>
    </w:p>
    <w:p w14:paraId="4F1CA138">
      <w:pPr>
        <w:autoSpaceDE/>
        <w:autoSpaceDN/>
        <w:rPr>
          <w:rFonts w:ascii="Times New Roman" w:hAnsi="Times New Roman"/>
          <w:highlight w:val="none"/>
        </w:rPr>
      </w:pPr>
      <w:r>
        <w:rPr>
          <w:rFonts w:ascii="Times New Roman" w:hAnsi="Times New Roman"/>
          <w:highlight w:val="none"/>
        </w:rPr>
        <w:t>本标准中所使用的水除特别注明外，均为蒸馏水或去离子水。所用的化学试剂除特别注明外，均为分析纯级化学试剂。</w:t>
      </w:r>
    </w:p>
    <w:p w14:paraId="1861BF9B">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 xml:space="preserve">2 </w:t>
      </w:r>
      <w:r>
        <w:rPr>
          <w:rFonts w:ascii="Times New Roman" w:hAnsi="Times New Roman"/>
          <w:highlight w:val="none"/>
        </w:rPr>
        <w:t>铜的含量测定</w:t>
      </w:r>
    </w:p>
    <w:p w14:paraId="7900641D">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2</w:t>
      </w:r>
      <w:r>
        <w:rPr>
          <w:rFonts w:ascii="Times New Roman" w:hAnsi="Times New Roman"/>
          <w:highlight w:val="none"/>
        </w:rPr>
        <w:t>.1  滴定法</w:t>
      </w:r>
    </w:p>
    <w:p w14:paraId="3CFEE66B">
      <w:pPr>
        <w:autoSpaceDE/>
        <w:autoSpaceDN/>
        <w:rPr>
          <w:rFonts w:ascii="Times New Roman" w:hAnsi="Times New Roman"/>
          <w:color w:val="EE0000"/>
          <w:highlight w:val="none"/>
        </w:rPr>
      </w:pPr>
      <w:r>
        <w:rPr>
          <w:rFonts w:hint="eastAsia" w:ascii="Times New Roman" w:hAnsi="Times New Roman"/>
          <w:highlight w:val="none"/>
          <w:lang w:val="en-US" w:eastAsia="zh-CN"/>
        </w:rPr>
        <w:t>滴定法</w:t>
      </w:r>
      <w:r>
        <w:rPr>
          <w:rFonts w:hint="eastAsia" w:ascii="Times New Roman" w:hAnsi="Times New Roman"/>
          <w:highlight w:val="none"/>
        </w:rPr>
        <w:t>测定铜含量参照JC/T XXXXX-20XX</w:t>
      </w:r>
      <w:r>
        <w:rPr>
          <w:rFonts w:hint="eastAsia" w:ascii="Times New Roman" w:hAnsi="Times New Roman" w:eastAsiaTheme="minorEastAsia"/>
          <w:highlight w:val="none"/>
          <w:lang w:val="en-US" w:eastAsia="zh-CN"/>
        </w:rPr>
        <w:t>水载型防腐剂和阻燃剂主要成分的测定</w:t>
      </w:r>
      <w:r>
        <w:rPr>
          <w:rFonts w:hint="eastAsia" w:ascii="Times New Roman" w:hAnsi="Times New Roman"/>
          <w:highlight w:val="none"/>
        </w:rPr>
        <w:t>中xx进行。</w:t>
      </w:r>
    </w:p>
    <w:p w14:paraId="40E5CA57">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2</w:t>
      </w:r>
      <w:r>
        <w:rPr>
          <w:rFonts w:ascii="Times New Roman" w:hAnsi="Times New Roman"/>
          <w:highlight w:val="none"/>
        </w:rPr>
        <w:t>.2  原子吸收光谱法</w:t>
      </w:r>
    </w:p>
    <w:p w14:paraId="4A903376">
      <w:pPr>
        <w:autoSpaceDE/>
        <w:autoSpaceDN/>
        <w:rPr>
          <w:rFonts w:ascii="Times New Roman" w:hAnsi="Times New Roman"/>
          <w:highlight w:val="none"/>
        </w:rPr>
      </w:pPr>
      <w:r>
        <w:rPr>
          <w:rFonts w:hint="eastAsia" w:ascii="Times New Roman" w:hAnsi="Times New Roman"/>
          <w:highlight w:val="none"/>
          <w:lang w:val="en-US" w:eastAsia="zh-CN"/>
        </w:rPr>
        <w:t>原子吸收光谱法</w:t>
      </w:r>
      <w:r>
        <w:rPr>
          <w:rFonts w:ascii="Times New Roman" w:hAnsi="Times New Roman"/>
          <w:highlight w:val="none"/>
        </w:rPr>
        <w:t>测定铜含量参照GB/T 23229-20</w:t>
      </w:r>
      <w:r>
        <w:rPr>
          <w:rFonts w:hint="eastAsia" w:ascii="Times New Roman" w:hAnsi="Times New Roman"/>
          <w:highlight w:val="none"/>
        </w:rPr>
        <w:t>23</w:t>
      </w:r>
      <w:r>
        <w:rPr>
          <w:rFonts w:ascii="Times New Roman" w:hAnsi="Times New Roman"/>
          <w:highlight w:val="none"/>
        </w:rPr>
        <w:t>中4.</w:t>
      </w:r>
      <w:r>
        <w:rPr>
          <w:rFonts w:hint="eastAsia" w:ascii="Times New Roman" w:hAnsi="Times New Roman"/>
          <w:highlight w:val="none"/>
        </w:rPr>
        <w:t>1</w:t>
      </w:r>
      <w:r>
        <w:rPr>
          <w:rFonts w:ascii="Times New Roman" w:hAnsi="Times New Roman"/>
          <w:highlight w:val="none"/>
        </w:rPr>
        <w:t>进行。</w:t>
      </w:r>
    </w:p>
    <w:p w14:paraId="19131720">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3</w:t>
      </w:r>
      <w:r>
        <w:rPr>
          <w:rFonts w:ascii="Times New Roman" w:hAnsi="Times New Roman"/>
          <w:highlight w:val="none"/>
        </w:rPr>
        <w:t>　</w:t>
      </w:r>
      <w:r>
        <w:rPr>
          <w:rFonts w:hint="eastAsia" w:ascii="Times New Roman" w:hAnsi="Times New Roman"/>
          <w:highlight w:val="none"/>
        </w:rPr>
        <w:t>戊唑醇</w:t>
      </w:r>
      <w:r>
        <w:rPr>
          <w:rFonts w:hint="eastAsia" w:ascii="Times New Roman" w:hAnsi="Times New Roman"/>
          <w:highlight w:val="none"/>
          <w:lang w:eastAsia="zh-CN"/>
        </w:rPr>
        <w:t>、</w:t>
      </w:r>
      <w:r>
        <w:rPr>
          <w:rFonts w:hint="eastAsia" w:ascii="Times New Roman" w:hAnsi="Times New Roman"/>
          <w:highlight w:val="none"/>
          <w:lang w:val="en-US" w:eastAsia="zh-CN"/>
        </w:rPr>
        <w:t>丙环唑的</w:t>
      </w:r>
      <w:r>
        <w:rPr>
          <w:rFonts w:ascii="Times New Roman" w:hAnsi="Times New Roman"/>
          <w:highlight w:val="none"/>
        </w:rPr>
        <w:t>含量测定</w:t>
      </w:r>
    </w:p>
    <w:p w14:paraId="66D9D855">
      <w:pPr>
        <w:pStyle w:val="43"/>
        <w:numPr>
          <w:ilvl w:val="0"/>
          <w:numId w:val="0"/>
        </w:numPr>
        <w:autoSpaceDE/>
        <w:autoSpaceDN/>
        <w:rPr>
          <w:rFonts w:hint="eastAsia" w:ascii="Times New Roman" w:hAnsi="Times New Roman"/>
          <w:color w:val="auto"/>
          <w:highlight w:val="none"/>
        </w:rPr>
      </w:pPr>
      <w:r>
        <w:rPr>
          <w:rFonts w:hint="eastAsia" w:ascii="Times New Roman" w:hAnsi="Times New Roman"/>
          <w:color w:val="auto"/>
          <w:highlight w:val="none"/>
        </w:rPr>
        <w:t>5</w:t>
      </w:r>
      <w:r>
        <w:rPr>
          <w:rFonts w:ascii="Times New Roman" w:hAnsi="Times New Roman"/>
          <w:color w:val="auto"/>
          <w:highlight w:val="none"/>
        </w:rPr>
        <w:t>.</w:t>
      </w:r>
      <w:r>
        <w:rPr>
          <w:rFonts w:hint="eastAsia" w:ascii="Times New Roman" w:hAnsi="Times New Roman"/>
          <w:color w:val="auto"/>
          <w:highlight w:val="none"/>
        </w:rPr>
        <w:t>3</w:t>
      </w:r>
      <w:r>
        <w:rPr>
          <w:rFonts w:ascii="Times New Roman" w:hAnsi="Times New Roman"/>
          <w:color w:val="auto"/>
          <w:highlight w:val="none"/>
        </w:rPr>
        <w:t>.1  高效液相色谱法</w:t>
      </w:r>
    </w:p>
    <w:p w14:paraId="67AE2A70">
      <w:pPr>
        <w:autoSpaceDE/>
        <w:autoSpaceDN/>
        <w:rPr>
          <w:rFonts w:ascii="Times New Roman" w:hAnsi="Times New Roman"/>
          <w:color w:val="EE0000"/>
          <w:highlight w:val="none"/>
        </w:rPr>
      </w:pPr>
      <w:r>
        <w:rPr>
          <w:rFonts w:hint="eastAsia" w:ascii="Times New Roman" w:hAnsi="Times New Roman"/>
          <w:highlight w:val="none"/>
          <w:lang w:val="en-US" w:eastAsia="zh-CN"/>
        </w:rPr>
        <w:t>高效液相色谱法测定</w:t>
      </w:r>
      <w:r>
        <w:rPr>
          <w:rFonts w:hint="eastAsia" w:ascii="Times New Roman" w:hAnsi="Times New Roman"/>
          <w:highlight w:val="none"/>
        </w:rPr>
        <w:t>戊唑醇</w:t>
      </w:r>
      <w:r>
        <w:rPr>
          <w:rFonts w:hint="eastAsia" w:ascii="Times New Roman" w:hAnsi="Times New Roman"/>
          <w:highlight w:val="none"/>
          <w:lang w:eastAsia="zh-CN"/>
        </w:rPr>
        <w:t>、</w:t>
      </w:r>
      <w:r>
        <w:rPr>
          <w:rFonts w:hint="eastAsia" w:ascii="Times New Roman" w:hAnsi="Times New Roman"/>
          <w:highlight w:val="none"/>
          <w:lang w:val="en-US" w:eastAsia="zh-CN"/>
        </w:rPr>
        <w:t>丙环唑</w:t>
      </w:r>
      <w:r>
        <w:rPr>
          <w:rFonts w:hint="eastAsia" w:ascii="Times New Roman" w:hAnsi="Times New Roman"/>
          <w:highlight w:val="none"/>
        </w:rPr>
        <w:t>含量参照JC/T XXXXX-20XX</w:t>
      </w:r>
      <w:r>
        <w:rPr>
          <w:rFonts w:hint="eastAsia" w:ascii="Times New Roman" w:hAnsi="Times New Roman" w:eastAsiaTheme="minorEastAsia"/>
          <w:highlight w:val="none"/>
          <w:lang w:val="en-US" w:eastAsia="zh-CN"/>
        </w:rPr>
        <w:t>水载型防腐剂和阻燃剂主要成分的测定</w:t>
      </w:r>
      <w:r>
        <w:rPr>
          <w:rFonts w:hint="eastAsia" w:ascii="Times New Roman" w:hAnsi="Times New Roman"/>
          <w:highlight w:val="none"/>
        </w:rPr>
        <w:t>中xx进行。</w:t>
      </w:r>
    </w:p>
    <w:p w14:paraId="6B4A7D5D">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3</w:t>
      </w:r>
      <w:r>
        <w:rPr>
          <w:rFonts w:ascii="Times New Roman" w:hAnsi="Times New Roman"/>
          <w:highlight w:val="none"/>
        </w:rPr>
        <w:t>.2  三重四极杆液质联用法</w:t>
      </w:r>
    </w:p>
    <w:p w14:paraId="3A440D65">
      <w:pPr>
        <w:autoSpaceDE/>
        <w:autoSpaceDN/>
        <w:rPr>
          <w:rFonts w:ascii="Times New Roman" w:hAnsi="Times New Roman"/>
          <w:highlight w:val="none"/>
        </w:rPr>
      </w:pPr>
      <w:r>
        <w:rPr>
          <w:rFonts w:hint="default" w:ascii="Times New Roman" w:hAnsi="Times New Roman"/>
          <w:highlight w:val="none"/>
          <w:lang w:val="en-US" w:eastAsia="zh-CN"/>
        </w:rPr>
        <w:t>三重四极杆液质联用法测定</w:t>
      </w:r>
      <w:r>
        <w:rPr>
          <w:rFonts w:hint="eastAsia" w:ascii="Times New Roman" w:hAnsi="Times New Roman"/>
          <w:highlight w:val="none"/>
        </w:rPr>
        <w:t>戊唑醇</w:t>
      </w:r>
      <w:r>
        <w:rPr>
          <w:rFonts w:hint="eastAsia" w:ascii="Times New Roman" w:hAnsi="Times New Roman"/>
          <w:highlight w:val="none"/>
          <w:lang w:eastAsia="zh-CN"/>
        </w:rPr>
        <w:t>、</w:t>
      </w:r>
      <w:r>
        <w:rPr>
          <w:rFonts w:hint="eastAsia" w:ascii="Times New Roman" w:hAnsi="Times New Roman"/>
          <w:highlight w:val="none"/>
          <w:lang w:val="en-US" w:eastAsia="zh-CN"/>
        </w:rPr>
        <w:t>丙环唑</w:t>
      </w:r>
      <w:r>
        <w:rPr>
          <w:rFonts w:hint="eastAsia" w:ascii="Times New Roman" w:hAnsi="Times New Roman"/>
          <w:highlight w:val="none"/>
        </w:rPr>
        <w:t>含量参照JC/T XXXXX-20XX</w:t>
      </w:r>
      <w:r>
        <w:rPr>
          <w:rFonts w:hint="eastAsia" w:ascii="Times New Roman" w:hAnsi="Times New Roman" w:eastAsiaTheme="minorEastAsia"/>
          <w:highlight w:val="none"/>
          <w:lang w:val="en-US" w:eastAsia="zh-CN"/>
        </w:rPr>
        <w:t>水载型防腐剂和阻燃剂主要成分的测定</w:t>
      </w:r>
      <w:r>
        <w:rPr>
          <w:rFonts w:hint="eastAsia" w:ascii="Times New Roman" w:hAnsi="Times New Roman"/>
          <w:highlight w:val="none"/>
        </w:rPr>
        <w:t>中xx进行。</w:t>
      </w:r>
    </w:p>
    <w:p w14:paraId="5FC2AE09">
      <w:pPr>
        <w:pStyle w:val="43"/>
        <w:numPr>
          <w:ilvl w:val="0"/>
          <w:numId w:val="0"/>
        </w:numPr>
        <w:rPr>
          <w:rFonts w:ascii="Times New Roman" w:hAnsi="Times New Roman"/>
          <w:highlight w:val="none"/>
        </w:rPr>
      </w:pPr>
      <w:r>
        <w:rPr>
          <w:rFonts w:hint="eastAsia" w:ascii="Times New Roman" w:hAnsi="Times New Roman"/>
          <w:highlight w:val="none"/>
        </w:rPr>
        <w:t>5</w:t>
      </w:r>
      <w:r>
        <w:rPr>
          <w:rFonts w:ascii="Times New Roman" w:hAnsi="Times New Roman"/>
          <w:highlight w:val="none"/>
        </w:rPr>
        <w:t>.</w:t>
      </w:r>
      <w:r>
        <w:rPr>
          <w:rFonts w:hint="eastAsia" w:ascii="Times New Roman" w:hAnsi="Times New Roman"/>
          <w:highlight w:val="none"/>
        </w:rPr>
        <w:t xml:space="preserve">4 </w:t>
      </w:r>
      <w:r>
        <w:rPr>
          <w:rFonts w:ascii="Times New Roman" w:hAnsi="Times New Roman"/>
          <w:highlight w:val="none"/>
        </w:rPr>
        <w:t>pH值的测定</w:t>
      </w:r>
    </w:p>
    <w:p w14:paraId="4A9B8103">
      <w:pPr>
        <w:autoSpaceDE/>
        <w:autoSpaceDN/>
        <w:rPr>
          <w:rFonts w:ascii="Times New Roman" w:hAnsi="Times New Roman"/>
          <w:highlight w:val="none"/>
        </w:rPr>
      </w:pPr>
      <w:r>
        <w:rPr>
          <w:rFonts w:ascii="Times New Roman" w:hAnsi="Times New Roman"/>
          <w:highlight w:val="none"/>
        </w:rPr>
        <w:t>用水</w:t>
      </w:r>
      <w:r>
        <w:rPr>
          <w:rFonts w:hint="eastAsia" w:ascii="Times New Roman" w:hAnsi="Times New Roman"/>
          <w:highlight w:val="none"/>
          <w:lang w:val="en-US" w:eastAsia="zh-CN"/>
        </w:rPr>
        <w:t>将待测防腐剂</w:t>
      </w:r>
      <w:r>
        <w:rPr>
          <w:rFonts w:ascii="Times New Roman" w:hAnsi="Times New Roman"/>
          <w:highlight w:val="none"/>
        </w:rPr>
        <w:t>稀释</w:t>
      </w:r>
      <w:r>
        <w:rPr>
          <w:rFonts w:hint="eastAsia" w:ascii="Times New Roman" w:hAnsi="Times New Roman"/>
          <w:highlight w:val="none"/>
          <w:lang w:val="en-US" w:eastAsia="zh-CN"/>
        </w:rPr>
        <w:t>为</w:t>
      </w:r>
      <w:r>
        <w:rPr>
          <w:rFonts w:ascii="Times New Roman" w:hAnsi="Times New Roman"/>
          <w:highlight w:val="none"/>
        </w:rPr>
        <w:t>约2</w:t>
      </w:r>
      <w:r>
        <w:rPr>
          <w:rFonts w:hint="eastAsia" w:ascii="Times New Roman" w:hAnsi="Times New Roman"/>
          <w:highlight w:val="none"/>
          <w:lang w:val="en-US" w:eastAsia="zh-CN"/>
        </w:rPr>
        <w:t>%</w:t>
      </w:r>
      <w:r>
        <w:rPr>
          <w:rFonts w:ascii="Times New Roman" w:hAnsi="Times New Roman"/>
          <w:highlight w:val="none"/>
        </w:rPr>
        <w:t>有效成分含量的稀溶液，可用</w:t>
      </w:r>
      <w:r>
        <w:rPr>
          <w:rFonts w:hint="eastAsia" w:ascii="Times New Roman" w:hAnsi="Times New Roman"/>
          <w:highlight w:val="none"/>
          <w:lang w:val="en-US" w:eastAsia="zh-CN"/>
        </w:rPr>
        <w:t>pH</w:t>
      </w:r>
      <w:r>
        <w:rPr>
          <w:rFonts w:ascii="Times New Roman" w:hAnsi="Times New Roman"/>
          <w:highlight w:val="none"/>
        </w:rPr>
        <w:t>计、自动电位滴定仪或其它等效的方法测定</w:t>
      </w:r>
      <w:r>
        <w:rPr>
          <w:rFonts w:hint="eastAsia" w:ascii="Times New Roman" w:hAnsi="Times New Roman"/>
          <w:highlight w:val="none"/>
          <w:lang w:val="en-US" w:eastAsia="zh-CN"/>
        </w:rPr>
        <w:t>其pH值</w:t>
      </w:r>
      <w:r>
        <w:rPr>
          <w:rFonts w:ascii="Times New Roman" w:hAnsi="Times New Roman"/>
          <w:highlight w:val="none"/>
        </w:rPr>
        <w:t>，</w:t>
      </w:r>
      <w:r>
        <w:rPr>
          <w:rFonts w:hint="eastAsia" w:ascii="Times New Roman" w:hAnsi="Times New Roman"/>
          <w:highlight w:val="none"/>
          <w:lang w:val="en-US" w:eastAsia="zh-CN"/>
        </w:rPr>
        <w:t>结果</w:t>
      </w:r>
      <w:r>
        <w:rPr>
          <w:rFonts w:ascii="Times New Roman" w:hAnsi="Times New Roman"/>
          <w:highlight w:val="none"/>
        </w:rPr>
        <w:t>精确至小数点后一位。</w:t>
      </w:r>
    </w:p>
    <w:p w14:paraId="4AB11F97">
      <w:pPr>
        <w:pStyle w:val="47"/>
        <w:tabs>
          <w:tab w:val="clear" w:pos="0"/>
        </w:tabs>
        <w:spacing w:before="312" w:after="312"/>
        <w:rPr>
          <w:rFonts w:ascii="Times New Roman" w:hAnsi="Times New Roman"/>
          <w:highlight w:val="none"/>
        </w:rPr>
      </w:pPr>
      <w:r>
        <w:rPr>
          <w:rFonts w:hint="eastAsia" w:ascii="Times New Roman" w:hAnsi="Times New Roman"/>
          <w:highlight w:val="none"/>
        </w:rPr>
        <w:t>6</w:t>
      </w:r>
      <w:r>
        <w:rPr>
          <w:rFonts w:ascii="Times New Roman" w:hAnsi="Times New Roman"/>
          <w:highlight w:val="none"/>
        </w:rPr>
        <w:t xml:space="preserve"> 检验规则</w:t>
      </w:r>
    </w:p>
    <w:p w14:paraId="0815B2FC">
      <w:pPr>
        <w:autoSpaceDE/>
        <w:autoSpaceDN/>
        <w:ind w:firstLine="0" w:firstLineChars="0"/>
        <w:rPr>
          <w:rFonts w:ascii="Times New Roman" w:hAnsi="Times New Roman"/>
          <w:highlight w:val="none"/>
        </w:rPr>
      </w:pPr>
      <w:r>
        <w:rPr>
          <w:rFonts w:hint="eastAsia" w:ascii="Times New Roman" w:hAnsi="Times New Roman"/>
          <w:highlight w:val="none"/>
        </w:rPr>
        <w:t xml:space="preserve">6.1 </w:t>
      </w:r>
      <w:r>
        <w:rPr>
          <w:rFonts w:ascii="Times New Roman" w:hAnsi="Times New Roman"/>
          <w:highlight w:val="none"/>
        </w:rPr>
        <w:t>型式检验</w:t>
      </w:r>
    </w:p>
    <w:p w14:paraId="438019D4">
      <w:pPr>
        <w:autoSpaceDE/>
        <w:autoSpaceDN/>
        <w:rPr>
          <w:rFonts w:ascii="Times New Roman" w:hAnsi="Times New Roman"/>
          <w:highlight w:val="none"/>
        </w:rPr>
      </w:pPr>
      <w:r>
        <w:rPr>
          <w:rFonts w:ascii="Times New Roman" w:hAnsi="Times New Roman"/>
          <w:highlight w:val="none"/>
        </w:rPr>
        <w:t>型式检验项目包括第</w:t>
      </w:r>
      <w:r>
        <w:rPr>
          <w:rFonts w:hint="eastAsia" w:ascii="Times New Roman" w:hAnsi="Times New Roman"/>
          <w:highlight w:val="none"/>
        </w:rPr>
        <w:t>5</w:t>
      </w:r>
      <w:r>
        <w:rPr>
          <w:rFonts w:ascii="Times New Roman" w:hAnsi="Times New Roman"/>
          <w:highlight w:val="none"/>
        </w:rPr>
        <w:t>章中的全部项目，有下列情况之一时，应进行型式检验</w:t>
      </w:r>
      <w:r>
        <w:rPr>
          <w:rFonts w:hint="eastAsia" w:ascii="Times New Roman" w:hAnsi="Times New Roman"/>
          <w:highlight w:val="none"/>
        </w:rPr>
        <w:t>：</w:t>
      </w:r>
    </w:p>
    <w:p w14:paraId="246BC145">
      <w:pPr>
        <w:numPr>
          <w:ilvl w:val="0"/>
          <w:numId w:val="5"/>
        </w:numPr>
        <w:autoSpaceDE/>
        <w:autoSpaceDN/>
        <w:rPr>
          <w:rFonts w:ascii="Times New Roman" w:hAnsi="Times New Roman"/>
          <w:highlight w:val="none"/>
        </w:rPr>
      </w:pPr>
      <w:r>
        <w:rPr>
          <w:rFonts w:ascii="Times New Roman" w:hAnsi="Times New Roman"/>
          <w:highlight w:val="none"/>
        </w:rPr>
        <w:t>新产品投产或产品定型鉴定时</w:t>
      </w:r>
      <w:r>
        <w:rPr>
          <w:rFonts w:hint="eastAsia" w:ascii="Times New Roman" w:hAnsi="Times New Roman"/>
          <w:highlight w:val="none"/>
        </w:rPr>
        <w:t>；</w:t>
      </w:r>
    </w:p>
    <w:p w14:paraId="54E23315">
      <w:pPr>
        <w:numPr>
          <w:ilvl w:val="0"/>
          <w:numId w:val="5"/>
        </w:numPr>
        <w:autoSpaceDE/>
        <w:autoSpaceDN/>
        <w:rPr>
          <w:rFonts w:ascii="Times New Roman" w:hAnsi="Times New Roman"/>
          <w:highlight w:val="none"/>
        </w:rPr>
      </w:pPr>
      <w:r>
        <w:rPr>
          <w:rFonts w:ascii="Times New Roman" w:hAnsi="Times New Roman"/>
          <w:highlight w:val="none"/>
        </w:rPr>
        <w:t>连续生产的产品，每年检测一次</w:t>
      </w:r>
      <w:r>
        <w:rPr>
          <w:rFonts w:hint="eastAsia" w:ascii="Times New Roman" w:hAnsi="Times New Roman"/>
          <w:highlight w:val="none"/>
        </w:rPr>
        <w:t>；</w:t>
      </w:r>
    </w:p>
    <w:p w14:paraId="04CE7D41">
      <w:pPr>
        <w:numPr>
          <w:ilvl w:val="0"/>
          <w:numId w:val="5"/>
        </w:numPr>
        <w:autoSpaceDE/>
        <w:autoSpaceDN/>
        <w:rPr>
          <w:rFonts w:ascii="Times New Roman" w:hAnsi="Times New Roman"/>
          <w:highlight w:val="none"/>
        </w:rPr>
      </w:pPr>
      <w:r>
        <w:rPr>
          <w:rFonts w:ascii="Times New Roman" w:hAnsi="Times New Roman"/>
          <w:highlight w:val="none"/>
        </w:rPr>
        <w:t>原材料或工艺有较大改变，可能影响产品的性能时</w:t>
      </w:r>
      <w:r>
        <w:rPr>
          <w:rFonts w:hint="eastAsia" w:ascii="Times New Roman" w:hAnsi="Times New Roman"/>
          <w:highlight w:val="none"/>
        </w:rPr>
        <w:t>；</w:t>
      </w:r>
    </w:p>
    <w:p w14:paraId="00A7EB2D">
      <w:pPr>
        <w:numPr>
          <w:ilvl w:val="0"/>
          <w:numId w:val="5"/>
        </w:numPr>
        <w:autoSpaceDE/>
        <w:autoSpaceDN/>
        <w:rPr>
          <w:rFonts w:ascii="Times New Roman" w:hAnsi="Times New Roman"/>
          <w:highlight w:val="none"/>
        </w:rPr>
      </w:pPr>
      <w:r>
        <w:rPr>
          <w:rFonts w:ascii="Times New Roman" w:hAnsi="Times New Roman"/>
          <w:highlight w:val="none"/>
        </w:rPr>
        <w:t>产品长期停产恢复生产时</w:t>
      </w:r>
      <w:r>
        <w:rPr>
          <w:rFonts w:hint="eastAsia" w:ascii="Times New Roman" w:hAnsi="Times New Roman"/>
          <w:highlight w:val="none"/>
        </w:rPr>
        <w:t>；</w:t>
      </w:r>
    </w:p>
    <w:p w14:paraId="44F5D88B">
      <w:pPr>
        <w:numPr>
          <w:ilvl w:val="0"/>
          <w:numId w:val="5"/>
        </w:numPr>
        <w:autoSpaceDE/>
        <w:autoSpaceDN/>
        <w:rPr>
          <w:rFonts w:ascii="Times New Roman" w:hAnsi="Times New Roman"/>
          <w:highlight w:val="none"/>
        </w:rPr>
      </w:pPr>
      <w:r>
        <w:rPr>
          <w:rFonts w:ascii="Times New Roman" w:hAnsi="Times New Roman"/>
          <w:highlight w:val="none"/>
        </w:rPr>
        <w:t>出厂检验结果与上次型式检验结果有较大差异时。</w:t>
      </w:r>
    </w:p>
    <w:p w14:paraId="26811302">
      <w:pPr>
        <w:pStyle w:val="43"/>
        <w:numPr>
          <w:ilvl w:val="255"/>
          <w:numId w:val="0"/>
        </w:numPr>
        <w:rPr>
          <w:rFonts w:ascii="Times New Roman" w:hAnsi="Times New Roman"/>
          <w:highlight w:val="none"/>
        </w:rPr>
      </w:pPr>
      <w:r>
        <w:rPr>
          <w:rFonts w:hint="eastAsia" w:ascii="Times New Roman" w:hAnsi="Times New Roman"/>
          <w:highlight w:val="none"/>
        </w:rPr>
        <w:t>6</w:t>
      </w:r>
      <w:r>
        <w:rPr>
          <w:rFonts w:ascii="Times New Roman" w:hAnsi="Times New Roman"/>
          <w:highlight w:val="none"/>
        </w:rPr>
        <w:t>.</w:t>
      </w:r>
      <w:r>
        <w:rPr>
          <w:rFonts w:hint="eastAsia" w:ascii="Times New Roman" w:hAnsi="Times New Roman"/>
          <w:highlight w:val="none"/>
        </w:rPr>
        <w:t>2</w:t>
      </w:r>
      <w:r>
        <w:rPr>
          <w:rFonts w:ascii="Times New Roman" w:hAnsi="Times New Roman"/>
          <w:highlight w:val="none"/>
        </w:rPr>
        <w:t xml:space="preserve"> 取样</w:t>
      </w:r>
      <w:r>
        <w:rPr>
          <w:rFonts w:hint="eastAsia" w:ascii="Times New Roman" w:hAnsi="Times New Roman"/>
          <w:highlight w:val="none"/>
        </w:rPr>
        <w:t>和组批</w:t>
      </w:r>
    </w:p>
    <w:p w14:paraId="117438D3">
      <w:pPr>
        <w:autoSpaceDE/>
        <w:autoSpaceDN/>
        <w:rPr>
          <w:rFonts w:ascii="Times New Roman" w:hAnsi="Times New Roman"/>
          <w:highlight w:val="none"/>
        </w:rPr>
      </w:pPr>
      <w:r>
        <w:rPr>
          <w:rFonts w:hint="eastAsia" w:ascii="Times New Roman" w:hAnsi="Times New Roman"/>
          <w:highlight w:val="none"/>
        </w:rPr>
        <w:t>取样和组批方法按照</w:t>
      </w:r>
      <w:r>
        <w:rPr>
          <w:rFonts w:hint="eastAsia" w:ascii="Times New Roman" w:hAnsi="Times New Roman" w:eastAsiaTheme="minorEastAsia"/>
          <w:highlight w:val="none"/>
        </w:rPr>
        <w:t>JC/T XXXXX-20XX防腐木材及木材防腐剂取样方法</w:t>
      </w:r>
      <w:r>
        <w:rPr>
          <w:rFonts w:hint="eastAsia" w:ascii="Times New Roman" w:hAnsi="Times New Roman"/>
          <w:highlight w:val="none"/>
        </w:rPr>
        <w:t>中第</w:t>
      </w:r>
      <w:r>
        <w:rPr>
          <w:rFonts w:hint="eastAsia" w:ascii="Times New Roman" w:hAnsi="Times New Roman"/>
          <w:highlight w:val="none"/>
          <w:lang w:val="en-US" w:eastAsia="zh-CN"/>
        </w:rPr>
        <w:t>x</w:t>
      </w:r>
      <w:r>
        <w:rPr>
          <w:rFonts w:hint="eastAsia" w:ascii="Times New Roman" w:hAnsi="Times New Roman"/>
          <w:highlight w:val="none"/>
        </w:rPr>
        <w:t>章执行</w:t>
      </w:r>
      <w:r>
        <w:rPr>
          <w:rFonts w:ascii="Times New Roman" w:hAnsi="Times New Roman"/>
          <w:highlight w:val="none"/>
        </w:rPr>
        <w:t>。</w:t>
      </w:r>
    </w:p>
    <w:p w14:paraId="14620F7A">
      <w:pPr>
        <w:pStyle w:val="47"/>
        <w:numPr>
          <w:ilvl w:val="255"/>
          <w:numId w:val="0"/>
        </w:numPr>
        <w:tabs>
          <w:tab w:val="clear" w:pos="0"/>
        </w:tabs>
        <w:spacing w:before="312" w:after="312"/>
        <w:rPr>
          <w:rFonts w:ascii="Times New Roman" w:hAnsi="Times New Roman"/>
          <w:highlight w:val="none"/>
        </w:rPr>
      </w:pPr>
      <w:r>
        <w:rPr>
          <w:rFonts w:hint="eastAsia" w:ascii="Times New Roman" w:hAnsi="Times New Roman"/>
          <w:highlight w:val="none"/>
        </w:rPr>
        <w:t>7</w:t>
      </w:r>
      <w:r>
        <w:rPr>
          <w:rFonts w:ascii="Times New Roman" w:hAnsi="Times New Roman"/>
          <w:highlight w:val="none"/>
        </w:rPr>
        <w:t xml:space="preserve"> </w:t>
      </w:r>
      <w:r>
        <w:rPr>
          <w:rFonts w:hint="eastAsia" w:ascii="Times New Roman" w:hAnsi="Times New Roman"/>
          <w:highlight w:val="none"/>
          <w:lang w:val="en-US" w:eastAsia="zh-CN"/>
        </w:rPr>
        <w:t>标识</w:t>
      </w:r>
      <w:r>
        <w:rPr>
          <w:rFonts w:ascii="Times New Roman" w:hAnsi="Times New Roman"/>
          <w:highlight w:val="none"/>
        </w:rPr>
        <w:t>、包装、运输和贮存</w:t>
      </w:r>
    </w:p>
    <w:p w14:paraId="10F881E8">
      <w:pPr>
        <w:pStyle w:val="43"/>
        <w:numPr>
          <w:ilvl w:val="255"/>
          <w:numId w:val="0"/>
        </w:numPr>
        <w:spacing w:before="0" w:beforeLines="0" w:after="0" w:afterLines="0"/>
        <w:rPr>
          <w:rFonts w:ascii="Times New Roman" w:hAnsi="Times New Roman" w:eastAsia="宋体"/>
        </w:rPr>
      </w:pPr>
      <w:r>
        <w:rPr>
          <w:rFonts w:hint="eastAsia" w:ascii="Times New Roman" w:hAnsi="Times New Roman" w:eastAsia="宋体"/>
          <w:highlight w:val="none"/>
        </w:rPr>
        <w:t>7</w:t>
      </w:r>
      <w:r>
        <w:rPr>
          <w:rFonts w:ascii="Times New Roman" w:hAnsi="Times New Roman" w:eastAsia="宋体"/>
          <w:highlight w:val="none"/>
        </w:rPr>
        <w:t xml:space="preserve">.1  </w:t>
      </w:r>
      <w:r>
        <w:rPr>
          <w:rFonts w:hint="eastAsia" w:ascii="Times New Roman" w:hAnsi="Times New Roman" w:eastAsia="宋体"/>
          <w:highlight w:val="none"/>
        </w:rPr>
        <w:t>铜唑-B型（CA-B）木材</w:t>
      </w:r>
      <w:r>
        <w:rPr>
          <w:rFonts w:ascii="Times New Roman" w:hAnsi="Times New Roman" w:eastAsia="宋体"/>
          <w:highlight w:val="none"/>
        </w:rPr>
        <w:t>防腐剂的包装桶上应清楚地标明：生产厂名、厂址、产品名</w:t>
      </w:r>
      <w:r>
        <w:rPr>
          <w:rFonts w:ascii="Times New Roman" w:hAnsi="Times New Roman" w:eastAsia="宋体"/>
        </w:rPr>
        <w:t>称、型号、有效成分含量、注册商标、净重、生产日期、生产批号、产品标准号和产品简要说明。</w:t>
      </w:r>
    </w:p>
    <w:p w14:paraId="289C58CE">
      <w:pPr>
        <w:pStyle w:val="43"/>
        <w:numPr>
          <w:ilvl w:val="255"/>
          <w:numId w:val="0"/>
        </w:numPr>
        <w:spacing w:before="0" w:beforeLines="0" w:after="0" w:afterLines="0"/>
        <w:rPr>
          <w:rFonts w:ascii="Times New Roman" w:hAnsi="Times New Roman" w:eastAsia="宋体"/>
        </w:rPr>
      </w:pPr>
      <w:r>
        <w:rPr>
          <w:rFonts w:hint="eastAsia" w:ascii="Times New Roman" w:hAnsi="Times New Roman" w:eastAsia="宋体"/>
        </w:rPr>
        <w:t>7</w:t>
      </w:r>
      <w:r>
        <w:rPr>
          <w:rFonts w:ascii="Times New Roman" w:hAnsi="Times New Roman" w:eastAsia="宋体"/>
        </w:rPr>
        <w:t xml:space="preserve">.2  </w:t>
      </w:r>
      <w:r>
        <w:rPr>
          <w:rFonts w:hint="eastAsia" w:ascii="Times New Roman" w:hAnsi="Times New Roman" w:eastAsiaTheme="minorEastAsia"/>
          <w:highlight w:val="none"/>
        </w:rPr>
        <w:t>铜唑-B型（CA-B）</w:t>
      </w:r>
      <w:r>
        <w:rPr>
          <w:rFonts w:hint="eastAsia" w:ascii="Times New Roman" w:hAnsi="Times New Roman" w:eastAsiaTheme="minorEastAsia"/>
          <w:highlight w:val="none"/>
          <w:lang w:val="en-US" w:eastAsia="zh-CN"/>
        </w:rPr>
        <w:t>木材</w:t>
      </w:r>
      <w:r>
        <w:rPr>
          <w:rFonts w:ascii="Times New Roman" w:hAnsi="Times New Roman" w:eastAsiaTheme="minorEastAsia"/>
          <w:highlight w:val="none"/>
        </w:rPr>
        <w:t>防腐剂</w:t>
      </w:r>
      <w:r>
        <w:rPr>
          <w:rFonts w:ascii="Times New Roman" w:hAnsi="Times New Roman" w:eastAsia="宋体"/>
        </w:rPr>
        <w:t>用塑料桶或其他符合相应标准要求的材料包装。</w:t>
      </w:r>
    </w:p>
    <w:p w14:paraId="1107A12B">
      <w:pPr>
        <w:pStyle w:val="43"/>
        <w:numPr>
          <w:ilvl w:val="255"/>
          <w:numId w:val="0"/>
        </w:numPr>
        <w:spacing w:before="0" w:beforeLines="0" w:after="0" w:afterLines="0"/>
        <w:rPr>
          <w:rFonts w:ascii="Times New Roman" w:hAnsi="Times New Roman" w:eastAsia="宋体"/>
        </w:rPr>
      </w:pPr>
      <w:r>
        <w:rPr>
          <w:rFonts w:hint="eastAsia" w:ascii="Times New Roman" w:hAnsi="Times New Roman" w:eastAsia="宋体"/>
        </w:rPr>
        <w:t>7</w:t>
      </w:r>
      <w:r>
        <w:rPr>
          <w:rFonts w:ascii="Times New Roman" w:hAnsi="Times New Roman" w:eastAsia="宋体"/>
        </w:rPr>
        <w:t>.3  运输过程中应防漏、防火、防潮，不得与食物、饲料等混合装运。</w:t>
      </w:r>
    </w:p>
    <w:p w14:paraId="6CBEA94A">
      <w:pPr>
        <w:pStyle w:val="43"/>
        <w:numPr>
          <w:ilvl w:val="255"/>
          <w:numId w:val="0"/>
        </w:numPr>
        <w:spacing w:before="0" w:beforeLines="0" w:after="0" w:afterLines="0"/>
        <w:rPr>
          <w:rFonts w:ascii="Times New Roman" w:hAnsi="Times New Roman" w:eastAsia="宋体"/>
        </w:rPr>
      </w:pPr>
      <w:r>
        <w:rPr>
          <w:rFonts w:hint="eastAsia" w:ascii="Times New Roman" w:hAnsi="Times New Roman" w:eastAsia="宋体"/>
        </w:rPr>
        <w:t>7</w:t>
      </w:r>
      <w:r>
        <w:rPr>
          <w:rFonts w:ascii="Times New Roman" w:hAnsi="Times New Roman" w:eastAsia="宋体"/>
        </w:rPr>
        <w:t>.4  贮存在阴凉、干燥和通风良好的仓库中，不得与食物、饲料等混合</w:t>
      </w:r>
      <w:r>
        <w:rPr>
          <w:rFonts w:hint="eastAsia" w:ascii="Times New Roman" w:hAnsi="Times New Roman" w:eastAsia="宋体"/>
          <w:lang w:val="en-US" w:eastAsia="zh-CN"/>
        </w:rPr>
        <w:t>存放</w:t>
      </w:r>
      <w:r>
        <w:rPr>
          <w:rFonts w:ascii="Times New Roman" w:hAnsi="Times New Roman" w:eastAsia="宋体"/>
        </w:rPr>
        <w:t>。</w:t>
      </w:r>
    </w:p>
    <w:p w14:paraId="69715E56">
      <w:pPr>
        <w:autoSpaceDE/>
        <w:autoSpaceDN/>
        <w:ind w:firstLine="0" w:firstLineChars="0"/>
        <w:rPr>
          <w:rFonts w:ascii="Times New Roman" w:hAnsi="Times New Roman"/>
        </w:rPr>
      </w:pPr>
    </w:p>
    <w:p w14:paraId="3D3CFD28">
      <w:pPr>
        <w:autoSpaceDE/>
        <w:autoSpaceDN/>
        <w:ind w:firstLine="0" w:firstLineChars="0"/>
        <w:rPr>
          <w:rFonts w:ascii="Times New Roman" w:hAnsi="Times New Roman"/>
        </w:rPr>
      </w:pPr>
      <w:r>
        <w:rPr>
          <w:rFonts w:ascii="Times New Roman" w:hAnsi="Times New Roman"/>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5408;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Hiragino Sans"/>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黑体">
    <w:altName w:val="汉仪中黑KW"/>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Times New Roman Regular">
    <w:panose1 w:val="0202050305040509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52B36">
    <w:pPr>
      <w:pStyle w:val="11"/>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6C09">
    <w:pPr>
      <w:pStyle w:val="11"/>
      <w:ind w:firstLine="360"/>
      <w:rPr>
        <w:rFonts w:hint="eastAsia"/>
      </w:rPr>
    </w:pPr>
  </w:p>
  <w:p w14:paraId="0C654F58">
    <w:pPr>
      <w:pStyle w:val="11"/>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3E0EF">
    <w:pPr>
      <w:pStyle w:val="11"/>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D9377">
    <w:pPr>
      <w:pStyle w:val="58"/>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0291">
    <w:pPr>
      <w:pStyle w:val="58"/>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3D621">
    <w:pPr>
      <w:pStyle w:val="11"/>
      <w:ind w:firstLine="360"/>
      <w:rPr>
        <w:rFonts w:hint="eastAsia"/>
      </w:rPr>
    </w:pPr>
    <w:r>
      <w:fldChar w:fldCharType="begin"/>
    </w:r>
    <w:r>
      <w:instrText xml:space="preserve">PAGE   \* MERGEFORMAT</w:instrText>
    </w:r>
    <w:r>
      <w:fldChar w:fldCharType="separate"/>
    </w:r>
    <w:r>
      <w:rPr>
        <w:lang w:val="zh-CN"/>
      </w:rPr>
      <w:t>6</w:t>
    </w:r>
    <w:r>
      <w:fldChar w:fldCharType="end"/>
    </w:r>
  </w:p>
  <w:p w14:paraId="328A77D8">
    <w:pPr>
      <w:pStyle w:val="11"/>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CA123">
    <w:pPr>
      <w:ind w:left="420" w:firstLine="0" w:firstLineChars="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710">
    <w:pPr>
      <w:rPr>
        <w:rFonts w:hint="eastAsia"/>
      </w:rPr>
    </w:pPr>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1F3F">
    <w:pPr>
      <w:pStyle w:val="12"/>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0DED4">
    <w:pPr>
      <w:pStyle w:val="59"/>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79"/>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80"/>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3">
    <w:nsid w:val="49DD6F04"/>
    <w:multiLevelType w:val="multilevel"/>
    <w:tmpl w:val="49DD6F04"/>
    <w:lvl w:ilvl="0" w:tentative="0">
      <w:start w:val="1"/>
      <w:numFmt w:val="decimal"/>
      <w:pStyle w:val="68"/>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4">
    <w:nsid w:val="75CAEB89"/>
    <w:multiLevelType w:val="singleLevel"/>
    <w:tmpl w:val="75CAEB89"/>
    <w:lvl w:ilvl="0" w:tentative="0">
      <w:start w:val="1"/>
      <w:numFmt w:val="lowerLetter"/>
      <w:suff w:val="space"/>
      <w:lvlText w:val="%1)"/>
      <w:lvlJc w:val="left"/>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4"/>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yNzU0MWRmOTdkYzU2MjY1NmUwMWJhMmI1ODc0YjUifQ=="/>
  </w:docVars>
  <w:rsids>
    <w:rsidRoot w:val="00172A27"/>
    <w:rsid w:val="00005CDD"/>
    <w:rsid w:val="00007EBF"/>
    <w:rsid w:val="000117DB"/>
    <w:rsid w:val="00012C06"/>
    <w:rsid w:val="00015A41"/>
    <w:rsid w:val="0001687D"/>
    <w:rsid w:val="000211BF"/>
    <w:rsid w:val="00021D81"/>
    <w:rsid w:val="00021E4A"/>
    <w:rsid w:val="00026E7A"/>
    <w:rsid w:val="00033664"/>
    <w:rsid w:val="0003488E"/>
    <w:rsid w:val="00036343"/>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8588E"/>
    <w:rsid w:val="000938DF"/>
    <w:rsid w:val="0009616B"/>
    <w:rsid w:val="000A5556"/>
    <w:rsid w:val="000B584E"/>
    <w:rsid w:val="000C515B"/>
    <w:rsid w:val="000C7395"/>
    <w:rsid w:val="000D12CF"/>
    <w:rsid w:val="000D1A76"/>
    <w:rsid w:val="000D2D88"/>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35945"/>
    <w:rsid w:val="001401A9"/>
    <w:rsid w:val="00141637"/>
    <w:rsid w:val="0014658E"/>
    <w:rsid w:val="0015010B"/>
    <w:rsid w:val="00150EBE"/>
    <w:rsid w:val="00153421"/>
    <w:rsid w:val="00154E1B"/>
    <w:rsid w:val="001560E5"/>
    <w:rsid w:val="00161D76"/>
    <w:rsid w:val="00167DC6"/>
    <w:rsid w:val="00171D7D"/>
    <w:rsid w:val="00172A27"/>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1F0E2D"/>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0974"/>
    <w:rsid w:val="002D1F38"/>
    <w:rsid w:val="002D5AC0"/>
    <w:rsid w:val="002E0D83"/>
    <w:rsid w:val="002E3E0C"/>
    <w:rsid w:val="002E5C42"/>
    <w:rsid w:val="002E65B2"/>
    <w:rsid w:val="002E7A00"/>
    <w:rsid w:val="002F0E75"/>
    <w:rsid w:val="002F3996"/>
    <w:rsid w:val="002F5532"/>
    <w:rsid w:val="00300392"/>
    <w:rsid w:val="00303565"/>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3761"/>
    <w:rsid w:val="0038598A"/>
    <w:rsid w:val="003867A0"/>
    <w:rsid w:val="0039017E"/>
    <w:rsid w:val="00397029"/>
    <w:rsid w:val="003A00BA"/>
    <w:rsid w:val="003A190F"/>
    <w:rsid w:val="003A61A5"/>
    <w:rsid w:val="003B263C"/>
    <w:rsid w:val="003B359E"/>
    <w:rsid w:val="003B6D03"/>
    <w:rsid w:val="003C08EE"/>
    <w:rsid w:val="003C0DF6"/>
    <w:rsid w:val="003C2F59"/>
    <w:rsid w:val="003C5A2F"/>
    <w:rsid w:val="003C6889"/>
    <w:rsid w:val="003D1235"/>
    <w:rsid w:val="003D42B7"/>
    <w:rsid w:val="003D4BD8"/>
    <w:rsid w:val="003D576E"/>
    <w:rsid w:val="003D7763"/>
    <w:rsid w:val="003E63B5"/>
    <w:rsid w:val="003E7D4A"/>
    <w:rsid w:val="003F2C52"/>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4CDF"/>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D5CE6"/>
    <w:rsid w:val="004E1BD3"/>
    <w:rsid w:val="004E1D93"/>
    <w:rsid w:val="004E5C70"/>
    <w:rsid w:val="004E5FA5"/>
    <w:rsid w:val="004F37ED"/>
    <w:rsid w:val="004F489B"/>
    <w:rsid w:val="00503F1A"/>
    <w:rsid w:val="00503FA1"/>
    <w:rsid w:val="00507665"/>
    <w:rsid w:val="005104FD"/>
    <w:rsid w:val="00512072"/>
    <w:rsid w:val="00516CEE"/>
    <w:rsid w:val="005203B7"/>
    <w:rsid w:val="005215F2"/>
    <w:rsid w:val="00522A54"/>
    <w:rsid w:val="00523797"/>
    <w:rsid w:val="00524670"/>
    <w:rsid w:val="00525C77"/>
    <w:rsid w:val="005346A4"/>
    <w:rsid w:val="005368E4"/>
    <w:rsid w:val="0053746E"/>
    <w:rsid w:val="00540F5D"/>
    <w:rsid w:val="00546306"/>
    <w:rsid w:val="0055033F"/>
    <w:rsid w:val="00551EC3"/>
    <w:rsid w:val="005524B5"/>
    <w:rsid w:val="00556912"/>
    <w:rsid w:val="005606F4"/>
    <w:rsid w:val="0056456A"/>
    <w:rsid w:val="00571C26"/>
    <w:rsid w:val="005722F6"/>
    <w:rsid w:val="0057663F"/>
    <w:rsid w:val="00580868"/>
    <w:rsid w:val="005833B2"/>
    <w:rsid w:val="005839BF"/>
    <w:rsid w:val="00584EFE"/>
    <w:rsid w:val="00587235"/>
    <w:rsid w:val="005918FA"/>
    <w:rsid w:val="00591A50"/>
    <w:rsid w:val="00592D41"/>
    <w:rsid w:val="00593519"/>
    <w:rsid w:val="00594207"/>
    <w:rsid w:val="00596DA0"/>
    <w:rsid w:val="005A2AE4"/>
    <w:rsid w:val="005A58BB"/>
    <w:rsid w:val="005B53F6"/>
    <w:rsid w:val="005C1054"/>
    <w:rsid w:val="005C1CAA"/>
    <w:rsid w:val="005D26DC"/>
    <w:rsid w:val="005D2723"/>
    <w:rsid w:val="005D32FC"/>
    <w:rsid w:val="005D4F45"/>
    <w:rsid w:val="005D574D"/>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92B12"/>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2C98"/>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4D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7B3"/>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58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976E6"/>
    <w:rsid w:val="009A3002"/>
    <w:rsid w:val="009A4D1D"/>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4A67"/>
    <w:rsid w:val="00A37AAE"/>
    <w:rsid w:val="00A43FE3"/>
    <w:rsid w:val="00A45D64"/>
    <w:rsid w:val="00A46B3B"/>
    <w:rsid w:val="00A50429"/>
    <w:rsid w:val="00A529A8"/>
    <w:rsid w:val="00A54352"/>
    <w:rsid w:val="00A755BC"/>
    <w:rsid w:val="00A765DC"/>
    <w:rsid w:val="00A8009F"/>
    <w:rsid w:val="00A8254F"/>
    <w:rsid w:val="00A828CD"/>
    <w:rsid w:val="00A942D1"/>
    <w:rsid w:val="00AA021F"/>
    <w:rsid w:val="00AA2A81"/>
    <w:rsid w:val="00AA3A77"/>
    <w:rsid w:val="00AA4DAF"/>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07DA6"/>
    <w:rsid w:val="00B118BA"/>
    <w:rsid w:val="00B13B8F"/>
    <w:rsid w:val="00B14A4F"/>
    <w:rsid w:val="00B156BC"/>
    <w:rsid w:val="00B2099B"/>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93B4B"/>
    <w:rsid w:val="00BA18B8"/>
    <w:rsid w:val="00BA2AA0"/>
    <w:rsid w:val="00BA5CAA"/>
    <w:rsid w:val="00BB211A"/>
    <w:rsid w:val="00BB2247"/>
    <w:rsid w:val="00BB4D55"/>
    <w:rsid w:val="00BC4DAA"/>
    <w:rsid w:val="00BC77B5"/>
    <w:rsid w:val="00BD2656"/>
    <w:rsid w:val="00BD37F9"/>
    <w:rsid w:val="00BD3CB5"/>
    <w:rsid w:val="00BD447C"/>
    <w:rsid w:val="00BD5F22"/>
    <w:rsid w:val="00BE301D"/>
    <w:rsid w:val="00BE77B4"/>
    <w:rsid w:val="00BF1714"/>
    <w:rsid w:val="00BF3B7B"/>
    <w:rsid w:val="00BF5500"/>
    <w:rsid w:val="00BF7A32"/>
    <w:rsid w:val="00C037AD"/>
    <w:rsid w:val="00C0571A"/>
    <w:rsid w:val="00C06555"/>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31C1"/>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D5619"/>
    <w:rsid w:val="00CE0257"/>
    <w:rsid w:val="00CE3848"/>
    <w:rsid w:val="00CE7767"/>
    <w:rsid w:val="00CF6682"/>
    <w:rsid w:val="00D018AC"/>
    <w:rsid w:val="00D04B0D"/>
    <w:rsid w:val="00D07E20"/>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5B93"/>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656"/>
    <w:rsid w:val="00DF67DD"/>
    <w:rsid w:val="00E005F4"/>
    <w:rsid w:val="00E218B7"/>
    <w:rsid w:val="00E22EB3"/>
    <w:rsid w:val="00E27526"/>
    <w:rsid w:val="00E33886"/>
    <w:rsid w:val="00E36260"/>
    <w:rsid w:val="00E3750D"/>
    <w:rsid w:val="00E37A2F"/>
    <w:rsid w:val="00E37E37"/>
    <w:rsid w:val="00E50481"/>
    <w:rsid w:val="00E52419"/>
    <w:rsid w:val="00E53C6F"/>
    <w:rsid w:val="00E54799"/>
    <w:rsid w:val="00E54C50"/>
    <w:rsid w:val="00E562F9"/>
    <w:rsid w:val="00E606EC"/>
    <w:rsid w:val="00E60B96"/>
    <w:rsid w:val="00E62952"/>
    <w:rsid w:val="00E62F42"/>
    <w:rsid w:val="00E66641"/>
    <w:rsid w:val="00E67507"/>
    <w:rsid w:val="00E77C0A"/>
    <w:rsid w:val="00E8165F"/>
    <w:rsid w:val="00E831E0"/>
    <w:rsid w:val="00E853D7"/>
    <w:rsid w:val="00E87485"/>
    <w:rsid w:val="00E90DAB"/>
    <w:rsid w:val="00E951C1"/>
    <w:rsid w:val="00EA2ED9"/>
    <w:rsid w:val="00EA514A"/>
    <w:rsid w:val="00EB26B8"/>
    <w:rsid w:val="00EB4883"/>
    <w:rsid w:val="00EC06DA"/>
    <w:rsid w:val="00EC28CD"/>
    <w:rsid w:val="00EC3431"/>
    <w:rsid w:val="00EC6510"/>
    <w:rsid w:val="00ED4491"/>
    <w:rsid w:val="00ED65D2"/>
    <w:rsid w:val="00ED7829"/>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47024"/>
    <w:rsid w:val="00F5385B"/>
    <w:rsid w:val="00F53A04"/>
    <w:rsid w:val="00F53EAB"/>
    <w:rsid w:val="00F55D32"/>
    <w:rsid w:val="00F568BE"/>
    <w:rsid w:val="00F56FB6"/>
    <w:rsid w:val="00F61BF3"/>
    <w:rsid w:val="00F6231B"/>
    <w:rsid w:val="00F63264"/>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4F64CB"/>
    <w:rsid w:val="01BA178B"/>
    <w:rsid w:val="023932EE"/>
    <w:rsid w:val="026A4959"/>
    <w:rsid w:val="029C290B"/>
    <w:rsid w:val="030329BA"/>
    <w:rsid w:val="032076CE"/>
    <w:rsid w:val="036A374F"/>
    <w:rsid w:val="03B47DC1"/>
    <w:rsid w:val="043B10A6"/>
    <w:rsid w:val="04E2157E"/>
    <w:rsid w:val="04F57CED"/>
    <w:rsid w:val="056A1D11"/>
    <w:rsid w:val="058B60C2"/>
    <w:rsid w:val="060B4C6C"/>
    <w:rsid w:val="061C523F"/>
    <w:rsid w:val="06686C72"/>
    <w:rsid w:val="067547B1"/>
    <w:rsid w:val="072256E2"/>
    <w:rsid w:val="073443D9"/>
    <w:rsid w:val="07B62D93"/>
    <w:rsid w:val="07CD53CA"/>
    <w:rsid w:val="07FD21B0"/>
    <w:rsid w:val="086E5263"/>
    <w:rsid w:val="08AD31FB"/>
    <w:rsid w:val="094B1549"/>
    <w:rsid w:val="09577B75"/>
    <w:rsid w:val="09D66CC1"/>
    <w:rsid w:val="0A365262"/>
    <w:rsid w:val="0A4A0725"/>
    <w:rsid w:val="0AD91528"/>
    <w:rsid w:val="0CB648B6"/>
    <w:rsid w:val="0CD7158E"/>
    <w:rsid w:val="0F3F75AE"/>
    <w:rsid w:val="10BE733F"/>
    <w:rsid w:val="11202301"/>
    <w:rsid w:val="117C00ED"/>
    <w:rsid w:val="11D90D02"/>
    <w:rsid w:val="1395614F"/>
    <w:rsid w:val="15636859"/>
    <w:rsid w:val="16E42F46"/>
    <w:rsid w:val="17416DB6"/>
    <w:rsid w:val="176D0592"/>
    <w:rsid w:val="183A6031"/>
    <w:rsid w:val="18EF453A"/>
    <w:rsid w:val="194C4AAD"/>
    <w:rsid w:val="1B4B7A22"/>
    <w:rsid w:val="1B555E6B"/>
    <w:rsid w:val="1BCF353D"/>
    <w:rsid w:val="1C295179"/>
    <w:rsid w:val="1CB52B35"/>
    <w:rsid w:val="1D714EB2"/>
    <w:rsid w:val="1DAB6A18"/>
    <w:rsid w:val="1DB47B00"/>
    <w:rsid w:val="1E005FA5"/>
    <w:rsid w:val="1E4C2C3B"/>
    <w:rsid w:val="1E544886"/>
    <w:rsid w:val="1EE04EB1"/>
    <w:rsid w:val="1F7564D2"/>
    <w:rsid w:val="206D3F96"/>
    <w:rsid w:val="20CD1E0F"/>
    <w:rsid w:val="218965D9"/>
    <w:rsid w:val="22A2772B"/>
    <w:rsid w:val="234E218C"/>
    <w:rsid w:val="24C45102"/>
    <w:rsid w:val="24CD6D74"/>
    <w:rsid w:val="24D64800"/>
    <w:rsid w:val="25323EDB"/>
    <w:rsid w:val="25332346"/>
    <w:rsid w:val="260D76B9"/>
    <w:rsid w:val="267E2238"/>
    <w:rsid w:val="274C5429"/>
    <w:rsid w:val="283D093C"/>
    <w:rsid w:val="28474057"/>
    <w:rsid w:val="28B21026"/>
    <w:rsid w:val="28C34A58"/>
    <w:rsid w:val="294008AF"/>
    <w:rsid w:val="297654F4"/>
    <w:rsid w:val="29CF1658"/>
    <w:rsid w:val="2AB735FF"/>
    <w:rsid w:val="2B91643E"/>
    <w:rsid w:val="2C9D5C03"/>
    <w:rsid w:val="2C9E5875"/>
    <w:rsid w:val="2D491237"/>
    <w:rsid w:val="2DA763C8"/>
    <w:rsid w:val="2DEF20D7"/>
    <w:rsid w:val="2FA73189"/>
    <w:rsid w:val="2FAE5FF0"/>
    <w:rsid w:val="2FAF4C07"/>
    <w:rsid w:val="30093EB8"/>
    <w:rsid w:val="30F67906"/>
    <w:rsid w:val="314D0EE2"/>
    <w:rsid w:val="32043FBE"/>
    <w:rsid w:val="32E90F84"/>
    <w:rsid w:val="33663940"/>
    <w:rsid w:val="33F36BFE"/>
    <w:rsid w:val="34690036"/>
    <w:rsid w:val="35625557"/>
    <w:rsid w:val="36B747BD"/>
    <w:rsid w:val="384A186B"/>
    <w:rsid w:val="3A2B1F54"/>
    <w:rsid w:val="3A38784C"/>
    <w:rsid w:val="3A5B1046"/>
    <w:rsid w:val="3A890BA0"/>
    <w:rsid w:val="3AE319F7"/>
    <w:rsid w:val="3B375F3D"/>
    <w:rsid w:val="3B38142F"/>
    <w:rsid w:val="3B5C2526"/>
    <w:rsid w:val="3BA478A4"/>
    <w:rsid w:val="3C3E3F5E"/>
    <w:rsid w:val="3C5E5B29"/>
    <w:rsid w:val="3C907EB2"/>
    <w:rsid w:val="3C933C0E"/>
    <w:rsid w:val="3CE47B2E"/>
    <w:rsid w:val="3CF01CC5"/>
    <w:rsid w:val="3CFA5E5C"/>
    <w:rsid w:val="3D1D7DB7"/>
    <w:rsid w:val="3E7F09FB"/>
    <w:rsid w:val="3E9D72A2"/>
    <w:rsid w:val="3EA811A8"/>
    <w:rsid w:val="3EB640DE"/>
    <w:rsid w:val="3F6820A1"/>
    <w:rsid w:val="407A2832"/>
    <w:rsid w:val="40FF07E3"/>
    <w:rsid w:val="41083934"/>
    <w:rsid w:val="415D16B6"/>
    <w:rsid w:val="41D155B5"/>
    <w:rsid w:val="42B513CB"/>
    <w:rsid w:val="440C749E"/>
    <w:rsid w:val="447B74B4"/>
    <w:rsid w:val="44ED4117"/>
    <w:rsid w:val="44F63F7F"/>
    <w:rsid w:val="453C7CF5"/>
    <w:rsid w:val="460A0EAE"/>
    <w:rsid w:val="46BB18C2"/>
    <w:rsid w:val="479641FB"/>
    <w:rsid w:val="47E651A1"/>
    <w:rsid w:val="4820224D"/>
    <w:rsid w:val="49137B1B"/>
    <w:rsid w:val="49A90486"/>
    <w:rsid w:val="4ABF7A2E"/>
    <w:rsid w:val="4B0704B6"/>
    <w:rsid w:val="4B386D45"/>
    <w:rsid w:val="4B5132A6"/>
    <w:rsid w:val="4C7533AB"/>
    <w:rsid w:val="4CD337E9"/>
    <w:rsid w:val="4CF03923"/>
    <w:rsid w:val="4D741D43"/>
    <w:rsid w:val="4D8B0D21"/>
    <w:rsid w:val="4DC30244"/>
    <w:rsid w:val="4EBB7C58"/>
    <w:rsid w:val="4EC66D78"/>
    <w:rsid w:val="4F0564F1"/>
    <w:rsid w:val="501972E0"/>
    <w:rsid w:val="506015E4"/>
    <w:rsid w:val="50EF3944"/>
    <w:rsid w:val="5119769F"/>
    <w:rsid w:val="517932A1"/>
    <w:rsid w:val="524C30E6"/>
    <w:rsid w:val="52607EE4"/>
    <w:rsid w:val="54890F5A"/>
    <w:rsid w:val="55300172"/>
    <w:rsid w:val="553B7BF2"/>
    <w:rsid w:val="554967A4"/>
    <w:rsid w:val="55671AE9"/>
    <w:rsid w:val="56812DB2"/>
    <w:rsid w:val="568B7EE3"/>
    <w:rsid w:val="580C7B94"/>
    <w:rsid w:val="589C5214"/>
    <w:rsid w:val="589F66DB"/>
    <w:rsid w:val="58B11C11"/>
    <w:rsid w:val="58C77A8F"/>
    <w:rsid w:val="59DE2003"/>
    <w:rsid w:val="59EE5101"/>
    <w:rsid w:val="5A0007E7"/>
    <w:rsid w:val="5A0F3C17"/>
    <w:rsid w:val="5A8C26D3"/>
    <w:rsid w:val="5AFC3F46"/>
    <w:rsid w:val="5B5D4FDD"/>
    <w:rsid w:val="5CB13BA9"/>
    <w:rsid w:val="5E19638D"/>
    <w:rsid w:val="5F373FBF"/>
    <w:rsid w:val="5FA559DE"/>
    <w:rsid w:val="5FB94E8F"/>
    <w:rsid w:val="5FC522A6"/>
    <w:rsid w:val="60520D36"/>
    <w:rsid w:val="60640398"/>
    <w:rsid w:val="60AD60FE"/>
    <w:rsid w:val="60AE671D"/>
    <w:rsid w:val="61B9240A"/>
    <w:rsid w:val="61C77146"/>
    <w:rsid w:val="626266E7"/>
    <w:rsid w:val="62A87EE4"/>
    <w:rsid w:val="62F23766"/>
    <w:rsid w:val="63051A3D"/>
    <w:rsid w:val="644454F5"/>
    <w:rsid w:val="65970E49"/>
    <w:rsid w:val="662305C2"/>
    <w:rsid w:val="67FE6E91"/>
    <w:rsid w:val="68807A41"/>
    <w:rsid w:val="68C07592"/>
    <w:rsid w:val="69191871"/>
    <w:rsid w:val="699D0A15"/>
    <w:rsid w:val="69A23E61"/>
    <w:rsid w:val="6A1C1709"/>
    <w:rsid w:val="6AC05DB9"/>
    <w:rsid w:val="6B276B20"/>
    <w:rsid w:val="6C905D74"/>
    <w:rsid w:val="6D1504AB"/>
    <w:rsid w:val="6D5F728E"/>
    <w:rsid w:val="6DB427D1"/>
    <w:rsid w:val="6E5DB3B0"/>
    <w:rsid w:val="6EC71266"/>
    <w:rsid w:val="6EF230AA"/>
    <w:rsid w:val="6F25667C"/>
    <w:rsid w:val="6F547669"/>
    <w:rsid w:val="6FA34B0E"/>
    <w:rsid w:val="701379DF"/>
    <w:rsid w:val="70A1532D"/>
    <w:rsid w:val="7263752C"/>
    <w:rsid w:val="734A5B0A"/>
    <w:rsid w:val="73935206"/>
    <w:rsid w:val="75710819"/>
    <w:rsid w:val="77BE5CAD"/>
    <w:rsid w:val="7828682C"/>
    <w:rsid w:val="787434C6"/>
    <w:rsid w:val="78C40DF1"/>
    <w:rsid w:val="78D537E3"/>
    <w:rsid w:val="7981729A"/>
    <w:rsid w:val="7A8F6158"/>
    <w:rsid w:val="7B327CBF"/>
    <w:rsid w:val="7BD7640F"/>
    <w:rsid w:val="7D2F03B0"/>
    <w:rsid w:val="7E3A23B3"/>
    <w:rsid w:val="7FB97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3">
    <w:name w:val="Default Paragraph Font"/>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4"/>
    <w:qFormat/>
    <w:uiPriority w:val="0"/>
    <w:rPr>
      <w:rFonts w:ascii="宋体" w:hAnsi="Courier New" w:cs="Courier New"/>
      <w:szCs w:val="21"/>
    </w:rPr>
  </w:style>
  <w:style w:type="paragraph" w:styleId="9">
    <w:name w:val="Date"/>
    <w:basedOn w:val="1"/>
    <w:next w:val="1"/>
    <w:link w:val="76"/>
    <w:qFormat/>
    <w:uiPriority w:val="0"/>
    <w:pPr>
      <w:ind w:left="100" w:leftChars="2500"/>
    </w:pPr>
  </w:style>
  <w:style w:type="paragraph" w:styleId="10">
    <w:name w:val="Balloon Text"/>
    <w:basedOn w:val="1"/>
    <w:link w:val="54"/>
    <w:qFormat/>
    <w:uiPriority w:val="0"/>
    <w:rPr>
      <w:sz w:val="18"/>
      <w:szCs w:val="18"/>
    </w:rPr>
  </w:style>
  <w:style w:type="paragraph" w:styleId="11">
    <w:name w:val="footer"/>
    <w:basedOn w:val="1"/>
    <w:link w:val="56"/>
    <w:qFormat/>
    <w:uiPriority w:val="99"/>
    <w:pPr>
      <w:tabs>
        <w:tab w:val="center" w:pos="4153"/>
        <w:tab w:val="right" w:pos="8306"/>
      </w:tabs>
      <w:snapToGrid w:val="0"/>
      <w:jc w:val="left"/>
    </w:pPr>
    <w:rPr>
      <w:sz w:val="18"/>
    </w:rPr>
  </w:style>
  <w:style w:type="paragraph" w:styleId="12">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Normal (Web)"/>
    <w:basedOn w:val="1"/>
    <w:semiHidden/>
    <w:unhideWhenUsed/>
    <w:uiPriority w:val="0"/>
    <w:rPr>
      <w:sz w:val="24"/>
    </w:rPr>
  </w:style>
  <w:style w:type="paragraph" w:styleId="18">
    <w:name w:val="Title"/>
    <w:basedOn w:val="1"/>
    <w:next w:val="1"/>
    <w:link w:val="65"/>
    <w:qFormat/>
    <w:uiPriority w:val="0"/>
    <w:pPr>
      <w:spacing w:before="240" w:after="60"/>
      <w:jc w:val="center"/>
      <w:outlineLvl w:val="0"/>
    </w:pPr>
    <w:rPr>
      <w:rFonts w:ascii="Calibri Light" w:hAnsi="Calibri Light"/>
      <w:b/>
      <w:bCs/>
      <w:sz w:val="32"/>
      <w:szCs w:val="32"/>
    </w:rPr>
  </w:style>
  <w:style w:type="paragraph" w:styleId="19">
    <w:name w:val="annotation subject"/>
    <w:basedOn w:val="4"/>
    <w:next w:val="4"/>
    <w:link w:val="53"/>
    <w:qFormat/>
    <w:uiPriority w:val="0"/>
    <w:rPr>
      <w:b/>
      <w:bCs/>
    </w:rPr>
  </w:style>
  <w:style w:type="paragraph" w:styleId="20">
    <w:name w:val="Body Text First Indent"/>
    <w:basedOn w:val="5"/>
    <w:qFormat/>
    <w:uiPriority w:val="0"/>
    <w:pPr>
      <w:ind w:firstLine="100" w:firstLineChars="100"/>
    </w:p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iCs/>
    </w:rPr>
  </w:style>
  <w:style w:type="character" w:styleId="25">
    <w:name w:val="Hyperlink"/>
    <w:basedOn w:val="23"/>
    <w:unhideWhenUsed/>
    <w:qFormat/>
    <w:uiPriority w:val="99"/>
    <w:rPr>
      <w:color w:val="0000FF"/>
      <w:u w:val="single"/>
    </w:rPr>
  </w:style>
  <w:style w:type="character" w:styleId="26">
    <w:name w:val="annotation reference"/>
    <w:qFormat/>
    <w:uiPriority w:val="0"/>
    <w:rPr>
      <w:sz w:val="21"/>
      <w:szCs w:val="21"/>
    </w:rPr>
  </w:style>
  <w:style w:type="paragraph" w:customStyle="1" w:styleId="2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3">
    <w:name w:val="封面标准英文名称"/>
    <w:basedOn w:val="32"/>
    <w:qFormat/>
    <w:uiPriority w:val="0"/>
    <w:pPr>
      <w:framePr w:wrap="around"/>
      <w:spacing w:before="370" w:line="400" w:lineRule="exact"/>
    </w:pPr>
    <w:rPr>
      <w:rFonts w:ascii="Times New Roman"/>
      <w:sz w:val="28"/>
      <w:szCs w:val="28"/>
    </w:rPr>
  </w:style>
  <w:style w:type="paragraph" w:customStyle="1" w:styleId="34">
    <w:name w:val="封面一致性程度标识"/>
    <w:basedOn w:val="33"/>
    <w:qFormat/>
    <w:uiPriority w:val="0"/>
    <w:pPr>
      <w:framePr w:wrap="around"/>
      <w:spacing w:before="440"/>
    </w:pPr>
    <w:rPr>
      <w:rFonts w:ascii="宋体" w:eastAsia="宋体"/>
    </w:rPr>
  </w:style>
  <w:style w:type="paragraph" w:customStyle="1" w:styleId="35">
    <w:name w:val="封面标准文稿类别"/>
    <w:basedOn w:val="34"/>
    <w:qFormat/>
    <w:uiPriority w:val="0"/>
    <w:pPr>
      <w:framePr w:wrap="around"/>
      <w:spacing w:after="160" w:line="240" w:lineRule="auto"/>
    </w:pPr>
    <w:rPr>
      <w:sz w:val="24"/>
    </w:rPr>
  </w:style>
  <w:style w:type="paragraph" w:customStyle="1" w:styleId="36">
    <w:name w:val="封面标准文稿编辑信息"/>
    <w:basedOn w:val="35"/>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y="15310"/>
      <w:spacing w:line="0" w:lineRule="atLeast"/>
    </w:pPr>
    <w:rPr>
      <w:rFonts w:ascii="黑体" w:eastAsia="黑体"/>
      <w:b w:val="0"/>
    </w:rPr>
  </w:style>
  <w:style w:type="paragraph" w:customStyle="1" w:styleId="42">
    <w:name w:val="发布部门"/>
    <w:next w:val="4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3">
    <w:name w:val="段"/>
    <w:link w:val="51"/>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4">
    <w:name w:val="发布"/>
    <w:qFormat/>
    <w:uiPriority w:val="0"/>
    <w:rPr>
      <w:rFonts w:ascii="黑体" w:eastAsia="黑体"/>
      <w:spacing w:val="85"/>
      <w:w w:val="100"/>
      <w:position w:val="3"/>
      <w:sz w:val="28"/>
      <w:szCs w:val="28"/>
    </w:rPr>
  </w:style>
  <w:style w:type="paragraph" w:customStyle="1" w:styleId="45">
    <w:name w:val="前言、引言标题"/>
    <w:next w:val="43"/>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6">
    <w:name w:val="目次、标准名称标题"/>
    <w:basedOn w:val="1"/>
    <w:next w:val="43"/>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7">
    <w:name w:val="章标题"/>
    <w:next w:val="4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8">
    <w:name w:val="终结线"/>
    <w:basedOn w:val="1"/>
    <w:qFormat/>
    <w:uiPriority w:val="0"/>
    <w:pPr>
      <w:framePr w:hSpace="181" w:vSpace="181" w:wrap="around" w:vAnchor="text" w:hAnchor="margin" w:xAlign="center" w:y="285"/>
    </w:pPr>
  </w:style>
  <w:style w:type="character" w:customStyle="1" w:styleId="49">
    <w:name w:val="页眉 字符"/>
    <w:link w:val="12"/>
    <w:qFormat/>
    <w:uiPriority w:val="99"/>
    <w:rPr>
      <w:kern w:val="2"/>
      <w:sz w:val="18"/>
      <w:szCs w:val="18"/>
    </w:rPr>
  </w:style>
  <w:style w:type="paragraph" w:customStyle="1" w:styleId="50">
    <w:name w:val="修订1"/>
    <w:hidden/>
    <w:unhideWhenUsed/>
    <w:qFormat/>
    <w:uiPriority w:val="99"/>
    <w:rPr>
      <w:rFonts w:ascii="Calibri" w:hAnsi="Calibri" w:eastAsia="宋体" w:cs="Times New Roman"/>
      <w:kern w:val="2"/>
      <w:sz w:val="21"/>
      <w:szCs w:val="24"/>
      <w:lang w:val="en-US" w:eastAsia="zh-CN" w:bidi="ar-SA"/>
    </w:rPr>
  </w:style>
  <w:style w:type="character" w:customStyle="1" w:styleId="51">
    <w:name w:val="段 Char"/>
    <w:link w:val="43"/>
    <w:qFormat/>
    <w:uiPriority w:val="0"/>
    <w:rPr>
      <w:rFonts w:ascii="黑体" w:hAnsi="黑体" w:eastAsia="黑体"/>
      <w:sz w:val="21"/>
      <w:szCs w:val="22"/>
    </w:rPr>
  </w:style>
  <w:style w:type="character" w:customStyle="1" w:styleId="52">
    <w:name w:val="批注文字 字符"/>
    <w:link w:val="4"/>
    <w:qFormat/>
    <w:uiPriority w:val="0"/>
    <w:rPr>
      <w:kern w:val="2"/>
      <w:sz w:val="21"/>
      <w:szCs w:val="24"/>
    </w:rPr>
  </w:style>
  <w:style w:type="character" w:customStyle="1" w:styleId="53">
    <w:name w:val="批注主题 字符"/>
    <w:link w:val="19"/>
    <w:qFormat/>
    <w:uiPriority w:val="0"/>
    <w:rPr>
      <w:b/>
      <w:bCs/>
      <w:kern w:val="2"/>
      <w:sz w:val="21"/>
      <w:szCs w:val="24"/>
    </w:rPr>
  </w:style>
  <w:style w:type="character" w:customStyle="1" w:styleId="54">
    <w:name w:val="批注框文本 字符"/>
    <w:link w:val="10"/>
    <w:qFormat/>
    <w:uiPriority w:val="0"/>
    <w:rPr>
      <w:kern w:val="2"/>
      <w:sz w:val="18"/>
      <w:szCs w:val="18"/>
    </w:rPr>
  </w:style>
  <w:style w:type="paragraph" w:styleId="55">
    <w:name w:val="List Paragraph"/>
    <w:basedOn w:val="1"/>
    <w:qFormat/>
    <w:uiPriority w:val="99"/>
  </w:style>
  <w:style w:type="character" w:customStyle="1" w:styleId="56">
    <w:name w:val="页脚 字符"/>
    <w:link w:val="11"/>
    <w:qFormat/>
    <w:uiPriority w:val="99"/>
    <w:rPr>
      <w:rFonts w:ascii="Calibri" w:hAnsi="Calibri" w:eastAsia="宋体" w:cs="Times New Roman"/>
      <w:kern w:val="2"/>
      <w:sz w:val="18"/>
      <w:szCs w:val="24"/>
    </w:rPr>
  </w:style>
  <w:style w:type="paragraph" w:customStyle="1" w:styleId="57">
    <w:name w:val="一级条标题"/>
    <w:next w:val="43"/>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0">
    <w:name w:val="二级条标题"/>
    <w:basedOn w:val="57"/>
    <w:next w:val="43"/>
    <w:qFormat/>
    <w:uiPriority w:val="0"/>
    <w:pPr>
      <w:spacing w:before="50" w:after="50"/>
      <w:ind w:left="0"/>
      <w:outlineLvl w:val="3"/>
    </w:pPr>
  </w:style>
  <w:style w:type="paragraph" w:customStyle="1" w:styleId="61">
    <w:name w:val="三级条标题"/>
    <w:basedOn w:val="60"/>
    <w:next w:val="43"/>
    <w:qFormat/>
    <w:uiPriority w:val="0"/>
    <w:pPr>
      <w:ind w:left="1134"/>
      <w:outlineLvl w:val="4"/>
    </w:pPr>
  </w:style>
  <w:style w:type="paragraph" w:customStyle="1" w:styleId="62">
    <w:name w:val="四级条标题"/>
    <w:basedOn w:val="61"/>
    <w:next w:val="43"/>
    <w:qFormat/>
    <w:uiPriority w:val="0"/>
    <w:pPr>
      <w:ind w:left="0"/>
      <w:outlineLvl w:val="5"/>
    </w:pPr>
  </w:style>
  <w:style w:type="paragraph" w:customStyle="1" w:styleId="63">
    <w:name w:val="五级条标题"/>
    <w:basedOn w:val="62"/>
    <w:next w:val="43"/>
    <w:qFormat/>
    <w:uiPriority w:val="0"/>
    <w:pPr>
      <w:outlineLvl w:val="6"/>
    </w:pPr>
  </w:style>
  <w:style w:type="character" w:customStyle="1" w:styleId="64">
    <w:name w:val="纯文本 字符"/>
    <w:link w:val="8"/>
    <w:qFormat/>
    <w:uiPriority w:val="0"/>
    <w:rPr>
      <w:rFonts w:ascii="宋体" w:hAnsi="Courier New" w:eastAsia="宋体" w:cs="Courier New"/>
      <w:kern w:val="2"/>
      <w:sz w:val="21"/>
      <w:szCs w:val="21"/>
    </w:rPr>
  </w:style>
  <w:style w:type="character" w:customStyle="1" w:styleId="65">
    <w:name w:val="标题 字符"/>
    <w:link w:val="18"/>
    <w:qFormat/>
    <w:uiPriority w:val="0"/>
    <w:rPr>
      <w:rFonts w:ascii="Calibri Light" w:hAnsi="Calibri Light" w:cs="Times New Roman"/>
      <w:b/>
      <w:bCs/>
      <w:kern w:val="2"/>
      <w:sz w:val="32"/>
      <w:szCs w:val="32"/>
    </w:rPr>
  </w:style>
  <w:style w:type="character" w:styleId="66">
    <w:name w:val="Placeholder Text"/>
    <w:basedOn w:val="23"/>
    <w:semiHidden/>
    <w:qFormat/>
    <w:uiPriority w:val="99"/>
    <w:rPr>
      <w:color w:val="808080"/>
    </w:rPr>
  </w:style>
  <w:style w:type="paragraph" w:customStyle="1" w:styleId="67">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8">
    <w:name w:val="章"/>
    <w:basedOn w:val="1"/>
    <w:next w:val="43"/>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69">
    <w:name w:val="标题 2 字符"/>
    <w:basedOn w:val="23"/>
    <w:link w:val="3"/>
    <w:qFormat/>
    <w:uiPriority w:val="0"/>
    <w:rPr>
      <w:rFonts w:asciiTheme="majorHAnsi" w:hAnsiTheme="majorHAnsi" w:eastAsiaTheme="majorEastAsia" w:cstheme="majorBidi"/>
      <w:b/>
      <w:bCs/>
      <w:kern w:val="2"/>
      <w:sz w:val="32"/>
      <w:szCs w:val="32"/>
    </w:rPr>
  </w:style>
  <w:style w:type="paragraph" w:customStyle="1" w:styleId="70">
    <w:name w:val="附录A列表"/>
    <w:basedOn w:val="1"/>
    <w:qFormat/>
    <w:uiPriority w:val="0"/>
    <w:pPr>
      <w:keepNext/>
      <w:spacing w:line="300" w:lineRule="auto"/>
      <w:jc w:val="center"/>
    </w:pPr>
  </w:style>
  <w:style w:type="paragraph" w:customStyle="1" w:styleId="71">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2">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3">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4">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5">
    <w:name w:val="TOC 标题2"/>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6">
    <w:name w:val="日期 字符"/>
    <w:basedOn w:val="23"/>
    <w:link w:val="9"/>
    <w:qFormat/>
    <w:uiPriority w:val="0"/>
    <w:rPr>
      <w:rFonts w:asciiTheme="minorEastAsia" w:hAnsiTheme="minorEastAsia" w:eastAsiaTheme="minorEastAsia"/>
      <w:sz w:val="21"/>
      <w:szCs w:val="22"/>
    </w:rPr>
  </w:style>
  <w:style w:type="paragraph" w:customStyle="1" w:styleId="77">
    <w:name w:val="一级无"/>
    <w:basedOn w:val="57"/>
    <w:qFormat/>
    <w:uiPriority w:val="0"/>
    <w:pPr>
      <w:spacing w:beforeLines="0" w:afterLines="0"/>
    </w:pPr>
    <w:rPr>
      <w:rFonts w:ascii="宋体" w:eastAsia="宋体"/>
    </w:rPr>
  </w:style>
  <w:style w:type="paragraph" w:customStyle="1" w:styleId="78">
    <w:name w:val="二级无"/>
    <w:basedOn w:val="60"/>
    <w:qFormat/>
    <w:uiPriority w:val="0"/>
    <w:pPr>
      <w:spacing w:before="0" w:beforeLines="0" w:after="0" w:afterLines="0"/>
    </w:pPr>
    <w:rPr>
      <w:rFonts w:ascii="宋体" w:eastAsia="宋体"/>
    </w:rPr>
  </w:style>
  <w:style w:type="paragraph" w:customStyle="1" w:styleId="7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80">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character" w:customStyle="1" w:styleId="81">
    <w:name w:val="10"/>
    <w:basedOn w:val="23"/>
    <w:qFormat/>
    <w:uiPriority w:val="0"/>
    <w:rPr>
      <w:rFonts w:hint="default" w:ascii="Times New Roman" w:hAnsi="Times New Roman" w:cs="Times New Roman"/>
    </w:rPr>
  </w:style>
  <w:style w:type="character" w:customStyle="1" w:styleId="82">
    <w:name w:val="15"/>
    <w:basedOn w:val="23"/>
    <w:qFormat/>
    <w:uiPriority w:val="0"/>
    <w:rPr>
      <w:rFonts w:hint="default" w:ascii="Times New Roman" w:hAnsi="Times New Roman" w:eastAsia="宋体" w:cs="Times New Roman"/>
      <w:sz w:val="18"/>
      <w:szCs w:val="18"/>
    </w:rPr>
  </w:style>
  <w:style w:type="paragraph" w:customStyle="1" w:styleId="83">
    <w:name w:val="Revision"/>
    <w:hidden/>
    <w:unhideWhenUsed/>
    <w:qFormat/>
    <w:uiPriority w:val="99"/>
    <w:rPr>
      <w:rFonts w:cs="Times New Roman" w:asciiTheme="minorEastAsia" w:hAnsiTheme="minorEastAsia" w:eastAsiaTheme="minorEastAsia"/>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7</Pages>
  <Words>1751</Words>
  <Characters>2153</Characters>
  <Lines>197</Lines>
  <Paragraphs>263</Paragraphs>
  <TotalTime>4</TotalTime>
  <ScaleCrop>false</ScaleCrop>
  <LinksUpToDate>false</LinksUpToDate>
  <CharactersWithSpaces>2238</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2022-06-16T14:02:00Z</dcterms:created>
  <dc:creator>梵高先生 </dc:creator>
  <cp:lastModifiedBy>白乙含</cp:lastModifiedBy>
  <cp:lastPrinted>2022-05-11T11:12:00Z</cp:lastPrinted>
  <dcterms:modified xsi:type="dcterms:W3CDTF">2025-09-09T10:41:13Z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D50571A83822421AAC2F9D6D247BE5B3</vt:lpwstr>
  </property>
  <property fmtid="{D5CDD505-2E9C-101B-9397-08002B2CF9AE}" pid="4" name="KSOTemplateDocerSaveRecord">
    <vt:lpwstr>eyJoZGlkIjoiOTRiM2JjOWQ5YmIxM2NmNzA2YjMyNDliMzczNjFhNWMiLCJ1c2VySWQiOiIxNDQ3NzcxMDQ5In0=</vt:lpwstr>
  </property>
</Properties>
</file>