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91B4A">
      <w:pPr>
        <w:autoSpaceDE/>
        <w:autoSpaceDN/>
        <w:rPr>
          <w:rFonts w:hint="eastAsia"/>
        </w:rPr>
      </w:pPr>
    </w:p>
    <w:p w14:paraId="5632B510">
      <w:pPr>
        <w:autoSpaceDE/>
        <w:autoSpaceDN/>
      </w:pPr>
    </w:p>
    <w:p w14:paraId="0AF1BA1C">
      <w:pPr>
        <w:autoSpaceDE/>
        <w:autoSpaceDN/>
      </w:pPr>
    </w:p>
    <w:p w14:paraId="192CC8D3">
      <w:pPr>
        <w:pStyle w:val="27"/>
        <w:framePr w:wrap="around"/>
      </w:pPr>
      <w:r>
        <w:rPr>
          <w:rFonts w:ascii="Times New Roman"/>
        </w:rPr>
        <w:t>ICS</w:t>
      </w:r>
      <w:r>
        <w:rPr>
          <w:rFonts w:hint="eastAsia" w:ascii="MS Gothic" w:hAnsi="MS Gothic" w:eastAsia="MS Gothic" w:cs="MS Gothic"/>
        </w:rPr>
        <w:t> </w:t>
      </w:r>
      <w:r>
        <w:rPr>
          <w:rFonts w:hint="eastAsia" w:eastAsia="宋体"/>
          <w:sz w:val="18"/>
          <w:lang w:val="en-US" w:eastAsia="zh-CN"/>
        </w:rPr>
        <w:t>7</w:t>
      </w:r>
      <w:r>
        <w:rPr>
          <w:sz w:val="18"/>
        </w:rPr>
        <w:t>1.100.</w:t>
      </w:r>
      <w:r>
        <w:rPr>
          <w:rFonts w:hint="eastAsia"/>
          <w:sz w:val="18"/>
          <w:lang w:val="en-US" w:eastAsia="zh-CN"/>
        </w:rPr>
        <w:t>5</w:t>
      </w:r>
      <w:r>
        <w:rPr>
          <w:sz w:val="18"/>
        </w:rPr>
        <w:t>0</w:t>
      </w:r>
    </w:p>
    <w:p w14:paraId="71E9C143">
      <w:pPr>
        <w:pStyle w:val="27"/>
        <w:framePr w:wrap="around"/>
        <w:rPr>
          <w:rFonts w:hint="default" w:eastAsia="黑体"/>
          <w:lang w:val="en-US" w:eastAsia="zh-CN"/>
        </w:rPr>
      </w:pPr>
      <w:bookmarkStart w:id="0" w:name="WXFLH"/>
      <w:r>
        <w:t xml:space="preserve">CCS </w:t>
      </w:r>
      <w:bookmarkEnd w:id="0"/>
      <w:r>
        <w:rPr>
          <w:rFonts w:hint="eastAsia"/>
          <w:lang w:val="en-US" w:eastAsia="zh-CN"/>
        </w:rPr>
        <w:t>B</w:t>
      </w:r>
      <w:r>
        <w:rPr>
          <w:rFonts w:hint="eastAsia"/>
          <w:sz w:val="18"/>
          <w:lang w:val="en-US" w:eastAsia="zh-CN"/>
        </w:rPr>
        <w:t>71</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49E17539">
        <w:tc>
          <w:tcPr>
            <w:tcW w:w="9854" w:type="dxa"/>
            <w:tcBorders>
              <w:top w:val="nil"/>
              <w:left w:val="nil"/>
              <w:bottom w:val="nil"/>
              <w:right w:val="nil"/>
            </w:tcBorders>
          </w:tcPr>
          <w:p w14:paraId="262E9F3C">
            <w:pPr>
              <w:pStyle w:val="27"/>
              <w:framePr w:wrap="around"/>
            </w:pPr>
            <w:r>
              <w:rPr>
                <w:rFonts w:ascii="Times New Roman"/>
              </w:rPr>
              <w:t>备案号：</w:t>
            </w: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0E0A0991"/>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0E0A0991"/>
                        </w:txbxContent>
                      </v:textbox>
                    </v:rect>
                  </w:pict>
                </mc:Fallback>
              </mc:AlternateContent>
            </w:r>
          </w:p>
        </w:tc>
      </w:tr>
    </w:tbl>
    <w:p w14:paraId="2FE1CFBE">
      <w:pPr>
        <w:pStyle w:val="28"/>
        <w:framePr w:wrap="around"/>
        <w:rPr>
          <w:b w:val="0"/>
        </w:rPr>
      </w:pPr>
      <w:bookmarkStart w:id="1" w:name="c1"/>
      <w:r>
        <w:rPr>
          <w:b w:val="0"/>
        </w:rPr>
        <w:fldChar w:fldCharType="begin">
          <w:ffData>
            <w:name w:val="c1"/>
            <w:enabled/>
            <w:calcOnExit w:val="0"/>
            <w:entryMacro w:val="ShowHelp15"/>
            <w:textInput>
              <w:maxLength w:val="2"/>
            </w:textInput>
          </w:ffData>
        </w:fldChar>
      </w:r>
      <w:r>
        <w:rPr>
          <w:b w:val="0"/>
        </w:rPr>
        <w:instrText xml:space="preserve"> FORMTEXT </w:instrText>
      </w:r>
      <w:r>
        <w:rPr>
          <w:b w:val="0"/>
        </w:rPr>
        <w:fldChar w:fldCharType="separate"/>
      </w:r>
      <w:r>
        <w:rPr>
          <w:rFonts w:hint="eastAsia"/>
          <w:b w:val="0"/>
        </w:rPr>
        <w:t>JC</w:t>
      </w:r>
      <w:r>
        <w:rPr>
          <w:b w:val="0"/>
        </w:rPr>
        <w:fldChar w:fldCharType="end"/>
      </w:r>
      <w:bookmarkEnd w:id="1"/>
    </w:p>
    <w:p w14:paraId="263DADAA">
      <w:pPr>
        <w:pStyle w:val="29"/>
        <w:framePr w:wrap="around"/>
      </w:pPr>
      <w:r>
        <w:rPr>
          <w:rFonts w:hint="eastAsia"/>
        </w:rPr>
        <w:t>中华人民共和国</w:t>
      </w:r>
      <w:bookmarkStart w:id="2" w:name="c2"/>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bookmarkEnd w:id="2"/>
      <w:r>
        <w:rPr>
          <w:rFonts w:hint="eastAsia"/>
        </w:rPr>
        <w:t>行业标准</w:t>
      </w:r>
    </w:p>
    <w:p w14:paraId="16A71CCB">
      <w:pPr>
        <w:pStyle w:val="30"/>
        <w:framePr w:wrap="around"/>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JC</w:t>
      </w:r>
      <w:r>
        <w:rPr>
          <w:rFonts w:ascii="Times New Roman"/>
        </w:rPr>
        <w:fldChar w:fldCharType="end"/>
      </w:r>
      <w:bookmarkEnd w:id="3"/>
      <w:r>
        <w:rPr>
          <w:rFonts w:ascii="Times New Roman"/>
        </w:rPr>
        <w:t xml:space="preserve">/T </w:t>
      </w:r>
      <w:bookmarkStart w:id="4"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4"/>
      <w:r>
        <w:t>—</w:t>
      </w:r>
      <w:bookmarkStart w:id="5"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5"/>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37ED0689">
        <w:tc>
          <w:tcPr>
            <w:tcW w:w="9356" w:type="dxa"/>
            <w:tcBorders>
              <w:top w:val="nil"/>
              <w:left w:val="nil"/>
              <w:bottom w:val="nil"/>
              <w:right w:val="nil"/>
            </w:tcBorders>
          </w:tcPr>
          <w:p w14:paraId="5E270307">
            <w:pPr>
              <w:pStyle w:val="31"/>
              <w:framePr w:wrap="around"/>
              <w:ind w:right="210"/>
            </w:pPr>
            <w:r>
              <w:rPr>
                <w:rFonts w:hint="eastAsia" w:ascii="黑体" w:hAnsi="黑体" w:eastAsia="黑体" w:cs="黑体"/>
                <w:color w:val="auto"/>
                <w:lang w:val="en-US" w:eastAsia="zh-CN"/>
              </w:rPr>
              <w:t>代替SB/T 10433-2007</w:t>
            </w:r>
          </w:p>
        </w:tc>
      </w:tr>
    </w:tbl>
    <w:p w14:paraId="09EFF8D2">
      <w:pPr>
        <w:pStyle w:val="30"/>
        <w:framePr w:wrap="around"/>
      </w:pPr>
    </w:p>
    <w:p w14:paraId="6C91733C">
      <w:pPr>
        <w:pStyle w:val="30"/>
        <w:framePr w:wrap="around"/>
      </w:pPr>
    </w:p>
    <w:p w14:paraId="5616143C">
      <w:pPr>
        <w:pStyle w:val="32"/>
        <w:framePr w:w="9293" w:wrap="around" w:x="1699"/>
        <w:pBdr>
          <w:top w:val="none" w:color="auto" w:sz="0" w:space="0"/>
          <w:left w:val="none" w:color="auto" w:sz="0" w:space="0"/>
          <w:bottom w:val="none" w:color="auto" w:sz="0" w:space="0"/>
          <w:right w:val="none" w:color="auto" w:sz="0" w:space="0"/>
        </w:pBdr>
      </w:pPr>
      <w:r>
        <w:rPr>
          <w:rFonts w:hint="eastAsia"/>
        </w:rPr>
        <w:t>木材防腐剂—铜铬砷（</w:t>
      </w:r>
      <w:r>
        <w:rPr>
          <w:rFonts w:ascii="Times New Roman"/>
        </w:rPr>
        <w:t>CCA</w:t>
      </w:r>
      <w:r>
        <w:rPr>
          <w:rFonts w:hint="eastAsia"/>
        </w:rPr>
        <w:t>）</w:t>
      </w:r>
    </w:p>
    <w:p w14:paraId="71701262">
      <w:pPr>
        <w:pStyle w:val="32"/>
        <w:framePr w:w="9293" w:wrap="around" w:x="1699"/>
        <w:rPr>
          <w:rFonts w:hint="eastAsia"/>
        </w:rPr>
      </w:pPr>
      <w:r>
        <w:rPr>
          <w:rFonts w:hint="eastAsia"/>
        </w:rPr>
        <w:t>（</w:t>
      </w:r>
      <w:r>
        <w:rPr>
          <w:rFonts w:hint="eastAsia"/>
          <w:lang w:val="en-US" w:eastAsia="zh-CN"/>
        </w:rPr>
        <w:t>征求意见稿</w:t>
      </w:r>
      <w:r>
        <w:rPr>
          <w:rFonts w:hint="eastAsia"/>
        </w:rPr>
        <w:t>）</w:t>
      </w:r>
    </w:p>
    <w:p w14:paraId="076DA50C">
      <w:pPr>
        <w:pStyle w:val="32"/>
        <w:framePr w:w="9293" w:wrap="around" w:x="1699"/>
        <w:rPr>
          <w:rFonts w:hint="eastAsia"/>
        </w:rPr>
      </w:pPr>
    </w:p>
    <w:tbl>
      <w:tblPr>
        <w:tblStyle w:val="2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34CF8D55">
        <w:tc>
          <w:tcPr>
            <w:tcW w:w="9855" w:type="dxa"/>
            <w:tcBorders>
              <w:top w:val="nil"/>
              <w:left w:val="nil"/>
              <w:bottom w:val="nil"/>
              <w:right w:val="nil"/>
            </w:tcBorders>
          </w:tcPr>
          <w:p w14:paraId="2E7C838D">
            <w:pPr>
              <w:pStyle w:val="33"/>
              <w:keepNext w:val="0"/>
              <w:keepLines w:val="0"/>
              <w:pageBreakBefore w:val="0"/>
              <w:framePr w:w="9293" w:wrap="around" w:x="1699"/>
              <w:widowControl w:val="0"/>
              <w:kinsoku/>
              <w:wordWrap/>
              <w:overflowPunct/>
              <w:topLinePunct w:val="0"/>
              <w:autoSpaceDE/>
              <w:autoSpaceDN/>
              <w:bidi w:val="0"/>
              <w:adjustRightInd/>
              <w:snapToGrid/>
              <w:textAlignment w:val="center"/>
              <w:rPr>
                <w:rFonts w:hint="default" w:ascii="Times New Roman Regular" w:hAnsi="Times New Roman Regular" w:cs="Times New Roman Regular"/>
                <w:sz w:val="21"/>
                <w:szCs w:val="21"/>
              </w:rPr>
            </w:pPr>
            <w:r>
              <w:rPr>
                <w:rFonts w:hint="default" w:ascii="Times New Roman Regular" w:hAnsi="Times New Roman Regular" w:eastAsia="微软雅黑" w:cs="Times New Roman Regular"/>
                <w:color w:val="333333"/>
                <w:sz w:val="21"/>
                <w:szCs w:val="21"/>
              </w:rPr>
              <w:t>Wood Preservatives—Chromated Copper Arsenate (CCA)</w:t>
            </w:r>
          </w:p>
          <w:p w14:paraId="0DDFE2AD">
            <w:pPr>
              <w:pStyle w:val="35"/>
              <w:framePr w:w="9293" w:wrap="around" w:x="1699"/>
              <w:rPr>
                <w:rFonts w:ascii="Times New Roman" w:eastAsia="黑体"/>
                <w:sz w:val="28"/>
              </w:rPr>
            </w:pPr>
            <w:r>
              <w:rPr>
                <w:rFonts w:ascii="Times New Roman" w:eastAsia="黑体"/>
                <w:sz w:val="28"/>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650FCB92"/>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650FCB92"/>
                        </w:txbxContent>
                      </v:textbox>
                      <w10:anchorlock/>
                    </v:rect>
                  </w:pict>
                </mc:Fallback>
              </mc:AlternateContent>
            </w:r>
          </w:p>
        </w:tc>
      </w:tr>
      <w:tr w14:paraId="5A276F21">
        <w:tc>
          <w:tcPr>
            <w:tcW w:w="9855" w:type="dxa"/>
            <w:tcBorders>
              <w:top w:val="nil"/>
              <w:left w:val="nil"/>
              <w:bottom w:val="nil"/>
              <w:right w:val="nil"/>
            </w:tcBorders>
          </w:tcPr>
          <w:p w14:paraId="530743BB">
            <w:pPr>
              <w:pStyle w:val="36"/>
              <w:framePr w:w="9293" w:wrap="around" w:x="1699"/>
            </w:pPr>
          </w:p>
        </w:tc>
      </w:tr>
    </w:tbl>
    <w:p w14:paraId="2A5E693E">
      <w:pPr>
        <w:pStyle w:val="37"/>
        <w:framePr w:wrap="around" w:hAnchor="page" w:x="1741" w:y="14041"/>
      </w:pPr>
      <w:bookmarkStart w:id="6"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0C28E857">
      <w:pPr>
        <w:pStyle w:val="39"/>
        <w:framePr w:wrap="around" w:hAnchor="page" w:x="7096" w:y="14176"/>
      </w:pPr>
      <w:bookmarkStart w:id="8"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714BBE1F">
      <w:pPr>
        <w:pStyle w:val="41"/>
        <w:framePr w:wrap="around" w:x="2186" w:y="15211"/>
      </w:pPr>
      <w:bookmarkStart w:id="11" w:name="fm"/>
      <w: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56AD5092"/>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56AD5092"/>
                  </w:txbxContent>
                </v:textbox>
              </v:rect>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2DDC12B9"/>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2DDC12B9"/>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1"/>
      <w:r>
        <w:rPr>
          <w:rStyle w:val="44"/>
          <w:rFonts w:hint="eastAsia"/>
        </w:rPr>
        <w:t>发布</w:t>
      </w:r>
    </w:p>
    <w:p w14:paraId="71D52980">
      <w:pPr>
        <w:autoSpaceDE/>
        <w:autoSpaceDN/>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506213B7">
      <w:pPr>
        <w:pStyle w:val="45"/>
        <w:tabs>
          <w:tab w:val="center" w:pos="4677"/>
          <w:tab w:val="left" w:pos="7092"/>
        </w:tabs>
        <w:jc w:val="left"/>
      </w:pPr>
      <w:r>
        <w:tab/>
      </w:r>
      <w:bookmarkStart w:id="12" w:name="_Toc103159534"/>
      <w:bookmarkStart w:id="13" w:name="_Toc65048765"/>
      <w:bookmarkStart w:id="14" w:name="_Toc65048651"/>
      <w:r>
        <w:rPr>
          <w:rFonts w:hint="eastAsia"/>
        </w:rPr>
        <w:t>前</w:t>
      </w:r>
      <w:bookmarkStart w:id="15" w:name="BKQY"/>
      <w:r>
        <w:rPr>
          <w:rFonts w:hAnsi="黑体"/>
        </w:rPr>
        <w:t>  </w:t>
      </w:r>
      <w:r>
        <w:rPr>
          <w:rFonts w:hint="eastAsia"/>
        </w:rPr>
        <w:t>言</w:t>
      </w:r>
      <w:bookmarkEnd w:id="12"/>
      <w:bookmarkEnd w:id="13"/>
      <w:bookmarkEnd w:id="14"/>
      <w:bookmarkEnd w:id="15"/>
      <w:r>
        <w:tab/>
      </w:r>
    </w:p>
    <w:p w14:paraId="13168C9C">
      <w:pPr>
        <w:autoSpaceDE/>
        <w:autoSpaceDN/>
        <w:rPr>
          <w:rFonts w:hint="eastAsia" w:cs="Times New Roman"/>
        </w:rPr>
      </w:pPr>
      <w:r>
        <w:rPr>
          <w:rFonts w:hint="eastAsia" w:cs="Times New Roman"/>
        </w:rPr>
        <w:t>本文件按照</w:t>
      </w:r>
      <w:r>
        <w:rPr>
          <w:rFonts w:hint="eastAsia" w:ascii="Times New Roman" w:hAnsi="Times New Roman" w:cs="Times New Roman"/>
          <w:color w:val="auto"/>
          <w:lang w:val="en-US" w:eastAsia="zh-CN"/>
        </w:rPr>
        <w:t>GB/T 1.1-2020《</w:t>
      </w:r>
      <w:r>
        <w:rPr>
          <w:rFonts w:hint="eastAsia" w:cs="Times New Roman"/>
        </w:rPr>
        <w:t>标准化工作导则 第</w:t>
      </w:r>
      <w:r>
        <w:rPr>
          <w:rFonts w:hint="eastAsia" w:ascii="Times New Roman" w:hAnsi="Times New Roman" w:cs="Times New Roman"/>
          <w:color w:val="auto"/>
          <w:lang w:val="en-US" w:eastAsia="zh-CN"/>
        </w:rPr>
        <w:t>1</w:t>
      </w:r>
      <w:r>
        <w:rPr>
          <w:rFonts w:hint="eastAsia" w:cs="Times New Roman"/>
        </w:rPr>
        <w:t>部分：标准化文件的结构和起草规则》的规定起草。</w:t>
      </w:r>
    </w:p>
    <w:p w14:paraId="22917C80">
      <w:pPr>
        <w:autoSpaceDE/>
        <w:autoSpaceDN/>
        <w:rPr>
          <w:rFonts w:hint="eastAsia" w:cs="Times New Roman"/>
          <w:lang w:val="en-US" w:eastAsia="zh-CN"/>
        </w:rPr>
      </w:pPr>
      <w:r>
        <w:rPr>
          <w:rFonts w:hint="eastAsia" w:cs="Times New Roman"/>
          <w:lang w:eastAsia="zh-CN"/>
        </w:rPr>
        <w:t>本文件代替</w:t>
      </w:r>
      <w:r>
        <w:rPr>
          <w:rFonts w:hint="eastAsia" w:ascii="Times New Roman" w:hAnsi="Times New Roman" w:cs="Times New Roman"/>
          <w:color w:val="auto"/>
          <w:lang w:val="en-US" w:eastAsia="zh-CN"/>
        </w:rPr>
        <w:t>SB/T 10433-2007《木材防腐剂 铜铬砷(CCA) 》，与SB/T 10433-2007</w:t>
      </w:r>
      <w:r>
        <w:rPr>
          <w:rFonts w:hint="eastAsia" w:cs="Times New Roman"/>
          <w:lang w:val="en-US" w:eastAsia="zh-CN"/>
        </w:rPr>
        <w:t>相比，除</w:t>
      </w:r>
      <w:r>
        <w:rPr>
          <w:rFonts w:hint="default" w:ascii="Times New Roman" w:hAnsi="Times New Roman"/>
          <w:lang w:val="en-US" w:eastAsia="zh-CN"/>
        </w:rPr>
        <w:t>结构调整和编辑性改动外</w:t>
      </w:r>
      <w:r>
        <w:rPr>
          <w:rFonts w:hint="eastAsia" w:cs="Times New Roman"/>
          <w:lang w:val="en-US" w:eastAsia="zh-CN"/>
        </w:rPr>
        <w:t>，主要技术变化如下：</w:t>
      </w:r>
    </w:p>
    <w:p w14:paraId="733AC9CB">
      <w:pPr>
        <w:autoSpaceDE/>
        <w:autoSpaceDN/>
        <w:rPr>
          <w:rFonts w:hint="eastAsia" w:cs="Times New Roman"/>
          <w:lang w:val="en-US" w:eastAsia="zh-CN"/>
        </w:rPr>
      </w:pPr>
      <w:r>
        <w:rPr>
          <w:rFonts w:hint="default" w:ascii="Times New Roman" w:hAnsi="Times New Roman"/>
          <w:color w:val="0000FF"/>
        </w:rPr>
        <w:t>a</w:t>
      </w:r>
      <w:r>
        <w:rPr>
          <w:rFonts w:hint="default" w:ascii="Times New Roman" w:hAnsi="Times New Roman"/>
          <w:color w:val="auto"/>
        </w:rPr>
        <w:t>）</w:t>
      </w:r>
      <w:r>
        <w:rPr>
          <w:rFonts w:hint="eastAsia" w:cs="Times New Roman"/>
          <w:lang w:val="en-US" w:eastAsia="zh-CN"/>
        </w:rPr>
        <w:t>增加了</w:t>
      </w:r>
      <w:r>
        <w:rPr>
          <w:rFonts w:hint="eastAsia" w:ascii="Times New Roman" w:hAnsi="Times New Roman" w:cs="Times New Roman"/>
          <w:color w:val="auto"/>
          <w:lang w:val="en-US" w:eastAsia="zh-CN"/>
        </w:rPr>
        <w:t>2</w:t>
      </w:r>
      <w:r>
        <w:rPr>
          <w:rFonts w:hint="eastAsia" w:cs="Times New Roman"/>
          <w:lang w:val="en-US" w:eastAsia="zh-CN"/>
        </w:rPr>
        <w:t>项试验方法：</w:t>
      </w:r>
    </w:p>
    <w:p w14:paraId="08518D34">
      <w:pPr>
        <w:autoSpaceDE/>
        <w:autoSpaceDN/>
        <w:ind w:firstLine="630" w:firstLineChars="300"/>
        <w:rPr>
          <w:rFonts w:hint="eastAsia" w:cs="Times New Roman"/>
          <w:lang w:val="en-US" w:eastAsia="zh-CN"/>
        </w:rPr>
      </w:pPr>
      <w:r>
        <w:rPr>
          <w:rFonts w:hint="eastAsia" w:cs="Times New Roman"/>
          <w:lang w:val="en-US" w:eastAsia="zh-CN"/>
        </w:rPr>
        <w:t>——</w:t>
      </w:r>
      <w:r>
        <w:rPr>
          <w:rFonts w:hint="eastAsia" w:ascii="Times New Roman" w:hAnsi="Times New Roman"/>
          <w:color w:val="000000" w:themeColor="text1"/>
          <w14:textFill>
            <w14:solidFill>
              <w14:schemeClr w14:val="tx1"/>
            </w14:solidFill>
          </w14:textFill>
        </w:rPr>
        <w:t>电感耦合等离子体发射光谱</w:t>
      </w:r>
      <w:r>
        <w:rPr>
          <w:rFonts w:hint="eastAsia" w:ascii="Times New Roman" w:hAnsi="Times New Roman"/>
          <w:color w:val="000000" w:themeColor="text1"/>
          <w:lang w:val="en-US" w:eastAsia="zh-CN"/>
          <w14:textFill>
            <w14:solidFill>
              <w14:schemeClr w14:val="tx1"/>
            </w14:solidFill>
          </w14:textFill>
        </w:rPr>
        <w:t>法（</w:t>
      </w:r>
      <w:r>
        <w:rPr>
          <w:rFonts w:hint="eastAsia" w:ascii="Times New Roman" w:hAnsi="Times New Roman" w:cs="Times New Roman"/>
          <w:color w:val="auto"/>
          <w:lang w:val="en-US" w:eastAsia="zh-CN"/>
        </w:rPr>
        <w:t>ICP-oes）测CCA</w:t>
      </w:r>
      <w:r>
        <w:rPr>
          <w:rFonts w:hint="eastAsia" w:cs="Times New Roman"/>
          <w:lang w:val="en-US" w:eastAsia="zh-CN"/>
        </w:rPr>
        <w:t>型防腐剂中铜铬砷（见5.2.3）</w:t>
      </w:r>
    </w:p>
    <w:p w14:paraId="29219DB8">
      <w:pPr>
        <w:autoSpaceDE/>
        <w:autoSpaceDN/>
        <w:ind w:firstLine="630" w:firstLineChars="300"/>
        <w:rPr>
          <w:rFonts w:hint="eastAsia" w:cs="Times New Roman"/>
          <w:lang w:val="en-US" w:eastAsia="zh-CN"/>
        </w:rPr>
      </w:pPr>
      <w:r>
        <w:rPr>
          <w:rFonts w:hint="eastAsia" w:cs="Times New Roman"/>
          <w:lang w:val="en-US" w:eastAsia="zh-CN"/>
        </w:rPr>
        <w:t>——</w:t>
      </w:r>
      <w:r>
        <w:rPr>
          <w:rFonts w:hint="eastAsia" w:ascii="Times New Roman" w:hAnsi="Times New Roman"/>
          <w:color w:val="000000" w:themeColor="text1"/>
          <w14:textFill>
            <w14:solidFill>
              <w14:schemeClr w14:val="tx1"/>
            </w14:solidFill>
          </w14:textFill>
        </w:rPr>
        <w:t>电感耦合等离子体质谱法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s="Times New Roman"/>
          <w:color w:val="auto"/>
          <w:lang w:val="en-US" w:eastAsia="zh-CN"/>
        </w:rPr>
        <w:t>ICP-MS）测CCA型</w:t>
      </w:r>
      <w:r>
        <w:rPr>
          <w:rFonts w:hint="eastAsia" w:cs="Times New Roman"/>
          <w:lang w:val="en-US" w:eastAsia="zh-CN"/>
        </w:rPr>
        <w:t>防腐剂中铜铬砷（见5.2.4）</w:t>
      </w:r>
    </w:p>
    <w:p w14:paraId="48133CF6">
      <w:pPr>
        <w:autoSpaceDE/>
        <w:autoSpaceDN/>
        <w:rPr>
          <w:rFonts w:hint="eastAsia" w:cs="Times New Roman"/>
        </w:rPr>
      </w:pPr>
      <w:r>
        <w:rPr>
          <w:rFonts w:hint="eastAsia" w:cs="Times New Roman"/>
        </w:rPr>
        <w:t>请注意本文件的某些内容可能涉及专利。本文件的发布机构不承担识别专利的责任。</w:t>
      </w:r>
    </w:p>
    <w:p w14:paraId="69101622">
      <w:pPr>
        <w:pStyle w:val="81"/>
        <w:spacing w:line="360" w:lineRule="exact"/>
        <w:ind w:firstLine="428" w:firstLineChars="200"/>
        <w:rPr>
          <w:color w:val="000000" w:themeColor="text1"/>
          <w:spacing w:val="2"/>
          <w:szCs w:val="21"/>
          <w:highlight w:val="none"/>
          <w14:textFill>
            <w14:solidFill>
              <w14:schemeClr w14:val="tx1"/>
            </w14:solidFill>
          </w14:textFill>
        </w:rPr>
      </w:pPr>
      <w:r>
        <w:rPr>
          <w:color w:val="000000" w:themeColor="text1"/>
          <w:spacing w:val="2"/>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文件</w:t>
      </w:r>
      <w:r>
        <w:rPr>
          <w:color w:val="000000" w:themeColor="text1"/>
          <w:spacing w:val="2"/>
          <w:szCs w:val="21"/>
          <w:highlight w:val="none"/>
          <w14:textFill>
            <w14:solidFill>
              <w14:schemeClr w14:val="tx1"/>
            </w14:solidFill>
          </w14:textFill>
        </w:rPr>
        <w:t>由中国建筑材料联合会提出。</w:t>
      </w:r>
    </w:p>
    <w:p w14:paraId="06458E9B">
      <w:pPr>
        <w:pStyle w:val="8"/>
        <w:spacing w:line="360" w:lineRule="exact"/>
        <w:ind w:firstLine="420" w:firstLineChars="200"/>
        <w:rPr>
          <w:rFonts w:hint="eastAsia"/>
        </w:rPr>
      </w:pPr>
      <w:r>
        <w:rPr>
          <w:rFonts w:hAnsi="宋体"/>
          <w:color w:val="000000" w:themeColor="text1"/>
          <w:szCs w:val="21"/>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szCs w:val="21"/>
          <w:highlight w:val="none"/>
          <w14:textFill>
            <w14:solidFill>
              <w14:schemeClr w14:val="tx1"/>
            </w14:solidFill>
          </w14:textFill>
        </w:rPr>
        <w:t>由</w:t>
      </w:r>
      <w:r>
        <w:rPr>
          <w:rFonts w:hint="eastAsia" w:hAnsi="宋体"/>
          <w:color w:val="000000" w:themeColor="text1"/>
          <w:szCs w:val="21"/>
          <w:highlight w:val="none"/>
          <w14:textFill>
            <w14:solidFill>
              <w14:schemeClr w14:val="tx1"/>
            </w14:solidFill>
          </w14:textFill>
        </w:rPr>
        <w:t>建材</w:t>
      </w:r>
      <w:r>
        <w:rPr>
          <w:rFonts w:hAnsi="宋体"/>
          <w:color w:val="000000" w:themeColor="text1"/>
          <w:szCs w:val="21"/>
          <w:highlight w:val="none"/>
          <w14:textFill>
            <w14:solidFill>
              <w14:schemeClr w14:val="tx1"/>
            </w14:solidFill>
          </w14:textFill>
        </w:rPr>
        <w:t>工业综合标准化技术委员会归口。</w:t>
      </w:r>
    </w:p>
    <w:p w14:paraId="040D0368">
      <w:pPr>
        <w:autoSpaceDE/>
        <w:autoSpaceDN/>
        <w:rPr>
          <w:rFonts w:hint="eastAsia" w:cs="Times New Roman"/>
        </w:rPr>
      </w:pPr>
      <w:r>
        <w:rPr>
          <w:rFonts w:hint="eastAsia" w:cs="Times New Roman"/>
        </w:rPr>
        <w:t>本文件起草单位：</w:t>
      </w:r>
      <w:r>
        <w:rPr>
          <w:rFonts w:hint="eastAsia"/>
        </w:rPr>
        <w:t>木材节约发展中心。</w:t>
      </w:r>
    </w:p>
    <w:p w14:paraId="342D5E5D">
      <w:pPr>
        <w:autoSpaceDE/>
        <w:autoSpaceDN/>
        <w:rPr>
          <w:rFonts w:hint="eastAsia" w:cs="Times New Roman"/>
        </w:rPr>
      </w:pPr>
      <w:r>
        <w:rPr>
          <w:rFonts w:hint="eastAsia" w:cs="Times New Roman"/>
        </w:rPr>
        <w:t>本文件主要起草人：</w:t>
      </w:r>
      <w:r>
        <w:rPr>
          <w:rFonts w:hint="eastAsia"/>
          <w:lang w:val="en-US" w:eastAsia="zh-CN"/>
        </w:rPr>
        <w:t>×××</w:t>
      </w:r>
      <w:r>
        <w:rPr>
          <w:rFonts w:hint="eastAsia"/>
          <w:lang w:eastAsia="zh-CN"/>
        </w:rPr>
        <w:t>等</w:t>
      </w:r>
      <w:r>
        <w:rPr>
          <w:rFonts w:hint="eastAsia"/>
        </w:rPr>
        <w:t>。</w:t>
      </w:r>
    </w:p>
    <w:p w14:paraId="4278B931">
      <w:pPr>
        <w:autoSpaceDE/>
        <w:autoSpaceDN/>
        <w:rPr>
          <w:rFonts w:hint="eastAsia" w:cs="Times New Roman"/>
        </w:rPr>
      </w:pPr>
      <w:r>
        <w:rPr>
          <w:rFonts w:hint="eastAsia"/>
        </w:rPr>
        <w:t>本文件</w:t>
      </w:r>
      <w:r>
        <w:rPr>
          <w:rFonts w:hint="eastAsia"/>
          <w:lang w:val="en-US" w:eastAsia="zh-CN"/>
        </w:rPr>
        <w:t>于2007年首次发布，本次为第一次修订。</w:t>
      </w:r>
      <w:bookmarkStart w:id="34" w:name="_GoBack"/>
      <w:bookmarkEnd w:id="34"/>
    </w:p>
    <w:p w14:paraId="7F604126">
      <w:pPr>
        <w:autoSpaceDE/>
        <w:autoSpaceDN/>
      </w:pPr>
      <w:r>
        <w:br w:type="page"/>
      </w:r>
    </w:p>
    <w:p w14:paraId="1E54D36C">
      <w:pPr>
        <w:pStyle w:val="78"/>
        <w:rPr>
          <w:color w:val="auto"/>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p>
    <w:p w14:paraId="609022AA">
      <w:pPr>
        <w:pStyle w:val="46"/>
        <w:rPr>
          <w:rFonts w:ascii="黑体" w:hAnsi="黑体" w:eastAsia="黑体"/>
          <w:b w:val="0"/>
          <w:kern w:val="2"/>
        </w:rPr>
      </w:pPr>
      <w:bookmarkStart w:id="16" w:name="_Hlk103157022"/>
      <w:bookmarkStart w:id="17" w:name="_Toc94725176"/>
      <w:bookmarkStart w:id="18" w:name="_Toc94725671"/>
      <w:bookmarkStart w:id="19" w:name="_Toc94725570"/>
      <w:bookmarkStart w:id="20" w:name="_Toc94726007"/>
      <w:bookmarkStart w:id="21" w:name="_Toc103159535"/>
      <w:r>
        <w:rPr>
          <w:rFonts w:ascii="Times New Roman"/>
        </w:rPr>
        <w:t>木材防腐剂—铜铬砷（CCA）</w:t>
      </w:r>
      <w:bookmarkEnd w:id="16"/>
      <w:bookmarkEnd w:id="17"/>
      <w:bookmarkEnd w:id="18"/>
      <w:bookmarkEnd w:id="19"/>
      <w:bookmarkEnd w:id="20"/>
      <w:bookmarkEnd w:id="21"/>
    </w:p>
    <w:p w14:paraId="58E26DB0">
      <w:pPr>
        <w:pStyle w:val="47"/>
        <w:numPr>
          <w:ilvl w:val="0"/>
          <w:numId w:val="0"/>
        </w:numPr>
        <w:tabs>
          <w:tab w:val="clear" w:pos="0"/>
        </w:tabs>
        <w:spacing w:before="312" w:after="312"/>
        <w:ind w:left="0" w:leftChars="0" w:firstLine="0" w:firstLineChars="0"/>
      </w:pPr>
      <w:bookmarkStart w:id="22" w:name="_Toc78802403"/>
      <w:r>
        <w:rPr>
          <w:rFonts w:hint="eastAsia" w:ascii="黑体" w:hAnsi="Times New Roman" w:eastAsia="黑体" w:cs="Times New Roman"/>
          <w:b w:val="0"/>
          <w:i w:val="0"/>
          <w:sz w:val="21"/>
          <w:szCs w:val="21"/>
          <w:lang w:val="en-US" w:eastAsia="zh-CN" w:bidi="ar-SA"/>
        </w:rPr>
        <w:t>1　</w:t>
      </w:r>
      <w:r>
        <w:rPr>
          <w:rFonts w:hint="eastAsia"/>
        </w:rPr>
        <w:t>范围</w:t>
      </w:r>
      <w:bookmarkEnd w:id="22"/>
    </w:p>
    <w:p w14:paraId="4DF20D95">
      <w:pPr>
        <w:ind w:firstLine="420"/>
        <w:rPr>
          <w:rFonts w:ascii="Times New Roman"/>
        </w:rPr>
      </w:pPr>
      <w:bookmarkStart w:id="23" w:name="_Toc78802404"/>
      <w:bookmarkStart w:id="24" w:name="_Toc103159536"/>
      <w:r>
        <w:rPr>
          <w:rFonts w:ascii="Times New Roman"/>
        </w:rPr>
        <w:t>本标准规定了铜</w:t>
      </w:r>
      <w:r>
        <w:rPr>
          <w:rFonts w:ascii="Times New Roman"/>
          <w:szCs w:val="28"/>
        </w:rPr>
        <w:t>铬砷（</w:t>
      </w:r>
      <w:r>
        <w:rPr>
          <w:rFonts w:ascii="Times New Roman"/>
        </w:rPr>
        <w:t>CCA）木材防腐剂的要求、</w:t>
      </w:r>
      <w:r>
        <w:rPr>
          <w:rFonts w:hint="eastAsia" w:ascii="Times New Roman"/>
          <w:lang w:val="en-US" w:eastAsia="zh-CN"/>
        </w:rPr>
        <w:t>试验</w:t>
      </w:r>
      <w:r>
        <w:rPr>
          <w:rFonts w:ascii="Times New Roman"/>
        </w:rPr>
        <w:t>、标志、包装、运输和贮存等。</w:t>
      </w:r>
    </w:p>
    <w:p w14:paraId="0DD50BD8">
      <w:pPr>
        <w:ind w:firstLine="420"/>
        <w:rPr>
          <w:rFonts w:ascii="Times New Roman"/>
        </w:rPr>
      </w:pPr>
      <w:r>
        <w:rPr>
          <w:rFonts w:ascii="Times New Roman"/>
        </w:rPr>
        <w:t>本标准适用于以铜、铬、砷的化合物为原料制得的水载型复合防腐剂。</w:t>
      </w:r>
    </w:p>
    <w:p w14:paraId="65B6BC09">
      <w:pPr>
        <w:ind w:firstLine="420"/>
        <w:rPr>
          <w:rFonts w:ascii="Times New Roman"/>
        </w:rPr>
      </w:pPr>
      <w:r>
        <w:rPr>
          <w:rFonts w:ascii="Times New Roman"/>
        </w:rPr>
        <w:t>CCA木材防腐剂适用于建筑用材、园林景观用材、矿用木材、铁道枕木、船用木材、海洋用材及其他工业用材和农用木材等的防腐、防虫（蚁）、防海生钻孔动物处理。</w:t>
      </w:r>
    </w:p>
    <w:p w14:paraId="0F59891A">
      <w:pPr>
        <w:pStyle w:val="47"/>
        <w:numPr>
          <w:ilvl w:val="0"/>
          <w:numId w:val="0"/>
        </w:numPr>
        <w:tabs>
          <w:tab w:val="clear" w:pos="0"/>
        </w:tabs>
        <w:spacing w:before="312" w:after="312"/>
        <w:ind w:left="0" w:leftChars="0" w:firstLine="0" w:firstLineChars="0"/>
      </w:pPr>
      <w:r>
        <w:rPr>
          <w:rFonts w:hint="eastAsia" w:ascii="黑体" w:hAnsi="Times New Roman" w:eastAsia="黑体" w:cs="Times New Roman"/>
          <w:b w:val="0"/>
          <w:i w:val="0"/>
          <w:sz w:val="21"/>
          <w:szCs w:val="21"/>
          <w:lang w:val="en-US" w:eastAsia="zh-CN" w:bidi="ar-SA"/>
        </w:rPr>
        <w:t>2　</w:t>
      </w:r>
      <w:r>
        <w:rPr>
          <w:rFonts w:hint="eastAsia"/>
        </w:rPr>
        <w:t>规范性引用文件</w:t>
      </w:r>
      <w:bookmarkEnd w:id="23"/>
      <w:bookmarkEnd w:id="24"/>
    </w:p>
    <w:p w14:paraId="1CFAF194">
      <w:pPr>
        <w:pStyle w:val="43"/>
        <w:numPr>
          <w:ilvl w:val="0"/>
          <w:numId w:val="0"/>
        </w:numPr>
        <w:autoSpaceDE/>
        <w:autoSpaceDN/>
        <w:ind w:firstLine="420" w:firstLineChars="200"/>
        <w:rPr>
          <w:rFonts w:hint="eastAsia" w:asciiTheme="minorEastAsia" w:hAnsiTheme="minorEastAsia" w:eastAsiaTheme="minorEastAsia"/>
        </w:rPr>
      </w:pPr>
      <w:r>
        <w:rPr>
          <w:rFonts w:asciiTheme="minorEastAsia" w:hAnsiTheme="minorEastAsia" w:eastAsiaTheme="minorEastAsia"/>
        </w:rPr>
        <w:tab/>
      </w:r>
      <w:r>
        <w:rPr>
          <w:rFonts w:hint="default" w:ascii="Times New Roman" w:hAnsi="Times New Roman" w:eastAsiaTheme="minorEastAsia"/>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default" w:ascii="Times New Roman" w:hAnsi="Times New Roman" w:eastAsiaTheme="minorEastAsia"/>
        </w:rPr>
        <w:t>。</w:t>
      </w:r>
    </w:p>
    <w:p w14:paraId="6D0E1E3B">
      <w:pPr>
        <w:pStyle w:val="4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rPr>
          <w:rFonts w:hint="eastAsia" w:cs="Times New Roman" w:asciiTheme="minorEastAsia" w:hAnsiTheme="minorEastAsia" w:eastAsiaTheme="minorEastAsia"/>
        </w:rPr>
      </w:pPr>
      <w:r>
        <w:rPr>
          <w:rFonts w:hint="default" w:ascii="Times New Roman" w:cs="Times New Roman" w:hAnsiTheme="minorEastAsia" w:eastAsiaTheme="minorEastAsia"/>
          <w:b/>
          <w:bCs/>
          <w:color w:val="0000FF"/>
          <w:sz w:val="21"/>
          <w:szCs w:val="22"/>
          <w:u w:val="single"/>
          <w:lang w:val="en-US" w:eastAsia="zh-CN" w:bidi="ar-SA"/>
        </w:rPr>
        <w:t xml:space="preserve">SB/T 10404 </w:t>
      </w:r>
      <w:r>
        <w:rPr>
          <w:rFonts w:hint="eastAsia" w:ascii="Times New Roman" w:cs="Times New Roman" w:hAnsiTheme="minorEastAsia" w:eastAsiaTheme="minorEastAsia"/>
          <w:b/>
          <w:bCs/>
          <w:color w:val="0000FF"/>
          <w:sz w:val="21"/>
          <w:szCs w:val="22"/>
          <w:u w:val="single"/>
          <w:lang w:val="en-US" w:eastAsia="zh-CN" w:bidi="ar-SA"/>
        </w:rPr>
        <w:t>（新标准号未定）</w:t>
      </w:r>
      <w:r>
        <w:rPr>
          <w:rFonts w:hint="eastAsia" w:cs="Times New Roman" w:asciiTheme="minorEastAsia" w:hAnsiTheme="minorEastAsia" w:eastAsiaTheme="minorEastAsia"/>
        </w:rPr>
        <w:t>水载型防腐剂和阻燃剂主要成分的测定</w:t>
      </w:r>
    </w:p>
    <w:p w14:paraId="300F3F01">
      <w:pPr>
        <w:pStyle w:val="47"/>
        <w:numPr>
          <w:ilvl w:val="0"/>
          <w:numId w:val="0"/>
        </w:numPr>
        <w:tabs>
          <w:tab w:val="clear" w:pos="0"/>
        </w:tabs>
        <w:spacing w:before="312" w:after="312"/>
        <w:ind w:left="0" w:leftChars="0" w:firstLine="0" w:firstLineChars="0"/>
        <w:rPr>
          <w:rFonts w:hint="eastAsia"/>
        </w:rPr>
      </w:pPr>
      <w:r>
        <w:rPr>
          <w:rFonts w:hint="eastAsia" w:ascii="黑体" w:hAnsi="Times New Roman" w:eastAsia="黑体" w:cs="Times New Roman"/>
          <w:b w:val="0"/>
          <w:i w:val="0"/>
          <w:sz w:val="21"/>
          <w:szCs w:val="21"/>
          <w:lang w:val="en-US" w:eastAsia="zh-CN" w:bidi="ar-SA"/>
        </w:rPr>
        <w:t>3　</w:t>
      </w:r>
      <w:r>
        <w:rPr>
          <w:rFonts w:hint="eastAsia"/>
          <w:lang w:val="en-US" w:eastAsia="zh-CN"/>
        </w:rPr>
        <w:t>术语和定义</w:t>
      </w:r>
    </w:p>
    <w:p w14:paraId="17830012">
      <w:pPr>
        <w:pStyle w:val="43"/>
        <w:numPr>
          <w:ilvl w:val="0"/>
          <w:numId w:val="0"/>
        </w:numPr>
        <w:autoSpaceDE/>
        <w:autoSpaceDN/>
        <w:spacing w:before="0" w:beforeLines="0" w:after="0" w:afterLines="0"/>
        <w:ind w:left="420"/>
        <w:rPr>
          <w:rFonts w:hint="eastAsia" w:cs="Times New Roman" w:asciiTheme="minorEastAsia" w:hAnsiTheme="minorEastAsia" w:eastAsiaTheme="minorEastAsia"/>
          <w:color w:val="auto"/>
        </w:rPr>
      </w:pPr>
      <w:r>
        <w:rPr>
          <w:rFonts w:hint="default" w:ascii="Times New Roman" w:hAnsi="Times New Roman" w:eastAsiaTheme="minorEastAsia"/>
          <w:color w:val="auto"/>
          <w:lang w:val="en-US" w:eastAsia="zh-CN"/>
        </w:rPr>
        <w:t>GB/T 14019界定的术语和定义适用于本文件。</w:t>
      </w:r>
    </w:p>
    <w:p w14:paraId="6B112889">
      <w:pPr>
        <w:pStyle w:val="47"/>
        <w:numPr>
          <w:ilvl w:val="0"/>
          <w:numId w:val="0"/>
        </w:numPr>
        <w:tabs>
          <w:tab w:val="clear" w:pos="0"/>
        </w:tabs>
        <w:spacing w:before="312" w:after="312"/>
        <w:ind w:left="0" w:leftChars="0" w:firstLine="0" w:firstLineChars="0"/>
      </w:pPr>
      <w:bookmarkStart w:id="25" w:name="_Toc25392"/>
      <w:bookmarkStart w:id="26" w:name="_Toc103159538"/>
      <w:bookmarkStart w:id="27" w:name="_Toc94726010"/>
      <w:r>
        <w:rPr>
          <w:rFonts w:hint="eastAsia" w:ascii="黑体" w:hAnsi="Times New Roman" w:eastAsia="黑体" w:cs="Times New Roman"/>
          <w:b w:val="0"/>
          <w:i w:val="0"/>
          <w:sz w:val="21"/>
          <w:szCs w:val="21"/>
          <w:lang w:val="en-US" w:eastAsia="zh-CN" w:bidi="ar-SA"/>
        </w:rPr>
        <w:t>4　</w:t>
      </w:r>
      <w:r>
        <w:rPr>
          <w:rFonts w:hint="eastAsia"/>
          <w:lang w:eastAsia="zh-CN"/>
        </w:rPr>
        <w:t>要求</w:t>
      </w:r>
    </w:p>
    <w:p w14:paraId="409268DD">
      <w:pPr>
        <w:pStyle w:val="43"/>
        <w:numPr>
          <w:ilvl w:val="1"/>
          <w:numId w:val="0"/>
        </w:numPr>
        <w:autoSpaceDE/>
        <w:autoSpaceDN/>
        <w:ind w:left="0" w:leftChars="0" w:firstLine="0" w:firstLineChars="0"/>
        <w:rPr>
          <w:rFonts w:hint="eastAsia" w:ascii="宋体" w:hAnsi="宋体" w:eastAsia="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4.1　</w:t>
      </w:r>
      <w:r>
        <w:rPr>
          <w:rFonts w:hint="eastAsia" w:cs="Times New Roman"/>
          <w:lang w:eastAsia="zh-CN"/>
        </w:rPr>
        <w:t>外观：</w:t>
      </w:r>
      <w:r>
        <w:rPr>
          <w:rFonts w:hint="eastAsia" w:ascii="宋体" w:hAnsi="宋体" w:eastAsia="宋体"/>
        </w:rPr>
        <w:t>棕黄色膏状体或深棕色液体。</w:t>
      </w:r>
    </w:p>
    <w:p w14:paraId="48996320">
      <w:pPr>
        <w:pStyle w:val="43"/>
        <w:numPr>
          <w:ilvl w:val="1"/>
          <w:numId w:val="0"/>
        </w:numPr>
        <w:autoSpaceDE/>
        <w:autoSpaceDN/>
        <w:ind w:left="0" w:leftChars="0" w:firstLine="0" w:firstLineChars="0"/>
        <w:rPr>
          <w:rFonts w:hint="eastAsia" w:cs="Times New Roman"/>
          <w:lang w:eastAsia="zh-C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4.2　</w:t>
      </w:r>
      <w:r>
        <w:rPr>
          <w:rFonts w:eastAsia="宋体"/>
          <w:b w:val="0"/>
          <w:bCs w:val="0"/>
        </w:rPr>
        <w:t>CCA</w:t>
      </w:r>
      <w:r>
        <w:rPr>
          <w:rFonts w:eastAsia="宋体"/>
        </w:rPr>
        <w:t>木材防腐剂可分为A、B、C三类，有效成分含量应符合表1</w:t>
      </w:r>
      <w:r>
        <w:rPr>
          <w:rFonts w:hint="eastAsia" w:ascii="宋体" w:hAnsi="宋体" w:eastAsia="宋体"/>
        </w:rPr>
        <w:t>要求。</w:t>
      </w:r>
    </w:p>
    <w:p w14:paraId="166BAD40">
      <w:pPr>
        <w:pStyle w:val="43"/>
        <w:numPr>
          <w:ilvl w:val="1"/>
          <w:numId w:val="0"/>
        </w:numPr>
        <w:spacing w:after="156" w:afterLines="50"/>
        <w:ind w:leftChars="0"/>
        <w:jc w:val="center"/>
        <w:rPr>
          <w:rFonts w:hint="eastAsia" w:ascii="黑体" w:hAnsi="黑体" w:eastAsia="黑体" w:cs="Times New Roman"/>
          <w:sz w:val="21"/>
          <w:szCs w:val="22"/>
          <w:lang w:val="en-US" w:eastAsia="zh-CN" w:bidi="ar-SA"/>
        </w:rPr>
      </w:pPr>
      <w:r>
        <w:rPr>
          <w:rFonts w:hint="eastAsia" w:ascii="黑体" w:hAnsi="黑体" w:eastAsia="黑体" w:cs="Times New Roman"/>
          <w:sz w:val="21"/>
          <w:szCs w:val="22"/>
          <w:lang w:val="en-US" w:eastAsia="zh-CN" w:bidi="ar-SA"/>
        </w:rPr>
        <w:t xml:space="preserve">表1  </w:t>
      </w:r>
      <w:r>
        <w:rPr>
          <w:rFonts w:hint="eastAsia" w:cs="Times New Roman"/>
          <w:sz w:val="21"/>
          <w:szCs w:val="22"/>
          <w:lang w:val="en-US" w:eastAsia="zh-CN" w:bidi="ar-SA"/>
        </w:rPr>
        <w:t>CCA</w:t>
      </w:r>
      <w:r>
        <w:rPr>
          <w:rFonts w:hint="eastAsia" w:ascii="黑体" w:hAnsi="黑体" w:eastAsia="黑体" w:cs="Times New Roman"/>
          <w:sz w:val="21"/>
          <w:szCs w:val="22"/>
          <w:lang w:val="en-US" w:eastAsia="zh-CN" w:bidi="ar-SA"/>
        </w:rPr>
        <w:t>木材防腐剂有效成分表</w:t>
      </w:r>
    </w:p>
    <w:tbl>
      <w:tblPr>
        <w:tblStyle w:val="2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0"/>
        <w:gridCol w:w="2135"/>
        <w:gridCol w:w="2135"/>
        <w:gridCol w:w="2135"/>
      </w:tblGrid>
      <w:tr w14:paraId="1CC6BDAB">
        <w:trPr>
          <w:cantSplit/>
        </w:trPr>
        <w:tc>
          <w:tcPr>
            <w:tcW w:w="2730" w:type="dxa"/>
            <w:vMerge w:val="restart"/>
            <w:noWrap w:val="0"/>
            <w:vAlign w:val="center"/>
          </w:tcPr>
          <w:p w14:paraId="3A136265">
            <w:pPr>
              <w:pStyle w:val="43"/>
              <w:numPr>
                <w:ilvl w:val="1"/>
                <w:numId w:val="0"/>
              </w:numPr>
              <w:ind w:leftChars="0"/>
              <w:jc w:val="center"/>
              <w:rPr>
                <w:rFonts w:hint="eastAsia" w:ascii="宋体" w:hAnsi="宋体" w:eastAsia="宋体" w:cs="宋体"/>
                <w:b w:val="0"/>
                <w:bCs/>
                <w:sz w:val="18"/>
                <w:szCs w:val="18"/>
              </w:rPr>
            </w:pPr>
            <w:r>
              <w:rPr>
                <w:rFonts w:hint="eastAsia" w:ascii="宋体" w:hAnsi="宋体" w:eastAsia="宋体" w:cs="宋体"/>
                <w:b w:val="0"/>
                <w:bCs/>
                <w:sz w:val="18"/>
                <w:szCs w:val="18"/>
              </w:rPr>
              <w:t>有效成分</w:t>
            </w:r>
          </w:p>
        </w:tc>
        <w:tc>
          <w:tcPr>
            <w:tcW w:w="6405" w:type="dxa"/>
            <w:gridSpan w:val="3"/>
            <w:noWrap w:val="0"/>
            <w:vAlign w:val="center"/>
          </w:tcPr>
          <w:p w14:paraId="3B3B7852">
            <w:pPr>
              <w:pStyle w:val="43"/>
              <w:numPr>
                <w:ilvl w:val="1"/>
                <w:numId w:val="0"/>
              </w:numPr>
              <w:ind w:leftChars="0"/>
              <w:jc w:val="center"/>
              <w:rPr>
                <w:rFonts w:hint="eastAsia" w:ascii="宋体" w:hAnsi="宋体" w:eastAsia="宋体" w:cs="宋体"/>
                <w:b w:val="0"/>
                <w:bCs/>
                <w:sz w:val="18"/>
                <w:szCs w:val="18"/>
              </w:rPr>
            </w:pPr>
            <w:r>
              <w:rPr>
                <w:rFonts w:hint="eastAsia" w:ascii="宋体" w:hAnsi="宋体" w:eastAsia="宋体" w:cs="宋体"/>
                <w:b w:val="0"/>
                <w:bCs/>
                <w:sz w:val="18"/>
                <w:szCs w:val="18"/>
              </w:rPr>
              <w:t>指      标</w:t>
            </w:r>
            <w:r>
              <w:rPr>
                <w:rFonts w:hint="eastAsia" w:ascii="宋体" w:hAnsi="宋体" w:eastAsia="宋体" w:cs="宋体"/>
                <w:b w:val="0"/>
                <w:bCs/>
                <w:sz w:val="18"/>
                <w:szCs w:val="18"/>
                <w:vertAlign w:val="superscript"/>
              </w:rPr>
              <w:t>a</w:t>
            </w:r>
          </w:p>
        </w:tc>
      </w:tr>
      <w:tr w14:paraId="355E61B2">
        <w:trPr>
          <w:cantSplit/>
        </w:trPr>
        <w:tc>
          <w:tcPr>
            <w:tcW w:w="2730" w:type="dxa"/>
            <w:vMerge w:val="continue"/>
            <w:noWrap w:val="0"/>
            <w:vAlign w:val="center"/>
          </w:tcPr>
          <w:p w14:paraId="56E53850">
            <w:pPr>
              <w:pStyle w:val="43"/>
              <w:ind w:firstLine="0" w:firstLineChars="0"/>
              <w:jc w:val="center"/>
              <w:rPr>
                <w:rFonts w:hint="eastAsia" w:ascii="宋体" w:hAnsi="宋体" w:eastAsia="宋体" w:cs="宋体"/>
                <w:b w:val="0"/>
                <w:bCs/>
                <w:sz w:val="18"/>
                <w:szCs w:val="18"/>
              </w:rPr>
            </w:pPr>
          </w:p>
        </w:tc>
        <w:tc>
          <w:tcPr>
            <w:tcW w:w="2135" w:type="dxa"/>
            <w:noWrap w:val="0"/>
            <w:vAlign w:val="center"/>
          </w:tcPr>
          <w:p w14:paraId="1352D331">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A 型</w:t>
            </w:r>
          </w:p>
        </w:tc>
        <w:tc>
          <w:tcPr>
            <w:tcW w:w="2135" w:type="dxa"/>
            <w:noWrap w:val="0"/>
            <w:vAlign w:val="center"/>
          </w:tcPr>
          <w:p w14:paraId="6B846C43">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B 型</w:t>
            </w:r>
          </w:p>
        </w:tc>
        <w:tc>
          <w:tcPr>
            <w:tcW w:w="2135" w:type="dxa"/>
            <w:noWrap w:val="0"/>
            <w:vAlign w:val="center"/>
          </w:tcPr>
          <w:p w14:paraId="4747C871">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C 型</w:t>
            </w:r>
          </w:p>
        </w:tc>
      </w:tr>
      <w:tr w14:paraId="6F9A8FEF">
        <w:tc>
          <w:tcPr>
            <w:tcW w:w="2730" w:type="dxa"/>
            <w:noWrap w:val="0"/>
            <w:vAlign w:val="center"/>
          </w:tcPr>
          <w:p w14:paraId="10080929">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氧化铜(CuO)/%</w:t>
            </w:r>
          </w:p>
        </w:tc>
        <w:tc>
          <w:tcPr>
            <w:tcW w:w="2135" w:type="dxa"/>
            <w:noWrap w:val="0"/>
            <w:vAlign w:val="center"/>
          </w:tcPr>
          <w:p w14:paraId="106A1FB7">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16.0~20.9  (18.1)</w:t>
            </w:r>
          </w:p>
        </w:tc>
        <w:tc>
          <w:tcPr>
            <w:tcW w:w="2135" w:type="dxa"/>
            <w:noWrap w:val="0"/>
            <w:vAlign w:val="center"/>
          </w:tcPr>
          <w:p w14:paraId="1B5D0C96">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18.0~22.0  (19.6)</w:t>
            </w:r>
          </w:p>
        </w:tc>
        <w:tc>
          <w:tcPr>
            <w:tcW w:w="2135" w:type="dxa"/>
            <w:noWrap w:val="0"/>
            <w:vAlign w:val="center"/>
          </w:tcPr>
          <w:p w14:paraId="7C4E214B">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17.0~21.0 (18.5)</w:t>
            </w:r>
          </w:p>
        </w:tc>
      </w:tr>
      <w:tr w14:paraId="0FD815C2">
        <w:tc>
          <w:tcPr>
            <w:tcW w:w="2730" w:type="dxa"/>
            <w:noWrap w:val="0"/>
            <w:vAlign w:val="center"/>
          </w:tcPr>
          <w:p w14:paraId="55638B16">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三氧化铬（CrO</w:t>
            </w:r>
            <w:r>
              <w:rPr>
                <w:rFonts w:hint="eastAsia" w:ascii="Times New Roman" w:hAnsi="Times New Roman" w:eastAsia="宋体" w:cs="Times New Roman"/>
                <w:sz w:val="18"/>
                <w:szCs w:val="18"/>
                <w:vertAlign w:val="subscript"/>
                <w:lang w:val="en-US" w:eastAsia="zh-CN" w:bidi="ar-SA"/>
              </w:rPr>
              <w:t>3</w:t>
            </w:r>
            <w:r>
              <w:rPr>
                <w:rFonts w:hint="eastAsia" w:ascii="Times New Roman" w:hAnsi="Times New Roman" w:eastAsia="宋体" w:cs="Times New Roman"/>
                <w:sz w:val="18"/>
                <w:szCs w:val="18"/>
                <w:lang w:val="en-US" w:eastAsia="zh-CN" w:bidi="ar-SA"/>
              </w:rPr>
              <w:t>）/%</w:t>
            </w:r>
          </w:p>
        </w:tc>
        <w:tc>
          <w:tcPr>
            <w:tcW w:w="2135" w:type="dxa"/>
            <w:noWrap w:val="0"/>
            <w:vAlign w:val="center"/>
          </w:tcPr>
          <w:p w14:paraId="58C20963">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59.4~69.3  (65.5)</w:t>
            </w:r>
          </w:p>
        </w:tc>
        <w:tc>
          <w:tcPr>
            <w:tcW w:w="2135" w:type="dxa"/>
            <w:noWrap w:val="0"/>
            <w:vAlign w:val="center"/>
          </w:tcPr>
          <w:p w14:paraId="000974E5">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33.0~38.0  (35.3)</w:t>
            </w:r>
          </w:p>
        </w:tc>
        <w:tc>
          <w:tcPr>
            <w:tcW w:w="2135" w:type="dxa"/>
            <w:noWrap w:val="0"/>
            <w:vAlign w:val="center"/>
          </w:tcPr>
          <w:p w14:paraId="4C95D792">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44.5~50.5 (47.5)</w:t>
            </w:r>
          </w:p>
        </w:tc>
      </w:tr>
      <w:tr w14:paraId="29CF6CBF">
        <w:tc>
          <w:tcPr>
            <w:tcW w:w="2730" w:type="dxa"/>
            <w:noWrap w:val="0"/>
            <w:vAlign w:val="center"/>
          </w:tcPr>
          <w:p w14:paraId="276774AB">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五氧化二砷（As</w:t>
            </w:r>
            <w:r>
              <w:rPr>
                <w:rFonts w:hint="eastAsia" w:ascii="Times New Roman" w:hAnsi="Times New Roman" w:eastAsia="宋体" w:cs="Times New Roman"/>
                <w:sz w:val="18"/>
                <w:szCs w:val="18"/>
                <w:vertAlign w:val="subscript"/>
                <w:lang w:val="en-US" w:eastAsia="zh-CN" w:bidi="ar-SA"/>
              </w:rPr>
              <w:t>2</w:t>
            </w:r>
            <w:r>
              <w:rPr>
                <w:rFonts w:hint="eastAsia" w:ascii="Times New Roman" w:hAnsi="Times New Roman" w:eastAsia="宋体" w:cs="Times New Roman"/>
                <w:sz w:val="18"/>
                <w:szCs w:val="18"/>
                <w:lang w:val="en-US" w:eastAsia="zh-CN" w:bidi="ar-SA"/>
              </w:rPr>
              <w:t>O</w:t>
            </w:r>
            <w:r>
              <w:rPr>
                <w:rFonts w:hint="eastAsia" w:ascii="Times New Roman" w:hAnsi="Times New Roman" w:eastAsia="宋体" w:cs="Times New Roman"/>
                <w:sz w:val="18"/>
                <w:szCs w:val="18"/>
                <w:vertAlign w:val="subscript"/>
                <w:lang w:val="en-US" w:eastAsia="zh-CN" w:bidi="ar-SA"/>
              </w:rPr>
              <w:t>5</w:t>
            </w:r>
            <w:r>
              <w:rPr>
                <w:rFonts w:hint="eastAsia" w:ascii="Times New Roman" w:hAnsi="Times New Roman" w:eastAsia="宋体" w:cs="Times New Roman"/>
                <w:sz w:val="18"/>
                <w:szCs w:val="18"/>
                <w:lang w:val="en-US" w:eastAsia="zh-CN" w:bidi="ar-SA"/>
              </w:rPr>
              <w:t>）/%</w:t>
            </w:r>
          </w:p>
        </w:tc>
        <w:tc>
          <w:tcPr>
            <w:tcW w:w="2135" w:type="dxa"/>
            <w:noWrap w:val="0"/>
            <w:vAlign w:val="center"/>
          </w:tcPr>
          <w:p w14:paraId="042E3985">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14.7~19.7  (16.4)</w:t>
            </w:r>
          </w:p>
        </w:tc>
        <w:tc>
          <w:tcPr>
            <w:tcW w:w="2135" w:type="dxa"/>
            <w:noWrap w:val="0"/>
            <w:vAlign w:val="center"/>
          </w:tcPr>
          <w:p w14:paraId="05ADB6B1">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42.0~48.0  (45.1)</w:t>
            </w:r>
          </w:p>
        </w:tc>
        <w:tc>
          <w:tcPr>
            <w:tcW w:w="2135" w:type="dxa"/>
            <w:noWrap w:val="0"/>
            <w:vAlign w:val="center"/>
          </w:tcPr>
          <w:p w14:paraId="22729D11">
            <w:pPr>
              <w:pStyle w:val="43"/>
              <w:numPr>
                <w:ilvl w:val="1"/>
                <w:numId w:val="0"/>
              </w:numPr>
              <w:tabs>
                <w:tab w:val="left" w:pos="360"/>
                <w:tab w:val="clear" w:pos="4201"/>
                <w:tab w:val="clear" w:pos="9298"/>
              </w:tabs>
              <w:ind w:leftChars="0"/>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30.0~38.0 (34.0)</w:t>
            </w:r>
          </w:p>
        </w:tc>
      </w:tr>
      <w:tr w14:paraId="0DBCC1E4">
        <w:tc>
          <w:tcPr>
            <w:tcW w:w="9135" w:type="dxa"/>
            <w:gridSpan w:val="4"/>
            <w:noWrap w:val="0"/>
            <w:vAlign w:val="center"/>
          </w:tcPr>
          <w:p w14:paraId="68D77565">
            <w:pPr>
              <w:ind w:firstLine="480" w:firstLineChars="200"/>
              <w:jc w:val="left"/>
              <w:rPr>
                <w:b w:val="0"/>
                <w:bCs/>
                <w:sz w:val="18"/>
                <w:szCs w:val="18"/>
              </w:rPr>
            </w:pPr>
            <w:bookmarkStart w:id="28" w:name="_Toc164148625"/>
            <w:r>
              <w:rPr>
                <w:rFonts w:hint="eastAsia" w:ascii="宋体" w:hAnsi="宋体"/>
                <w:b w:val="0"/>
                <w:bCs/>
                <w:sz w:val="24"/>
                <w:vertAlign w:val="superscript"/>
              </w:rPr>
              <w:t>a</w:t>
            </w:r>
            <w:r>
              <w:rPr>
                <w:rFonts w:hint="eastAsia"/>
                <w:b w:val="0"/>
                <w:bCs/>
                <w:sz w:val="18"/>
                <w:szCs w:val="18"/>
              </w:rPr>
              <w:t xml:space="preserve">  括号内的数值为代表性值。</w:t>
            </w:r>
            <w:bookmarkEnd w:id="28"/>
          </w:p>
        </w:tc>
      </w:tr>
    </w:tbl>
    <w:p w14:paraId="306F58DB">
      <w:pPr>
        <w:pStyle w:val="43"/>
        <w:numPr>
          <w:ilvl w:val="1"/>
          <w:numId w:val="0"/>
        </w:numPr>
        <w:spacing w:after="156" w:afterLines="50"/>
        <w:ind w:leftChars="0"/>
        <w:jc w:val="both"/>
        <w:rPr>
          <w:rFonts w:hint="eastAsia" w:ascii="黑体" w:hAnsi="黑体" w:eastAsia="黑体" w:cs="Times New Roman"/>
          <w:sz w:val="21"/>
          <w:szCs w:val="22"/>
          <w:lang w:val="en-US" w:eastAsia="zh-CN" w:bidi="ar-SA"/>
        </w:rPr>
      </w:pPr>
    </w:p>
    <w:p w14:paraId="06834F18">
      <w:pPr>
        <w:pStyle w:val="43"/>
        <w:numPr>
          <w:ilvl w:val="1"/>
          <w:numId w:val="0"/>
        </w:numPr>
        <w:autoSpaceDE/>
        <w:autoSpaceDN/>
        <w:ind w:left="0" w:leftChars="0" w:firstLine="0" w:firstLineChars="0"/>
        <w:rPr>
          <w:rFonts w:hint="eastAsia" w:ascii="宋体" w:hAnsi="宋体" w:eastAsia="宋体" w:cs="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4.3　</w:t>
      </w:r>
      <w:r>
        <w:rPr>
          <w:rFonts w:hint="default" w:ascii="Times New Roman" w:hAnsi="Times New Roman" w:eastAsia="宋体" w:cs="Times New Roman"/>
        </w:rPr>
        <w:t>pH值：A型为1.6～2.7，B型和C型为1.6～2.5（有效成分浓度为2.0%，20℃）</w:t>
      </w:r>
      <w:r>
        <w:rPr>
          <w:rFonts w:hint="eastAsia" w:ascii="宋体" w:hAnsi="宋体" w:eastAsia="宋体" w:cs="宋体"/>
        </w:rPr>
        <w:t>。</w:t>
      </w:r>
    </w:p>
    <w:p w14:paraId="1C635BF8">
      <w:pPr>
        <w:pStyle w:val="43"/>
        <w:numPr>
          <w:ilvl w:val="1"/>
          <w:numId w:val="0"/>
        </w:numPr>
        <w:autoSpaceDE/>
        <w:autoSpaceDN/>
        <w:ind w:left="0" w:leftChars="0" w:firstLine="0" w:firstLineChars="0"/>
        <w:rPr>
          <w:rFonts w:hint="eastAsia" w:ascii="宋体" w:hAnsi="宋体" w:eastAsia="宋体" w:cs="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4.4　</w:t>
      </w:r>
      <w:r>
        <w:rPr>
          <w:rFonts w:eastAsia="宋体"/>
        </w:rPr>
        <w:t>原料纯度</w:t>
      </w:r>
      <w:r>
        <w:rPr>
          <w:rFonts w:hint="default" w:ascii="Times New Roman" w:hAnsi="Times New Roman" w:eastAsia="宋体" w:cs="Times New Roman"/>
        </w:rPr>
        <w:t>≥95%</w:t>
      </w:r>
      <w:r>
        <w:rPr>
          <w:rFonts w:hint="eastAsia" w:ascii="宋体" w:hAnsi="宋体" w:eastAsia="宋体" w:cs="宋体"/>
        </w:rPr>
        <w:t>（无水基）。</w:t>
      </w:r>
    </w:p>
    <w:p w14:paraId="1487F186">
      <w:pPr>
        <w:pStyle w:val="43"/>
        <w:numPr>
          <w:ilvl w:val="1"/>
          <w:numId w:val="0"/>
        </w:numPr>
        <w:autoSpaceDE/>
        <w:autoSpaceDN/>
        <w:ind w:left="0" w:leftChars="0" w:firstLine="0" w:firstLineChars="0"/>
        <w:rPr>
          <w:rFonts w:hint="eastAsia" w:ascii="宋体" w:hAnsi="宋体" w:eastAsia="宋体" w:cs="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4.5　</w:t>
      </w:r>
      <w:r>
        <w:rPr>
          <w:rFonts w:hint="eastAsia" w:ascii="宋体" w:hAnsi="宋体" w:eastAsia="宋体" w:cs="宋体"/>
        </w:rPr>
        <w:t>二价铜化合物原料可用：硫酸铜、碱式碳酸铜、氧化铜或氢氧化铜。六价铬化合物原料可用：重铬酸钾、重铬酸钠或三氧化铬。五价砷化合物原料可用：五氧化二砷、砷酸、砷酸钠或焦砷酸钠。但不允许使用硫酸铜-铬酸-五氧化二砷组合来配制</w:t>
      </w:r>
      <w:r>
        <w:rPr>
          <w:rFonts w:hint="default" w:ascii="Times New Roman" w:hAnsi="Times New Roman" w:eastAsia="宋体" w:cs="Times New Roman"/>
        </w:rPr>
        <w:t>CCA</w:t>
      </w:r>
      <w:r>
        <w:rPr>
          <w:rFonts w:hint="eastAsia" w:ascii="宋体" w:hAnsi="宋体" w:eastAsia="宋体" w:cs="宋体"/>
        </w:rPr>
        <w:t>木材防腐剂。</w:t>
      </w:r>
    </w:p>
    <w:bookmarkEnd w:id="25"/>
    <w:bookmarkEnd w:id="26"/>
    <w:bookmarkEnd w:id="27"/>
    <w:p w14:paraId="7EB83AFA">
      <w:pPr>
        <w:pStyle w:val="47"/>
        <w:numPr>
          <w:ilvl w:val="0"/>
          <w:numId w:val="0"/>
        </w:numPr>
        <w:tabs>
          <w:tab w:val="clear" w:pos="0"/>
        </w:tabs>
        <w:spacing w:before="312" w:after="312"/>
        <w:ind w:left="0" w:leftChars="0" w:firstLine="0" w:firstLineChars="0"/>
      </w:pPr>
      <w:r>
        <w:rPr>
          <w:rFonts w:hint="eastAsia" w:ascii="黑体" w:hAnsi="Times New Roman" w:eastAsia="黑体" w:cs="Times New Roman"/>
          <w:b w:val="0"/>
          <w:i w:val="0"/>
          <w:sz w:val="21"/>
          <w:szCs w:val="21"/>
          <w:lang w:val="en-US" w:eastAsia="zh-CN" w:bidi="ar-SA"/>
        </w:rPr>
        <w:t>5　</w:t>
      </w:r>
      <w:r>
        <w:rPr>
          <w:rFonts w:hint="eastAsia"/>
          <w:lang w:eastAsia="zh-CN"/>
        </w:rPr>
        <w:t>试验</w:t>
      </w:r>
    </w:p>
    <w:p w14:paraId="329F101E">
      <w:pPr>
        <w:pStyle w:val="63"/>
        <w:numPr>
          <w:ilvl w:val="2"/>
          <w:numId w:val="0"/>
        </w:numPr>
        <w:ind w:leftChars="0"/>
        <w:rPr>
          <w:rFonts w:hint="eastAsia"/>
          <w:lang w:val="en-US" w:eastAsia="zh-CN"/>
        </w:rPr>
      </w:pPr>
      <w:r>
        <w:rPr>
          <w:rFonts w:hint="eastAsia"/>
          <w:lang w:val="en-US" w:eastAsia="zh-CN"/>
        </w:rPr>
        <w:t>5.1样品制备</w:t>
      </w:r>
    </w:p>
    <w:p w14:paraId="28D205BD">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lang w:val="en-US" w:eastAsia="zh-CN"/>
        </w:rPr>
        <w:t>按</w:t>
      </w:r>
      <w:r>
        <w:rPr>
          <w:rFonts w:hint="eastAsia" w:ascii="Times New Roman" w:hAnsi="Times New Roman" w:eastAsia="宋体" w:cs="Times New Roman"/>
          <w:lang w:val="en-US" w:eastAsia="zh-CN"/>
        </w:rPr>
        <w:t>JC/T XXXXX-20XX</w:t>
      </w:r>
      <w:r>
        <w:rPr>
          <w:rFonts w:hint="eastAsia" w:ascii="宋体" w:hAnsi="宋体" w:eastAsia="宋体"/>
          <w:lang w:val="en-US" w:eastAsia="zh-CN"/>
        </w:rPr>
        <w:t>《水载型防腐剂和阻燃剂主要成分的测定》中</w:t>
      </w:r>
      <w:r>
        <w:rPr>
          <w:rFonts w:hint="eastAsia" w:ascii="Times New Roman" w:hAnsi="Times New Roman" w:eastAsia="宋体" w:cs="Times New Roman"/>
          <w:lang w:val="en-US" w:eastAsia="zh-CN"/>
        </w:rPr>
        <w:t>5</w:t>
      </w:r>
      <w:r>
        <w:rPr>
          <w:rFonts w:hint="eastAsia" w:ascii="宋体" w:hAnsi="宋体" w:eastAsia="宋体"/>
          <w:lang w:val="en-US" w:eastAsia="zh-CN"/>
        </w:rPr>
        <w:t>的规定进行。</w:t>
      </w:r>
    </w:p>
    <w:p w14:paraId="517BEAC3">
      <w:pPr>
        <w:pStyle w:val="43"/>
        <w:numPr>
          <w:ilvl w:val="1"/>
          <w:numId w:val="0"/>
        </w:numPr>
        <w:autoSpaceDE/>
        <w:autoSpaceDN/>
        <w:ind w:left="0" w:leftChars="0" w:firstLine="0" w:firstLineChars="0"/>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5.</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2</w:t>
      </w:r>
      <w:r>
        <w:rPr>
          <w:rFonts w:hint="eastAsia"/>
          <w:lang w:eastAsia="zh-CN"/>
        </w:rPr>
        <w:t>试验方法</w:t>
      </w:r>
      <w:r>
        <w:t xml:space="preserve"> </w:t>
      </w:r>
    </w:p>
    <w:p w14:paraId="402F498F">
      <w:pPr>
        <w:pStyle w:val="63"/>
        <w:numPr>
          <w:ilvl w:val="2"/>
          <w:numId w:val="0"/>
        </w:numPr>
        <w:ind w:leftChars="0"/>
        <w:rPr>
          <w:rFonts w:hint="eastAsia"/>
        </w:rPr>
      </w:pPr>
      <w:r>
        <w:rPr>
          <w:rFonts w:hint="eastAsia"/>
          <w:lang w:val="en-US" w:eastAsia="zh-CN"/>
        </w:rPr>
        <w:t xml:space="preserve">5.2.1 </w:t>
      </w:r>
      <w:r>
        <w:rPr>
          <w:rFonts w:hint="eastAsia"/>
        </w:rPr>
        <w:t xml:space="preserve">容量法测定铜、铬、砷含量  </w:t>
      </w:r>
    </w:p>
    <w:p w14:paraId="236EB9D7">
      <w:pPr>
        <w:pStyle w:val="43"/>
        <w:numPr>
          <w:ilvl w:val="1"/>
          <w:numId w:val="0"/>
        </w:numPr>
        <w:autoSpaceDE/>
        <w:autoSpaceDN/>
        <w:ind w:leftChars="0"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分别JC/T XXXXX-20XX《水载型防腐剂和阻燃剂主要成分的测定》中第10章、第9章、第8章规定执行。</w:t>
      </w:r>
    </w:p>
    <w:p w14:paraId="4953CA84">
      <w:pPr>
        <w:pStyle w:val="63"/>
        <w:numPr>
          <w:ilvl w:val="2"/>
          <w:numId w:val="0"/>
        </w:numPr>
        <w:ind w:leftChars="0"/>
        <w:rPr>
          <w:rFonts w:hint="eastAsia"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 xml:space="preserve">.2.2 </w:t>
      </w:r>
      <w:r>
        <w:rPr>
          <w:rFonts w:hint="eastAsia" w:cs="Times New Roman"/>
          <w:lang w:val="en-US" w:eastAsia="zh-CN"/>
        </w:rPr>
        <w:t xml:space="preserve"> </w:t>
      </w:r>
      <w:r>
        <w:rPr>
          <w:rFonts w:hint="eastAsia" w:hAnsi="Times New Roman" w:cs="Times New Roman"/>
          <w:lang w:val="en-US" w:eastAsia="zh-CN"/>
        </w:rPr>
        <w:t>X射线荧光能谱仪测定铜、铬、砷含量</w:t>
      </w:r>
    </w:p>
    <w:p w14:paraId="3FAE5037">
      <w:pPr>
        <w:pStyle w:val="64"/>
        <w:numPr>
          <w:ilvl w:val="2"/>
          <w:numId w:val="0"/>
        </w:numPr>
        <w:rPr>
          <w:rFonts w:hint="eastAsia"/>
        </w:rPr>
      </w:pPr>
      <w:r>
        <w:rPr>
          <w:rFonts w:hint="eastAsia"/>
          <w:lang w:val="en-US" w:eastAsia="zh-CN"/>
        </w:rPr>
        <w:t xml:space="preserve">5.2.2.1 </w:t>
      </w:r>
      <w:r>
        <w:rPr>
          <w:rFonts w:hint="eastAsia"/>
        </w:rPr>
        <w:t>试剂</w:t>
      </w:r>
    </w:p>
    <w:p w14:paraId="36FAF7E1">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氧化铜，分析纯；</w:t>
      </w:r>
    </w:p>
    <w:p w14:paraId="4E7C2CE7">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三氧化铬，分析纯；</w:t>
      </w:r>
    </w:p>
    <w:p w14:paraId="298D1E7F">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 xml:space="preserve"> 五氧化二砷，分析纯；</w:t>
      </w:r>
    </w:p>
    <w:p w14:paraId="75D5CD47">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 xml:space="preserve"> 蒸馏水或去离子水。</w:t>
      </w:r>
    </w:p>
    <w:p w14:paraId="6CE4DC05">
      <w:pPr>
        <w:pStyle w:val="64"/>
        <w:numPr>
          <w:ilvl w:val="2"/>
          <w:numId w:val="0"/>
        </w:numPr>
        <w:rPr>
          <w:rFonts w:hint="eastAsia"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.2.2.2仪器设备</w:t>
      </w:r>
    </w:p>
    <w:p w14:paraId="3310ED9F">
      <w:pPr>
        <w:pStyle w:val="43"/>
        <w:numPr>
          <w:ilvl w:val="1"/>
          <w:numId w:val="0"/>
        </w:numPr>
        <w:autoSpaceDE/>
        <w:autoSpaceDN/>
        <w:ind w:leftChars="0" w:firstLine="42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）X射线荧光能谱仪；</w:t>
      </w:r>
    </w:p>
    <w:p w14:paraId="0813ABA3">
      <w:pPr>
        <w:pStyle w:val="43"/>
        <w:numPr>
          <w:ilvl w:val="1"/>
          <w:numId w:val="0"/>
        </w:numPr>
        <w:autoSpaceDE/>
        <w:autoSpaceDN/>
        <w:ind w:leftChars="0" w:firstLine="42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）实验用高剪切乳化机；</w:t>
      </w:r>
    </w:p>
    <w:p w14:paraId="63148974">
      <w:pPr>
        <w:pStyle w:val="43"/>
        <w:numPr>
          <w:ilvl w:val="1"/>
          <w:numId w:val="0"/>
        </w:numPr>
        <w:autoSpaceDE/>
        <w:autoSpaceDN/>
        <w:ind w:leftChars="0" w:firstLine="42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）分析天平,灵敏度为0.0001g。</w:t>
      </w:r>
    </w:p>
    <w:p w14:paraId="1DB39416">
      <w:pPr>
        <w:pStyle w:val="64"/>
        <w:numPr>
          <w:ilvl w:val="2"/>
          <w:numId w:val="0"/>
        </w:numPr>
        <w:rPr>
          <w:rFonts w:hint="eastAsia"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.2.2.3标准曲线制定</w:t>
      </w:r>
    </w:p>
    <w:p w14:paraId="59EE2733">
      <w:pPr>
        <w:pStyle w:val="43"/>
        <w:numPr>
          <w:ilvl w:val="1"/>
          <w:numId w:val="0"/>
        </w:numPr>
        <w:autoSpaceDE/>
        <w:autoSpaceDN/>
        <w:ind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按标准配方分别准确称取氧化铜、三氧化铬、五氧化二砷，配制成有效成分含量分别为1%、2%、3%、4%、5％的CCA标准溶液。将标准溶液装入样品杯至3/4容积。分析仪设置分析状态，用分析仪分别测定上述CCA标样的浓度，制定标准曲线。</w:t>
      </w:r>
    </w:p>
    <w:p w14:paraId="18D149F6">
      <w:pPr>
        <w:pStyle w:val="64"/>
        <w:numPr>
          <w:ilvl w:val="2"/>
          <w:numId w:val="0"/>
        </w:numPr>
        <w:rPr>
          <w:rFonts w:hint="eastAsia"/>
        </w:rPr>
      </w:pPr>
      <w:r>
        <w:rPr>
          <w:rFonts w:hint="eastAsia"/>
          <w:lang w:val="en-US" w:eastAsia="zh-CN"/>
        </w:rPr>
        <w:t xml:space="preserve">5.2.2.4 </w:t>
      </w:r>
      <w:r>
        <w:rPr>
          <w:rFonts w:hint="eastAsia"/>
        </w:rPr>
        <w:t>样品的测定</w:t>
      </w:r>
    </w:p>
    <w:p w14:paraId="4FC0A45C">
      <w:pPr>
        <w:pStyle w:val="43"/>
        <w:numPr>
          <w:ilvl w:val="1"/>
          <w:numId w:val="0"/>
        </w:numPr>
        <w:autoSpaceDE/>
        <w:autoSpaceDN/>
        <w:ind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将样品稀释至有效成分浓度约为3%，摇匀，装入样品杯至3/4容积。分析仪设置分析状态，用分析仪测定上述CCA的浓度，打印出铜、铬、砷元素测定结果。</w:t>
      </w:r>
    </w:p>
    <w:p w14:paraId="59FE7A20">
      <w:pPr>
        <w:pStyle w:val="64"/>
        <w:numPr>
          <w:ilvl w:val="2"/>
          <w:numId w:val="0"/>
        </w:numPr>
        <w:rPr>
          <w:rFonts w:hint="eastAsia"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.2.2.5计算</w:t>
      </w:r>
    </w:p>
    <w:p w14:paraId="21A16DF7">
      <w:pPr>
        <w:pStyle w:val="43"/>
        <w:numPr>
          <w:ilvl w:val="1"/>
          <w:numId w:val="0"/>
        </w:numPr>
        <w:autoSpaceDE/>
        <w:autoSpaceDN/>
        <w:ind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有效成分的含量，用式（1）计算。</w:t>
      </w:r>
    </w:p>
    <w:p w14:paraId="17A01402">
      <w:pPr>
        <w:pStyle w:val="43"/>
        <w:numPr>
          <w:ilvl w:val="1"/>
          <w:numId w:val="0"/>
        </w:numPr>
        <w:ind w:leftChars="1300"/>
        <w:rPr>
          <w:rFonts w:hint="eastAsia"/>
        </w:rPr>
      </w:pPr>
      <w:r>
        <w:rPr>
          <w:rFonts w:ascii="Times New Roman"/>
        </w:rPr>
        <w:t>w=（w</w:t>
      </w:r>
      <w:r>
        <w:rPr>
          <w:rFonts w:ascii="Times New Roman"/>
          <w:vertAlign w:val="subscript"/>
        </w:rPr>
        <w:t>CuO</w:t>
      </w:r>
      <w:r>
        <w:rPr>
          <w:rFonts w:ascii="Times New Roman"/>
        </w:rPr>
        <w:t xml:space="preserve"> ＋ w</w:t>
      </w:r>
      <w:r>
        <w:rPr>
          <w:rFonts w:ascii="Times New Roman"/>
          <w:vertAlign w:val="subscript"/>
        </w:rPr>
        <w:t>CrO3</w:t>
      </w:r>
      <w:r>
        <w:rPr>
          <w:rFonts w:ascii="Times New Roman"/>
        </w:rPr>
        <w:t xml:space="preserve"> ＋w</w:t>
      </w:r>
      <w:r>
        <w:rPr>
          <w:rFonts w:ascii="Times New Roman"/>
          <w:vertAlign w:val="subscript"/>
        </w:rPr>
        <w:t>As2O5</w:t>
      </w:r>
      <w:r>
        <w:rPr>
          <w:rFonts w:ascii="Times New Roman"/>
        </w:rPr>
        <w:t>）</w:t>
      </w:r>
      <w:r>
        <w:rPr>
          <w:rFonts w:ascii="Times New Roman"/>
        </w:rPr>
        <w:object>
          <v:shape id="_x0000_i1025" o:spt="75" type="#_x0000_t75" style="height:9pt;width:9pt;" o:ole="t" filled="f" stroked="f" coordsize="21600,21600">
            <v:path/>
            <v:fill on="f" focussize="0,0"/>
            <v:stroke on="f"/>
            <v:imagedata r:id="rId17" o:title=""/>
            <o:lock v:ext="edit" aspectratio="t"/>
            <w10:wrap type="none"/>
            <w10:anchorlock/>
          </v:shape>
          <o:OLEObject Type="Embed" ProgID="Equation.3" ShapeID="_x0000_i1025" DrawAspect="Content" ObjectID="_1468075725" r:id="rId16">
            <o:LockedField>false</o:LockedField>
          </o:OLEObject>
        </w:object>
      </w:r>
      <w:r>
        <w:rPr>
          <w:rFonts w:ascii="Times New Roman"/>
        </w:rPr>
        <w:t xml:space="preserve">DF </w:t>
      </w:r>
      <w:r>
        <w:rPr>
          <w:rFonts w:hint="eastAsia"/>
        </w:rPr>
        <w:t xml:space="preserve">           ………………………（</w:t>
      </w:r>
      <w:r>
        <w:rPr>
          <w:rFonts w:ascii="Times New Roman"/>
        </w:rPr>
        <w:t>1</w:t>
      </w:r>
      <w:r>
        <w:rPr>
          <w:rFonts w:hint="eastAsia"/>
        </w:rPr>
        <w:t>）</w:t>
      </w:r>
    </w:p>
    <w:p w14:paraId="70EC387C">
      <w:pPr>
        <w:pStyle w:val="43"/>
        <w:numPr>
          <w:ilvl w:val="1"/>
          <w:numId w:val="0"/>
        </w:numPr>
        <w:autoSpaceDE/>
        <w:autoSpaceDN/>
        <w:ind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式中：</w:t>
      </w:r>
    </w:p>
    <w:p w14:paraId="737A37D5">
      <w:pPr>
        <w:pStyle w:val="43"/>
        <w:numPr>
          <w:ilvl w:val="1"/>
          <w:numId w:val="0"/>
        </w:numPr>
        <w:ind w:firstLine="1050" w:firstLineChars="500"/>
        <w:rPr>
          <w:rFonts w:hint="eastAsia" w:ascii="宋体" w:hAnsi="宋体" w:eastAsia="宋体" w:cs="宋体"/>
        </w:rPr>
      </w:pPr>
      <w:r>
        <w:rPr>
          <w:rFonts w:hint="eastAsia" w:ascii="宋体" w:hAnsi="宋体" w:eastAsia="宋体" w:cs="宋体"/>
        </w:rPr>
        <w:t>w——有效成分总含量，％；</w:t>
      </w:r>
    </w:p>
    <w:p w14:paraId="535C3BEB">
      <w:pPr>
        <w:pStyle w:val="43"/>
        <w:numPr>
          <w:ilvl w:val="1"/>
          <w:numId w:val="0"/>
        </w:numPr>
        <w:ind w:leftChars="500"/>
        <w:rPr>
          <w:rFonts w:hint="eastAsia" w:ascii="宋体" w:hAnsi="宋体" w:eastAsia="宋体" w:cs="宋体"/>
        </w:rPr>
      </w:pPr>
      <w:r>
        <w:rPr>
          <w:rFonts w:hint="eastAsia" w:ascii="宋体" w:hAnsi="宋体" w:eastAsia="宋体" w:cs="宋体"/>
        </w:rPr>
        <w:t>w</w:t>
      </w:r>
      <w:r>
        <w:rPr>
          <w:rFonts w:hint="eastAsia" w:ascii="宋体" w:hAnsi="宋体" w:eastAsia="宋体" w:cs="宋体"/>
          <w:vertAlign w:val="subscript"/>
        </w:rPr>
        <w:t>CuO</w:t>
      </w:r>
      <w:r>
        <w:rPr>
          <w:rFonts w:hint="eastAsia" w:ascii="宋体" w:hAnsi="宋体" w:eastAsia="宋体" w:cs="宋体"/>
        </w:rPr>
        <w:t>——打印结果中读出的氧化铜含量，％；</w:t>
      </w:r>
    </w:p>
    <w:p w14:paraId="28D47A79">
      <w:pPr>
        <w:pStyle w:val="43"/>
        <w:numPr>
          <w:ilvl w:val="1"/>
          <w:numId w:val="0"/>
        </w:numPr>
        <w:ind w:leftChars="500"/>
        <w:rPr>
          <w:rFonts w:hint="eastAsia" w:ascii="宋体" w:hAnsi="宋体" w:eastAsia="宋体" w:cs="宋体"/>
        </w:rPr>
      </w:pPr>
      <w:r>
        <w:rPr>
          <w:rFonts w:hint="eastAsia" w:ascii="宋体" w:hAnsi="宋体" w:eastAsia="宋体" w:cs="宋体"/>
        </w:rPr>
        <w:t>w</w:t>
      </w:r>
      <w:r>
        <w:rPr>
          <w:rFonts w:hint="eastAsia" w:ascii="宋体" w:hAnsi="宋体" w:eastAsia="宋体" w:cs="宋体"/>
          <w:vertAlign w:val="subscript"/>
        </w:rPr>
        <w:t>CrO3</w:t>
      </w:r>
      <w:r>
        <w:rPr>
          <w:rFonts w:hint="eastAsia" w:ascii="宋体" w:hAnsi="宋体" w:eastAsia="宋体" w:cs="宋体"/>
        </w:rPr>
        <w:t>——打印结果中读出的氧化铬含量，％；</w:t>
      </w:r>
    </w:p>
    <w:p w14:paraId="5F6F0D25">
      <w:pPr>
        <w:pStyle w:val="43"/>
        <w:numPr>
          <w:ilvl w:val="1"/>
          <w:numId w:val="0"/>
        </w:numPr>
        <w:ind w:leftChars="500"/>
        <w:rPr>
          <w:rFonts w:hint="eastAsia" w:ascii="宋体" w:hAnsi="宋体" w:eastAsia="宋体" w:cs="宋体"/>
        </w:rPr>
      </w:pPr>
      <w:r>
        <w:rPr>
          <w:rFonts w:hint="eastAsia" w:ascii="宋体" w:hAnsi="宋体" w:eastAsia="宋体" w:cs="宋体"/>
        </w:rPr>
        <w:t>w</w:t>
      </w:r>
      <w:r>
        <w:rPr>
          <w:rFonts w:hint="eastAsia" w:ascii="宋体" w:hAnsi="宋体" w:eastAsia="宋体" w:cs="宋体"/>
          <w:vertAlign w:val="subscript"/>
        </w:rPr>
        <w:t>As2O5</w:t>
      </w:r>
      <w:r>
        <w:rPr>
          <w:rFonts w:hint="eastAsia" w:ascii="宋体" w:hAnsi="宋体" w:eastAsia="宋体" w:cs="宋体"/>
        </w:rPr>
        <w:t>——打印结果中读出的五氧化二砷含量，％；</w:t>
      </w:r>
    </w:p>
    <w:p w14:paraId="6851228E">
      <w:pPr>
        <w:pStyle w:val="43"/>
        <w:numPr>
          <w:ilvl w:val="1"/>
          <w:numId w:val="0"/>
        </w:numPr>
        <w:ind w:leftChars="500"/>
        <w:rPr>
          <w:rFonts w:hint="eastAsia" w:ascii="宋体" w:hAnsi="宋体" w:eastAsia="宋体" w:cs="宋体"/>
        </w:rPr>
      </w:pPr>
      <w:r>
        <w:rPr>
          <w:rFonts w:hint="eastAsia" w:ascii="宋体" w:hAnsi="宋体" w:eastAsia="宋体" w:cs="宋体"/>
        </w:rPr>
        <w:t>DF——样品稀释倍数。</w:t>
      </w:r>
    </w:p>
    <w:p w14:paraId="42E4D698">
      <w:pPr>
        <w:pStyle w:val="64"/>
        <w:numPr>
          <w:ilvl w:val="0"/>
          <w:numId w:val="0"/>
        </w:numPr>
        <w:spacing w:line="240" w:lineRule="auto"/>
        <w:rPr>
          <w:rFonts w:hint="default" w:eastAsia="黑体"/>
          <w:lang w:val="en-US" w:eastAsia="zh-CN"/>
        </w:rPr>
      </w:pPr>
      <w:r>
        <w:rPr>
          <w:rFonts w:hint="eastAsia"/>
          <w:color w:val="auto"/>
          <w:lang w:val="en-US" w:eastAsia="zh-CN"/>
        </w:rPr>
        <w:t>5</w:t>
      </w:r>
      <w:r>
        <w:rPr>
          <w:rFonts w:hint="eastAsia" w:hAnsi="Times New Roman"/>
          <w:color w:val="auto"/>
          <w:lang w:val="en-US" w:eastAsia="zh-CN"/>
        </w:rPr>
        <w:t>.2.</w:t>
      </w:r>
      <w:r>
        <w:rPr>
          <w:rFonts w:hint="eastAsia" w:hAnsi="Times New Roman" w:cs="Times New Roman"/>
          <w:color w:val="auto"/>
          <w:lang w:val="en-US" w:eastAsia="zh-CN"/>
        </w:rPr>
        <w:t>3 ICP-oes法测CCA型防腐剂中铜铬砷</w:t>
      </w:r>
    </w:p>
    <w:p w14:paraId="60AAF831">
      <w:pPr>
        <w:pStyle w:val="43"/>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rPr>
          <w:rFonts w:hint="default" w:eastAsia="黑体"/>
          <w:lang w:val="en-US" w:eastAsia="zh-CN"/>
        </w:rPr>
      </w:pPr>
      <w:r>
        <w:rPr>
          <w:rFonts w:hint="eastAsia" w:ascii="宋体" w:hAnsi="宋体" w:eastAsia="宋体"/>
          <w:lang w:val="en-US" w:eastAsia="zh-CN"/>
        </w:rPr>
        <w:t>按</w:t>
      </w:r>
      <w:r>
        <w:rPr>
          <w:rFonts w:hint="eastAsia" w:ascii="Times New Roman" w:hAnsi="Times New Roman" w:eastAsia="宋体" w:cs="Times New Roman"/>
          <w:lang w:val="en-US" w:eastAsia="zh-CN"/>
        </w:rPr>
        <w:t>JC/T XXXXX-20XX</w:t>
      </w:r>
      <w:r>
        <w:rPr>
          <w:rFonts w:hint="eastAsia" w:ascii="宋体" w:hAnsi="宋体" w:eastAsia="宋体"/>
          <w:lang w:val="en-US" w:eastAsia="zh-CN"/>
        </w:rPr>
        <w:t>《水载型防腐剂和阻燃剂主要成分的测定》中1</w:t>
      </w:r>
      <w:r>
        <w:rPr>
          <w:rFonts w:hint="eastAsia" w:ascii="Times New Roman" w:hAnsi="Times New Roman" w:eastAsia="宋体" w:cs="Times New Roman"/>
          <w:lang w:val="en-US" w:eastAsia="zh-CN"/>
        </w:rPr>
        <w:t>5</w:t>
      </w:r>
      <w:r>
        <w:rPr>
          <w:rFonts w:hint="eastAsia" w:ascii="宋体" w:hAnsi="宋体" w:eastAsia="宋体"/>
          <w:lang w:val="en-US" w:eastAsia="zh-CN"/>
        </w:rPr>
        <w:t>的规定进行。</w:t>
      </w:r>
    </w:p>
    <w:p w14:paraId="2B1E2153">
      <w:pPr>
        <w:pStyle w:val="64"/>
        <w:numPr>
          <w:ilvl w:val="0"/>
          <w:numId w:val="0"/>
        </w:numPr>
        <w:spacing w:line="240" w:lineRule="auto"/>
        <w:rPr>
          <w:rFonts w:hint="eastAsia" w:hAnsi="Times New Roman"/>
          <w:color w:val="auto"/>
          <w:lang w:val="en-US" w:eastAsia="zh-CN"/>
        </w:rPr>
      </w:pPr>
      <w:r>
        <w:rPr>
          <w:rFonts w:hint="eastAsia"/>
          <w:color w:val="auto"/>
          <w:lang w:val="en-US" w:eastAsia="zh-CN"/>
        </w:rPr>
        <w:t>5</w:t>
      </w:r>
      <w:r>
        <w:rPr>
          <w:rFonts w:hint="eastAsia" w:hAnsi="Times New Roman"/>
          <w:color w:val="auto"/>
          <w:lang w:val="en-US" w:eastAsia="zh-CN"/>
        </w:rPr>
        <w:t>.2.</w:t>
      </w:r>
      <w:r>
        <w:rPr>
          <w:rFonts w:hint="eastAsia" w:hAnsi="Times New Roman" w:cs="Times New Roman"/>
          <w:color w:val="auto"/>
          <w:lang w:val="en-US" w:eastAsia="zh-CN"/>
        </w:rPr>
        <w:t>4 ICP-MS法测CCA型防腐剂中铜铬砷</w:t>
      </w:r>
    </w:p>
    <w:p w14:paraId="3F712D9F">
      <w:pPr>
        <w:pStyle w:val="43"/>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rPr>
          <w:rFonts w:hint="default" w:eastAsia="黑体"/>
          <w:lang w:val="en-US" w:eastAsia="zh-CN"/>
        </w:rPr>
      </w:pPr>
      <w:bookmarkStart w:id="29" w:name="_Toc164148087"/>
      <w:bookmarkStart w:id="30" w:name="_Toc164148564"/>
      <w:bookmarkStart w:id="31" w:name="_Toc164148123"/>
      <w:bookmarkStart w:id="32" w:name="_Toc166464099"/>
      <w:bookmarkStart w:id="33" w:name="_Toc166464253"/>
      <w:r>
        <w:rPr>
          <w:rFonts w:hint="eastAsia" w:ascii="宋体" w:hAnsi="宋体" w:eastAsia="宋体"/>
          <w:lang w:val="en-US" w:eastAsia="zh-CN"/>
        </w:rPr>
        <w:t>按</w:t>
      </w:r>
      <w:r>
        <w:rPr>
          <w:rFonts w:hint="eastAsia" w:ascii="Times New Roman" w:hAnsi="Times New Roman" w:eastAsia="宋体" w:cs="Times New Roman"/>
          <w:lang w:val="en-US" w:eastAsia="zh-CN"/>
        </w:rPr>
        <w:t>JC/T XXXXX-20XX</w:t>
      </w:r>
      <w:r>
        <w:rPr>
          <w:rFonts w:hint="eastAsia" w:ascii="宋体" w:hAnsi="宋体" w:eastAsia="宋体"/>
          <w:lang w:val="en-US" w:eastAsia="zh-CN"/>
        </w:rPr>
        <w:t>《水载型防腐剂和阻燃剂主要成分的测定》中1</w:t>
      </w:r>
      <w:r>
        <w:rPr>
          <w:rFonts w:hint="eastAsia" w:ascii="Times New Roman" w:hAnsi="Times New Roman" w:eastAsia="宋体" w:cs="Times New Roman"/>
          <w:lang w:val="en-US" w:eastAsia="zh-CN"/>
        </w:rPr>
        <w:t>6</w:t>
      </w:r>
      <w:r>
        <w:rPr>
          <w:rFonts w:hint="eastAsia" w:ascii="宋体" w:hAnsi="宋体" w:eastAsia="宋体"/>
          <w:lang w:val="en-US" w:eastAsia="zh-CN"/>
        </w:rPr>
        <w:t>的规定进行。</w:t>
      </w:r>
    </w:p>
    <w:p w14:paraId="648B0A53">
      <w:pPr>
        <w:pStyle w:val="47"/>
        <w:numPr>
          <w:ilvl w:val="0"/>
          <w:numId w:val="0"/>
        </w:numPr>
        <w:tabs>
          <w:tab w:val="clear" w:pos="0"/>
        </w:tabs>
        <w:spacing w:before="312" w:after="312"/>
        <w:ind w:left="0" w:leftChars="0" w:firstLine="0" w:firstLineChars="0"/>
        <w:rPr>
          <w:rFonts w:eastAsia="宋体"/>
        </w:rPr>
      </w:pPr>
      <w:r>
        <w:rPr>
          <w:rFonts w:hint="eastAsia" w:ascii="黑体" w:hAnsi="Times New Roman" w:eastAsia="黑体" w:cs="Times New Roman"/>
          <w:b w:val="0"/>
          <w:i w:val="0"/>
          <w:sz w:val="21"/>
          <w:szCs w:val="21"/>
          <w:lang w:val="en-US" w:eastAsia="zh-CN" w:bidi="ar-SA"/>
        </w:rPr>
        <w:t>6　</w:t>
      </w:r>
      <w:r>
        <w:rPr>
          <w:rFonts w:hint="eastAsia" w:cs="Times New Roman"/>
          <w:lang w:eastAsia="zh-CN"/>
        </w:rPr>
        <w:t>标志、包装、运输和贮存</w:t>
      </w:r>
      <w:bookmarkEnd w:id="29"/>
      <w:bookmarkEnd w:id="30"/>
      <w:bookmarkEnd w:id="31"/>
      <w:bookmarkEnd w:id="32"/>
      <w:bookmarkEnd w:id="33"/>
    </w:p>
    <w:p w14:paraId="5C2C17F9">
      <w:pPr>
        <w:pStyle w:val="43"/>
        <w:numPr>
          <w:ilvl w:val="1"/>
          <w:numId w:val="0"/>
        </w:numPr>
        <w:bidi w:val="0"/>
        <w:ind w:left="0" w:leftChars="0" w:firstLine="0" w:firstLineChars="0"/>
        <w:rPr>
          <w:rFonts w:hint="default" w:ascii="Times New Roman" w:hAnsi="Times New Roman" w:eastAsia="宋体" w:cs="Times New Roma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6.1　</w:t>
      </w:r>
      <w:r>
        <w:rPr>
          <w:rFonts w:hint="default" w:ascii="Times New Roman" w:hAnsi="Times New Roman" w:eastAsia="宋体" w:cs="Times New Roman"/>
        </w:rPr>
        <w:t>CCA木材防腐剂包装桶上标签应清楚地标明：生产厂名、厂址、产品名称、型号、有效成分含量、注册商标、净重、生产日期、生产批号、产品标准号和产品简要说明。</w:t>
      </w:r>
    </w:p>
    <w:p w14:paraId="7D3B8E67">
      <w:pPr>
        <w:pStyle w:val="43"/>
        <w:numPr>
          <w:ilvl w:val="1"/>
          <w:numId w:val="0"/>
        </w:numPr>
        <w:bidi w:val="0"/>
        <w:ind w:left="0" w:leftChars="0" w:firstLine="0" w:firstLineChars="0"/>
        <w:rPr>
          <w:rFonts w:hint="default" w:ascii="Times New Roman" w:hAnsi="Times New Roman" w:eastAsia="宋体" w:cs="Times New Roman"/>
        </w:rPr>
      </w:pPr>
      <w:r>
        <w:rPr>
          <w:rFonts w:hint="default" w:ascii="Times New Roman"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6.2　</w:t>
      </w:r>
      <w:r>
        <w:rPr>
          <w:rFonts w:hint="default" w:ascii="Times New Roman" w:hAnsi="Times New Roman" w:eastAsia="宋体" w:cs="Times New Roman"/>
        </w:rPr>
        <w:t>CCA木材防腐剂用塑料桶或其它符合相应标准要求的材料包装。</w:t>
      </w:r>
    </w:p>
    <w:p w14:paraId="69A71AFE">
      <w:pPr>
        <w:pStyle w:val="43"/>
        <w:numPr>
          <w:ilvl w:val="1"/>
          <w:numId w:val="0"/>
        </w:numPr>
        <w:bidi w:val="0"/>
        <w:ind w:left="0" w:leftChars="0" w:firstLine="0" w:firstLineChars="0"/>
        <w:rPr>
          <w:rFonts w:hint="default" w:ascii="Times New Roman" w:hAnsi="Times New Roman" w:eastAsia="宋体" w:cs="Times New Roman"/>
        </w:rPr>
      </w:pPr>
      <w:r>
        <w:rPr>
          <w:rFonts w:hint="default" w:ascii="Times New Roman"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6.3　</w:t>
      </w:r>
      <w:r>
        <w:rPr>
          <w:rFonts w:hint="default" w:ascii="Times New Roman" w:hAnsi="Times New Roman" w:eastAsia="宋体" w:cs="Times New Roman"/>
        </w:rPr>
        <w:t>运输过程中应防漏、防火、防潮，不得与食物、饲料等混合装运。</w:t>
      </w:r>
    </w:p>
    <w:p w14:paraId="45526814">
      <w:pPr>
        <w:pStyle w:val="43"/>
        <w:numPr>
          <w:ilvl w:val="1"/>
          <w:numId w:val="0"/>
        </w:numPr>
        <w:bidi w:val="0"/>
        <w:ind w:left="0" w:leftChars="0" w:firstLine="0" w:firstLineChars="0"/>
      </w:pPr>
      <w:r>
        <w:rPr>
          <w:rFonts w:hint="default" w:ascii="Times New Roman"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6.4　</w:t>
      </w:r>
      <w:r>
        <w:rPr>
          <w:rFonts w:hint="default" w:ascii="Times New Roman" w:hAnsi="Times New Roman" w:eastAsia="宋体" w:cs="Times New Roman"/>
        </w:rPr>
        <w:t>贮存在清凉、阴凉、干燥和通风</w:t>
      </w:r>
      <w:r>
        <w:rPr>
          <w:rFonts w:hint="eastAsia" w:ascii="宋体" w:hAnsi="宋体" w:eastAsia="宋体"/>
        </w:rPr>
        <w:t>的仓库中，不得与食物、饲料等混合存放。</w:t>
      </w:r>
    </w:p>
    <w:p w14:paraId="1949BDFE">
      <w:pPr>
        <w:autoSpaceDE/>
        <w:autoSpaceDN/>
      </w:pPr>
      <w:r>
        <w:rPr>
          <w:rFonts w:hint="eastAsia"/>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5408;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footerReference r:id="rId13" w:type="default"/>
      <w:footerReference r:id="rId14"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swiss"/>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MS Gothic">
    <w:altName w:val="Hiragino Sans"/>
    <w:panose1 w:val="020B0609070205080204"/>
    <w:charset w:val="80"/>
    <w:family w:val="modern"/>
    <w:pitch w:val="default"/>
    <w:sig w:usb0="00000000" w:usb1="00000000" w:usb2="08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黑体">
    <w:altName w:val="汉仪中黑KW"/>
    <w:panose1 w:val="00000000000000000000"/>
    <w:charset w:val="00"/>
    <w:family w:val="auto"/>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8E4B1">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22A07">
    <w:pPr>
      <w:pStyle w:val="11"/>
      <w:ind w:firstLine="360"/>
    </w:pPr>
  </w:p>
  <w:p w14:paraId="081A693C">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E9CA2">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CCEB2">
    <w:pPr>
      <w:pStyle w:val="61"/>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DD77F">
    <w:pPr>
      <w:pStyle w:val="61"/>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63C77">
    <w:pPr>
      <w:pStyle w:val="11"/>
      <w:ind w:firstLine="360"/>
    </w:pPr>
    <w:r>
      <w:fldChar w:fldCharType="begin"/>
    </w:r>
    <w:r>
      <w:instrText xml:space="preserve">PAGE   \* MERGEFORMAT</w:instrText>
    </w:r>
    <w:r>
      <w:fldChar w:fldCharType="separate"/>
    </w:r>
    <w:r>
      <w:rPr>
        <w:lang w:val="zh-CN"/>
      </w:rPr>
      <w:t>6</w:t>
    </w:r>
    <w:r>
      <w:fldChar w:fldCharType="end"/>
    </w:r>
  </w:p>
  <w:p w14:paraId="78D03859">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C658B">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C40F">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E631D">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A87E6">
    <w:pPr>
      <w:pStyle w:val="62"/>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9DD6F04"/>
    <w:multiLevelType w:val="multilevel"/>
    <w:tmpl w:val="49DD6F04"/>
    <w:lvl w:ilvl="0" w:tentative="0">
      <w:start w:val="1"/>
      <w:numFmt w:val="decimal"/>
      <w:pStyle w:val="71"/>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2">
    <w:nsid w:val="6CEA2025"/>
    <w:multiLevelType w:val="multilevel"/>
    <w:tmpl w:val="6CEA2025"/>
    <w:lvl w:ilvl="0" w:tentative="0">
      <w:start w:val="1"/>
      <w:numFmt w:val="none"/>
      <w:pStyle w:val="80"/>
      <w:suff w:val="nothing"/>
      <w:lvlText w:val="%1"/>
      <w:lvlJc w:val="left"/>
      <w:pPr>
        <w:ind w:left="0" w:firstLine="0"/>
      </w:pPr>
      <w:rPr>
        <w:rFonts w:hint="default" w:ascii="Times New Roman" w:hAnsi="Times New Roman"/>
        <w:b/>
        <w:i w:val="0"/>
        <w:sz w:val="21"/>
      </w:rPr>
    </w:lvl>
    <w:lvl w:ilvl="1" w:tentative="0">
      <w:start w:val="1"/>
      <w:numFmt w:val="decimal"/>
      <w:pStyle w:val="59"/>
      <w:suff w:val="nothing"/>
      <w:lvlText w:val="%1%2　"/>
      <w:lvlJc w:val="left"/>
      <w:pPr>
        <w:ind w:left="0" w:firstLine="0"/>
      </w:pPr>
      <w:rPr>
        <w:rFonts w:hint="eastAsia" w:ascii="黑体" w:hAnsi="Times New Roman" w:eastAsia="黑体"/>
        <w:b w:val="0"/>
        <w:i w:val="0"/>
        <w:sz w:val="21"/>
      </w:rPr>
    </w:lvl>
    <w:lvl w:ilvl="2" w:tentative="0">
      <w:start w:val="1"/>
      <w:numFmt w:val="decimal"/>
      <w:pStyle w:val="5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embedSystemFonts/>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2NmM3MGVmMmRjMGRhZDI3OGZhM2M0NTM5ODJiMDE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BA178B"/>
    <w:rsid w:val="026A4959"/>
    <w:rsid w:val="029C290B"/>
    <w:rsid w:val="030329BA"/>
    <w:rsid w:val="032076CE"/>
    <w:rsid w:val="036A374F"/>
    <w:rsid w:val="03B47DC1"/>
    <w:rsid w:val="043B10A6"/>
    <w:rsid w:val="04F57CED"/>
    <w:rsid w:val="056A1D11"/>
    <w:rsid w:val="058B60C2"/>
    <w:rsid w:val="06686C72"/>
    <w:rsid w:val="067547B1"/>
    <w:rsid w:val="072256E2"/>
    <w:rsid w:val="073443D9"/>
    <w:rsid w:val="07CD53CA"/>
    <w:rsid w:val="07FD21B0"/>
    <w:rsid w:val="086E5263"/>
    <w:rsid w:val="08AD31FB"/>
    <w:rsid w:val="0A365262"/>
    <w:rsid w:val="0A4A0725"/>
    <w:rsid w:val="0AD91528"/>
    <w:rsid w:val="0CD7158E"/>
    <w:rsid w:val="11202301"/>
    <w:rsid w:val="117C00ED"/>
    <w:rsid w:val="11D90D02"/>
    <w:rsid w:val="143721F6"/>
    <w:rsid w:val="176D0592"/>
    <w:rsid w:val="194C4AAD"/>
    <w:rsid w:val="1B555E6B"/>
    <w:rsid w:val="1C295179"/>
    <w:rsid w:val="1CB52B35"/>
    <w:rsid w:val="1E005FA5"/>
    <w:rsid w:val="1E4C2C3B"/>
    <w:rsid w:val="1E544886"/>
    <w:rsid w:val="1EE04EB1"/>
    <w:rsid w:val="20CD1E0F"/>
    <w:rsid w:val="22A2772B"/>
    <w:rsid w:val="25332346"/>
    <w:rsid w:val="260D76B9"/>
    <w:rsid w:val="267E2238"/>
    <w:rsid w:val="274C5429"/>
    <w:rsid w:val="294008AF"/>
    <w:rsid w:val="29CF1658"/>
    <w:rsid w:val="2C9E5875"/>
    <w:rsid w:val="2CEC1B17"/>
    <w:rsid w:val="2DA763C8"/>
    <w:rsid w:val="2F6BFB15"/>
    <w:rsid w:val="2FA73189"/>
    <w:rsid w:val="2FAF4C07"/>
    <w:rsid w:val="30F67906"/>
    <w:rsid w:val="314D0EE2"/>
    <w:rsid w:val="32043FBE"/>
    <w:rsid w:val="32E90F84"/>
    <w:rsid w:val="33663940"/>
    <w:rsid w:val="33F36BFE"/>
    <w:rsid w:val="35625557"/>
    <w:rsid w:val="384A186B"/>
    <w:rsid w:val="3A2B1F54"/>
    <w:rsid w:val="3A38784C"/>
    <w:rsid w:val="3A5B1046"/>
    <w:rsid w:val="3B38142F"/>
    <w:rsid w:val="3B5C2526"/>
    <w:rsid w:val="3B5E1F75"/>
    <w:rsid w:val="3BA478A4"/>
    <w:rsid w:val="3C5E5B29"/>
    <w:rsid w:val="3C933C0E"/>
    <w:rsid w:val="3CE47B2E"/>
    <w:rsid w:val="3CF01CC5"/>
    <w:rsid w:val="3CFA5E5C"/>
    <w:rsid w:val="3E9D72A2"/>
    <w:rsid w:val="3EA811A8"/>
    <w:rsid w:val="3EB640DE"/>
    <w:rsid w:val="415D16B6"/>
    <w:rsid w:val="447B74B4"/>
    <w:rsid w:val="44ED4117"/>
    <w:rsid w:val="44F63F7F"/>
    <w:rsid w:val="460A0EAE"/>
    <w:rsid w:val="4820224D"/>
    <w:rsid w:val="49137B1B"/>
    <w:rsid w:val="49A90486"/>
    <w:rsid w:val="49D67FE4"/>
    <w:rsid w:val="4A5E3627"/>
    <w:rsid w:val="4ABF7A2E"/>
    <w:rsid w:val="4B386D45"/>
    <w:rsid w:val="4CD337E9"/>
    <w:rsid w:val="4DC30244"/>
    <w:rsid w:val="4EBB7C58"/>
    <w:rsid w:val="501972E0"/>
    <w:rsid w:val="506015E4"/>
    <w:rsid w:val="524C30E6"/>
    <w:rsid w:val="52607EE4"/>
    <w:rsid w:val="54890F5A"/>
    <w:rsid w:val="55300172"/>
    <w:rsid w:val="553B4A02"/>
    <w:rsid w:val="553B7BF2"/>
    <w:rsid w:val="568B7EE3"/>
    <w:rsid w:val="580C7B94"/>
    <w:rsid w:val="58B11C11"/>
    <w:rsid w:val="5A0F3C17"/>
    <w:rsid w:val="5B5D4FDD"/>
    <w:rsid w:val="5B622322"/>
    <w:rsid w:val="5CB13BA9"/>
    <w:rsid w:val="5E19638D"/>
    <w:rsid w:val="5F373FBF"/>
    <w:rsid w:val="5FA559DE"/>
    <w:rsid w:val="60AD60FE"/>
    <w:rsid w:val="60AE671D"/>
    <w:rsid w:val="626266E7"/>
    <w:rsid w:val="62A87EE4"/>
    <w:rsid w:val="63051A3D"/>
    <w:rsid w:val="644454F5"/>
    <w:rsid w:val="65970E49"/>
    <w:rsid w:val="662305C2"/>
    <w:rsid w:val="67FE6E91"/>
    <w:rsid w:val="68807A41"/>
    <w:rsid w:val="69191871"/>
    <w:rsid w:val="69A23E61"/>
    <w:rsid w:val="6D5F728E"/>
    <w:rsid w:val="6EF230AA"/>
    <w:rsid w:val="6F25667C"/>
    <w:rsid w:val="70A1532D"/>
    <w:rsid w:val="7263752C"/>
    <w:rsid w:val="73935206"/>
    <w:rsid w:val="77BE5CAD"/>
    <w:rsid w:val="7828682C"/>
    <w:rsid w:val="7981729A"/>
    <w:rsid w:val="7B327CBF"/>
    <w:rsid w:val="7BD7640F"/>
    <w:rsid w:val="7E3A23B3"/>
    <w:rsid w:val="7EB44FC2"/>
    <w:rsid w:val="FDFBDA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72"/>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7"/>
    <w:qFormat/>
    <w:uiPriority w:val="0"/>
    <w:rPr>
      <w:rFonts w:ascii="宋体" w:hAnsi="Courier New" w:cs="Courier New"/>
      <w:szCs w:val="21"/>
    </w:rPr>
  </w:style>
  <w:style w:type="paragraph" w:styleId="9">
    <w:name w:val="Date"/>
    <w:basedOn w:val="1"/>
    <w:next w:val="1"/>
    <w:link w:val="79"/>
    <w:qFormat/>
    <w:uiPriority w:val="0"/>
    <w:pPr>
      <w:ind w:left="100" w:leftChars="2500"/>
    </w:pPr>
  </w:style>
  <w:style w:type="paragraph" w:styleId="10">
    <w:name w:val="Balloon Text"/>
    <w:basedOn w:val="1"/>
    <w:link w:val="54"/>
    <w:qFormat/>
    <w:uiPriority w:val="0"/>
    <w:rPr>
      <w:sz w:val="18"/>
      <w:szCs w:val="18"/>
    </w:rPr>
  </w:style>
  <w:style w:type="paragraph" w:styleId="11">
    <w:name w:val="footer"/>
    <w:basedOn w:val="1"/>
    <w:link w:val="56"/>
    <w:qFormat/>
    <w:uiPriority w:val="99"/>
    <w:pPr>
      <w:tabs>
        <w:tab w:val="center" w:pos="4153"/>
        <w:tab w:val="right" w:pos="8306"/>
      </w:tabs>
      <w:snapToGrid w:val="0"/>
      <w:jc w:val="left"/>
    </w:pPr>
    <w:rPr>
      <w:sz w:val="18"/>
    </w:rPr>
  </w:style>
  <w:style w:type="paragraph" w:styleId="12">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Title"/>
    <w:basedOn w:val="1"/>
    <w:next w:val="1"/>
    <w:link w:val="68"/>
    <w:qFormat/>
    <w:uiPriority w:val="0"/>
    <w:pPr>
      <w:spacing w:before="240" w:after="60"/>
      <w:jc w:val="center"/>
      <w:outlineLvl w:val="0"/>
    </w:pPr>
    <w:rPr>
      <w:rFonts w:ascii="Calibri Light" w:hAnsi="Calibri Light"/>
      <w:b/>
      <w:bCs/>
      <w:sz w:val="32"/>
      <w:szCs w:val="32"/>
    </w:rPr>
  </w:style>
  <w:style w:type="paragraph" w:styleId="18">
    <w:name w:val="annotation subject"/>
    <w:basedOn w:val="4"/>
    <w:next w:val="4"/>
    <w:link w:val="53"/>
    <w:qFormat/>
    <w:uiPriority w:val="0"/>
    <w:rPr>
      <w:b/>
      <w:bCs/>
    </w:rPr>
  </w:style>
  <w:style w:type="paragraph" w:styleId="19">
    <w:name w:val="Body Text First Indent"/>
    <w:basedOn w:val="5"/>
    <w:qFormat/>
    <w:uiPriority w:val="0"/>
    <w:pPr>
      <w:ind w:firstLine="100" w:firstLineChars="100"/>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rPr>
      <w:rFonts w:ascii="Times New Roman" w:hAnsi="Times New Roman" w:eastAsia="宋体"/>
      <w:sz w:val="18"/>
    </w:rPr>
  </w:style>
  <w:style w:type="character" w:styleId="24">
    <w:name w:val="Emphasis"/>
    <w:basedOn w:val="22"/>
    <w:qFormat/>
    <w:uiPriority w:val="20"/>
    <w:rPr>
      <w:i/>
      <w:iCs/>
    </w:rPr>
  </w:style>
  <w:style w:type="character" w:styleId="25">
    <w:name w:val="Hyperlink"/>
    <w:basedOn w:val="22"/>
    <w:unhideWhenUsed/>
    <w:qFormat/>
    <w:uiPriority w:val="99"/>
    <w:rPr>
      <w:color w:val="0000FF"/>
      <w:u w:val="single"/>
    </w:rPr>
  </w:style>
  <w:style w:type="character" w:styleId="26">
    <w:name w:val="annotation reference"/>
    <w:qFormat/>
    <w:uiPriority w:val="0"/>
    <w:rPr>
      <w:sz w:val="21"/>
      <w:szCs w:val="21"/>
    </w:rPr>
  </w:style>
  <w:style w:type="paragraph" w:customStyle="1" w:styleId="27">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3">
    <w:name w:val="封面标准英文名称"/>
    <w:basedOn w:val="32"/>
    <w:qFormat/>
    <w:uiPriority w:val="0"/>
    <w:pPr>
      <w:framePr w:wrap="around"/>
      <w:spacing w:before="370" w:line="400" w:lineRule="exact"/>
    </w:pPr>
    <w:rPr>
      <w:rFonts w:ascii="Times New Roman"/>
      <w:sz w:val="28"/>
      <w:szCs w:val="28"/>
    </w:rPr>
  </w:style>
  <w:style w:type="paragraph" w:customStyle="1" w:styleId="34">
    <w:name w:val="封面一致性程度标识"/>
    <w:basedOn w:val="33"/>
    <w:qFormat/>
    <w:uiPriority w:val="0"/>
    <w:pPr>
      <w:framePr w:wrap="around"/>
      <w:spacing w:before="440"/>
    </w:pPr>
    <w:rPr>
      <w:rFonts w:ascii="宋体" w:eastAsia="宋体"/>
    </w:rPr>
  </w:style>
  <w:style w:type="paragraph" w:customStyle="1" w:styleId="35">
    <w:name w:val="封面标准文稿类别"/>
    <w:basedOn w:val="34"/>
    <w:qFormat/>
    <w:uiPriority w:val="0"/>
    <w:pPr>
      <w:framePr w:wrap="around"/>
      <w:spacing w:after="160" w:line="240" w:lineRule="auto"/>
    </w:pPr>
    <w:rPr>
      <w:sz w:val="24"/>
    </w:rPr>
  </w:style>
  <w:style w:type="paragraph" w:customStyle="1" w:styleId="36">
    <w:name w:val="封面标准文稿编辑信息"/>
    <w:basedOn w:val="35"/>
    <w:qFormat/>
    <w:uiPriority w:val="0"/>
    <w:pPr>
      <w:framePr w:wrap="around"/>
      <w:spacing w:before="180" w:line="180" w:lineRule="exact"/>
    </w:pPr>
    <w:rPr>
      <w:sz w:val="21"/>
    </w:rPr>
  </w:style>
  <w:style w:type="paragraph" w:customStyle="1" w:styleId="37">
    <w:name w:val="其他发布日期"/>
    <w:basedOn w:val="38"/>
    <w:qFormat/>
    <w:uiPriority w:val="0"/>
    <w:pPr>
      <w:framePr w:wrap="around" w:vAnchor="page" w:hAnchor="text" w:x="1419"/>
    </w:pPr>
  </w:style>
  <w:style w:type="paragraph" w:customStyle="1" w:styleId="38">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9">
    <w:name w:val="其他实施日期"/>
    <w:basedOn w:val="40"/>
    <w:qFormat/>
    <w:uiPriority w:val="0"/>
    <w:pPr>
      <w:framePr w:wrap="around"/>
    </w:pPr>
  </w:style>
  <w:style w:type="paragraph" w:customStyle="1" w:styleId="40">
    <w:name w:val="实施日期"/>
    <w:basedOn w:val="38"/>
    <w:qFormat/>
    <w:uiPriority w:val="0"/>
    <w:pPr>
      <w:framePr w:wrap="around" w:vAnchor="page" w:hAnchor="text"/>
      <w:jc w:val="right"/>
    </w:pPr>
  </w:style>
  <w:style w:type="paragraph" w:customStyle="1" w:styleId="41">
    <w:name w:val="其他发布部门"/>
    <w:basedOn w:val="42"/>
    <w:qFormat/>
    <w:uiPriority w:val="0"/>
    <w:pPr>
      <w:framePr w:wrap="around" w:y="15310"/>
      <w:spacing w:line="0" w:lineRule="atLeast"/>
    </w:pPr>
    <w:rPr>
      <w:rFonts w:ascii="黑体" w:eastAsia="黑体"/>
      <w:b w:val="0"/>
    </w:rPr>
  </w:style>
  <w:style w:type="paragraph" w:customStyle="1" w:styleId="42">
    <w:name w:val="发布部门"/>
    <w:next w:val="43"/>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3">
    <w:name w:val="段"/>
    <w:link w:val="51"/>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4">
    <w:name w:val="发布"/>
    <w:qFormat/>
    <w:uiPriority w:val="0"/>
    <w:rPr>
      <w:rFonts w:ascii="黑体" w:eastAsia="黑体"/>
      <w:spacing w:val="85"/>
      <w:w w:val="100"/>
      <w:position w:val="3"/>
      <w:sz w:val="28"/>
      <w:szCs w:val="28"/>
    </w:rPr>
  </w:style>
  <w:style w:type="paragraph" w:customStyle="1" w:styleId="45">
    <w:name w:val="前言、引言标题"/>
    <w:next w:val="1"/>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6">
    <w:name w:val="目次、标准名称标题"/>
    <w:basedOn w:val="45"/>
    <w:next w:val="43"/>
    <w:qFormat/>
    <w:uiPriority w:val="0"/>
    <w:pPr>
      <w:keepNext/>
      <w:pageBreakBefore/>
      <w:shd w:val="clear" w:color="FFFFFF" w:fill="FFFFFF"/>
      <w:tabs>
        <w:tab w:val="center" w:pos="4201"/>
        <w:tab w:val="right" w:leader="dot" w:pos="9298"/>
      </w:tabs>
      <w:spacing w:before="640" w:after="560" w:line="460" w:lineRule="exact"/>
      <w:jc w:val="center"/>
      <w:outlineLvl w:val="0"/>
    </w:pPr>
    <w:rPr>
      <w:rFonts w:ascii="黑体" w:eastAsia="黑体"/>
      <w:sz w:val="32"/>
      <w:szCs w:val="20"/>
    </w:rPr>
  </w:style>
  <w:style w:type="paragraph" w:customStyle="1" w:styleId="47">
    <w:name w:val="章标题"/>
    <w:next w:val="43"/>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8">
    <w:name w:val="终结线"/>
    <w:basedOn w:val="1"/>
    <w:qFormat/>
    <w:uiPriority w:val="0"/>
    <w:pPr>
      <w:framePr w:hSpace="181" w:vSpace="181" w:wrap="around" w:vAnchor="text" w:hAnchor="margin" w:xAlign="center" w:y="285"/>
    </w:pPr>
  </w:style>
  <w:style w:type="character" w:customStyle="1" w:styleId="49">
    <w:name w:val="页眉 Char"/>
    <w:link w:val="12"/>
    <w:qFormat/>
    <w:uiPriority w:val="99"/>
    <w:rPr>
      <w:kern w:val="2"/>
      <w:sz w:val="18"/>
      <w:szCs w:val="18"/>
    </w:rPr>
  </w:style>
  <w:style w:type="paragraph" w:customStyle="1" w:styleId="50">
    <w:name w:val="修订1"/>
    <w:hidden/>
    <w:unhideWhenUsed/>
    <w:qFormat/>
    <w:uiPriority w:val="99"/>
    <w:rPr>
      <w:rFonts w:ascii="Calibri" w:hAnsi="Calibri" w:eastAsia="宋体" w:cs="Times New Roman"/>
      <w:kern w:val="2"/>
      <w:sz w:val="21"/>
      <w:szCs w:val="24"/>
      <w:lang w:val="en-US" w:eastAsia="zh-CN" w:bidi="ar-SA"/>
    </w:rPr>
  </w:style>
  <w:style w:type="character" w:customStyle="1" w:styleId="51">
    <w:name w:val="段 Char"/>
    <w:link w:val="43"/>
    <w:qFormat/>
    <w:uiPriority w:val="0"/>
    <w:rPr>
      <w:rFonts w:ascii="黑体" w:hAnsi="黑体" w:eastAsia="黑体"/>
      <w:sz w:val="21"/>
      <w:szCs w:val="22"/>
    </w:rPr>
  </w:style>
  <w:style w:type="character" w:customStyle="1" w:styleId="52">
    <w:name w:val="批注文字 Char"/>
    <w:link w:val="4"/>
    <w:qFormat/>
    <w:uiPriority w:val="0"/>
    <w:rPr>
      <w:kern w:val="2"/>
      <w:sz w:val="21"/>
      <w:szCs w:val="24"/>
    </w:rPr>
  </w:style>
  <w:style w:type="character" w:customStyle="1" w:styleId="53">
    <w:name w:val="批注主题 Char"/>
    <w:link w:val="18"/>
    <w:qFormat/>
    <w:uiPriority w:val="0"/>
    <w:rPr>
      <w:b/>
      <w:bCs/>
      <w:kern w:val="2"/>
      <w:sz w:val="21"/>
      <w:szCs w:val="24"/>
    </w:rPr>
  </w:style>
  <w:style w:type="character" w:customStyle="1" w:styleId="54">
    <w:name w:val="批注框文本 Char"/>
    <w:link w:val="10"/>
    <w:qFormat/>
    <w:uiPriority w:val="0"/>
    <w:rPr>
      <w:kern w:val="2"/>
      <w:sz w:val="18"/>
      <w:szCs w:val="18"/>
    </w:rPr>
  </w:style>
  <w:style w:type="paragraph" w:styleId="55">
    <w:name w:val="List Paragraph"/>
    <w:basedOn w:val="1"/>
    <w:qFormat/>
    <w:uiPriority w:val="99"/>
  </w:style>
  <w:style w:type="character" w:customStyle="1" w:styleId="56">
    <w:name w:val="页脚 Char"/>
    <w:link w:val="11"/>
    <w:qFormat/>
    <w:uiPriority w:val="99"/>
    <w:rPr>
      <w:rFonts w:ascii="Calibri" w:hAnsi="Calibri" w:eastAsia="宋体" w:cs="Times New Roman"/>
      <w:kern w:val="2"/>
      <w:sz w:val="18"/>
      <w:szCs w:val="24"/>
    </w:rPr>
  </w:style>
  <w:style w:type="paragraph" w:customStyle="1" w:styleId="57">
    <w:name w:val="一级条标题"/>
    <w:basedOn w:val="58"/>
    <w:next w:val="43"/>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8">
    <w:name w:val="标准文件_一级条标题"/>
    <w:basedOn w:val="59"/>
    <w:next w:val="60"/>
    <w:qFormat/>
    <w:uiPriority w:val="99"/>
    <w:pPr>
      <w:numPr>
        <w:ilvl w:val="2"/>
      </w:numPr>
      <w:spacing w:beforeLines="0" w:afterLines="0"/>
      <w:outlineLvl w:val="1"/>
    </w:pPr>
  </w:style>
  <w:style w:type="paragraph" w:customStyle="1" w:styleId="59">
    <w:name w:val="1章标题"/>
    <w:next w:val="60"/>
    <w:qFormat/>
    <w:uiPriority w:val="99"/>
    <w:pPr>
      <w:numPr>
        <w:ilvl w:val="1"/>
        <w:numId w:val="2"/>
      </w:numPr>
      <w:spacing w:beforeLines="50" w:afterLines="50"/>
      <w:jc w:val="both"/>
      <w:outlineLvl w:val="0"/>
    </w:pPr>
    <w:rPr>
      <w:rFonts w:ascii="黑体" w:hAnsi="Times New Roman" w:eastAsia="黑体" w:cs="黑体"/>
      <w:sz w:val="21"/>
      <w:szCs w:val="21"/>
      <w:lang w:val="en-US" w:eastAsia="zh-CN" w:bidi="ar-SA"/>
    </w:rPr>
  </w:style>
  <w:style w:type="paragraph" w:customStyle="1" w:styleId="60">
    <w:name w:val="标准文件_段"/>
    <w:qFormat/>
    <w:uiPriority w:val="99"/>
    <w:pPr>
      <w:widowControl w:val="0"/>
      <w:ind w:firstLine="198" w:firstLineChars="200"/>
      <w:jc w:val="both"/>
    </w:pPr>
    <w:rPr>
      <w:rFonts w:ascii="宋体" w:hAnsi="宋体" w:eastAsia="宋体" w:cs="宋体"/>
      <w:kern w:val="2"/>
      <w:sz w:val="21"/>
      <w:szCs w:val="21"/>
      <w:lang w:val="en-US" w:eastAsia="zh-CN" w:bidi="ar-SA"/>
    </w:rPr>
  </w:style>
  <w:style w:type="paragraph" w:customStyle="1" w:styleId="6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3">
    <w:name w:val="二级条标题"/>
    <w:basedOn w:val="57"/>
    <w:next w:val="43"/>
    <w:qFormat/>
    <w:uiPriority w:val="0"/>
    <w:pPr>
      <w:spacing w:before="50" w:after="50"/>
      <w:ind w:left="0"/>
      <w:outlineLvl w:val="3"/>
    </w:pPr>
  </w:style>
  <w:style w:type="paragraph" w:customStyle="1" w:styleId="64">
    <w:name w:val="三级条标题"/>
    <w:basedOn w:val="63"/>
    <w:next w:val="43"/>
    <w:qFormat/>
    <w:uiPriority w:val="0"/>
    <w:pPr>
      <w:ind w:left="1134"/>
      <w:outlineLvl w:val="4"/>
    </w:pPr>
  </w:style>
  <w:style w:type="paragraph" w:customStyle="1" w:styleId="65">
    <w:name w:val="四级条标题"/>
    <w:basedOn w:val="64"/>
    <w:next w:val="43"/>
    <w:qFormat/>
    <w:uiPriority w:val="0"/>
    <w:pPr>
      <w:ind w:left="0"/>
      <w:outlineLvl w:val="5"/>
    </w:pPr>
  </w:style>
  <w:style w:type="paragraph" w:customStyle="1" w:styleId="66">
    <w:name w:val="五级条标题"/>
    <w:basedOn w:val="65"/>
    <w:next w:val="43"/>
    <w:qFormat/>
    <w:uiPriority w:val="0"/>
    <w:pPr>
      <w:outlineLvl w:val="6"/>
    </w:pPr>
  </w:style>
  <w:style w:type="character" w:customStyle="1" w:styleId="67">
    <w:name w:val="纯文本 Char"/>
    <w:link w:val="8"/>
    <w:qFormat/>
    <w:uiPriority w:val="0"/>
    <w:rPr>
      <w:rFonts w:ascii="宋体" w:hAnsi="Courier New" w:eastAsia="宋体" w:cs="Courier New"/>
      <w:kern w:val="2"/>
      <w:sz w:val="21"/>
      <w:szCs w:val="21"/>
    </w:rPr>
  </w:style>
  <w:style w:type="character" w:customStyle="1" w:styleId="68">
    <w:name w:val="标题 Char"/>
    <w:link w:val="17"/>
    <w:qFormat/>
    <w:uiPriority w:val="0"/>
    <w:rPr>
      <w:rFonts w:ascii="Calibri Light" w:hAnsi="Calibri Light" w:cs="Times New Roman"/>
      <w:b/>
      <w:bCs/>
      <w:kern w:val="2"/>
      <w:sz w:val="32"/>
      <w:szCs w:val="32"/>
    </w:rPr>
  </w:style>
  <w:style w:type="character" w:styleId="69">
    <w:name w:val="Placeholder Text"/>
    <w:basedOn w:val="22"/>
    <w:semiHidden/>
    <w:qFormat/>
    <w:uiPriority w:val="99"/>
    <w:rPr>
      <w:color w:val="808080"/>
    </w:rPr>
  </w:style>
  <w:style w:type="paragraph" w:customStyle="1" w:styleId="70">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71">
    <w:name w:val="章"/>
    <w:basedOn w:val="1"/>
    <w:next w:val="43"/>
    <w:qFormat/>
    <w:uiPriority w:val="0"/>
    <w:pPr>
      <w:numPr>
        <w:ilvl w:val="0"/>
        <w:numId w:val="3"/>
      </w:numPr>
      <w:adjustRightInd w:val="0"/>
      <w:spacing w:before="156" w:beforeLines="50" w:after="156" w:afterLines="50"/>
      <w:ind w:left="0"/>
      <w:jc w:val="center"/>
      <w:outlineLvl w:val="0"/>
    </w:pPr>
    <w:rPr>
      <w:b/>
      <w:kern w:val="21"/>
      <w:sz w:val="32"/>
      <w:szCs w:val="32"/>
    </w:rPr>
  </w:style>
  <w:style w:type="character" w:customStyle="1" w:styleId="72">
    <w:name w:val="标题 2 Char"/>
    <w:basedOn w:val="22"/>
    <w:link w:val="3"/>
    <w:qFormat/>
    <w:uiPriority w:val="0"/>
    <w:rPr>
      <w:rFonts w:asciiTheme="majorHAnsi" w:hAnsiTheme="majorHAnsi" w:eastAsiaTheme="majorEastAsia" w:cstheme="majorBidi"/>
      <w:b/>
      <w:bCs/>
      <w:kern w:val="2"/>
      <w:sz w:val="32"/>
      <w:szCs w:val="32"/>
    </w:rPr>
  </w:style>
  <w:style w:type="paragraph" w:customStyle="1" w:styleId="73">
    <w:name w:val="附录A列表"/>
    <w:basedOn w:val="1"/>
    <w:qFormat/>
    <w:uiPriority w:val="0"/>
    <w:pPr>
      <w:keepNext/>
      <w:spacing w:line="300" w:lineRule="auto"/>
      <w:jc w:val="center"/>
    </w:pPr>
  </w:style>
  <w:style w:type="paragraph" w:customStyle="1" w:styleId="74">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5">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6">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7">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8">
    <w:name w:val="TOC Heading"/>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9">
    <w:name w:val="日期 Char"/>
    <w:basedOn w:val="22"/>
    <w:link w:val="9"/>
    <w:qFormat/>
    <w:uiPriority w:val="0"/>
    <w:rPr>
      <w:rFonts w:asciiTheme="minorEastAsia" w:hAnsiTheme="minorEastAsia" w:eastAsiaTheme="minorEastAsia"/>
      <w:sz w:val="21"/>
      <w:szCs w:val="22"/>
    </w:rPr>
  </w:style>
  <w:style w:type="paragraph" w:customStyle="1" w:styleId="80">
    <w:name w:val="注："/>
    <w:next w:val="43"/>
    <w:qFormat/>
    <w:uiPriority w:val="0"/>
    <w:pPr>
      <w:widowControl w:val="0"/>
      <w:numPr>
        <w:ilvl w:val="0"/>
        <w:numId w:val="2"/>
      </w:numPr>
      <w:autoSpaceDE w:val="0"/>
      <w:autoSpaceDN w:val="0"/>
      <w:jc w:val="both"/>
    </w:pPr>
    <w:rPr>
      <w:rFonts w:ascii="宋体" w:hAnsi="Times New Roman" w:eastAsia="宋体" w:cs="Times New Roman"/>
      <w:sz w:val="18"/>
      <w:lang w:val="en-US" w:eastAsia="zh-CN" w:bidi="ar-SA"/>
    </w:rPr>
  </w:style>
  <w:style w:type="paragraph" w:customStyle="1" w:styleId="81">
    <w:name w:val="正文样式"/>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7</Pages>
  <Words>1809</Words>
  <Characters>2344</Characters>
  <Lines>46</Lines>
  <Paragraphs>13</Paragraphs>
  <TotalTime>0</TotalTime>
  <ScaleCrop>false</ScaleCrop>
  <LinksUpToDate>false</LinksUpToDate>
  <CharactersWithSpaces>2441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2022-06-16T22:02:00Z</dcterms:created>
  <dc:creator>梵高先生 </dc:creator>
  <cp:lastModifiedBy>白乙含</cp:lastModifiedBy>
  <cp:lastPrinted>2022-05-11T19:12:00Z</cp:lastPrinted>
  <dcterms:modified xsi:type="dcterms:W3CDTF">2025-09-09T10:46:05Z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FBD339F3A15E428CB8E12E5C766004DC_13</vt:lpwstr>
  </property>
  <property fmtid="{D5CDD505-2E9C-101B-9397-08002B2CF9AE}" pid="4" name="KSOTemplateDocerSaveRecord">
    <vt:lpwstr>eyJoZGlkIjoiMGFhZjRjNGI5ZGNmYzNkZmVmYzIyNmMwZTRlMzkzM2QiLCJ1c2VySWQiOiIxNDQ3NzcxMDU4In0=</vt:lpwstr>
  </property>
</Properties>
</file>