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7193E">
      <w:pPr>
        <w:autoSpaceDE/>
        <w:autoSpaceDN/>
        <w:rPr>
          <w:rFonts w:hint="eastAsia"/>
        </w:rPr>
      </w:pPr>
    </w:p>
    <w:p w14:paraId="5EFAFE06">
      <w:pPr>
        <w:autoSpaceDE/>
        <w:autoSpaceDN/>
      </w:pPr>
    </w:p>
    <w:p w14:paraId="4FD3D419">
      <w:pPr>
        <w:autoSpaceDE/>
        <w:autoSpaceDN/>
      </w:pPr>
    </w:p>
    <w:p w14:paraId="2A20DDE7">
      <w:pPr>
        <w:pStyle w:val="27"/>
        <w:framePr w:wrap="around"/>
      </w:pPr>
      <w:r>
        <w:rPr>
          <w:rFonts w:ascii="Times New Roman"/>
        </w:rPr>
        <w:t>ICS</w:t>
      </w:r>
      <w:r>
        <w:rPr>
          <w:rFonts w:hint="eastAsia" w:ascii="MS Gothic" w:hAnsi="MS Gothic" w:eastAsia="MS Gothic" w:cs="MS Gothic"/>
        </w:rPr>
        <w:t> </w:t>
      </w:r>
      <w:r>
        <w:rPr>
          <w:rFonts w:hint="eastAsia" w:eastAsia="宋体"/>
          <w:sz w:val="18"/>
          <w:lang w:val="en-US" w:eastAsia="zh-CN"/>
        </w:rPr>
        <w:t>7</w:t>
      </w:r>
      <w:r>
        <w:rPr>
          <w:sz w:val="18"/>
        </w:rPr>
        <w:t>1.100.</w:t>
      </w:r>
      <w:r>
        <w:rPr>
          <w:rFonts w:hint="eastAsia"/>
          <w:sz w:val="18"/>
          <w:lang w:val="en-US" w:eastAsia="zh-CN"/>
        </w:rPr>
        <w:t>5</w:t>
      </w:r>
      <w:r>
        <w:rPr>
          <w:sz w:val="18"/>
        </w:rPr>
        <w:t>0</w:t>
      </w:r>
    </w:p>
    <w:p w14:paraId="6552F46F">
      <w:pPr>
        <w:pStyle w:val="27"/>
        <w:framePr w:wrap="around"/>
        <w:rPr>
          <w:rFonts w:hint="default" w:eastAsia="黑体"/>
          <w:lang w:val="en-US" w:eastAsia="zh-CN"/>
        </w:rPr>
      </w:pPr>
      <w:bookmarkStart w:id="0" w:name="WXFLH"/>
      <w:r>
        <w:t xml:space="preserve">CCS </w:t>
      </w:r>
      <w:bookmarkEnd w:id="0"/>
      <w:r>
        <w:rPr>
          <w:rFonts w:hint="eastAsia"/>
          <w:lang w:val="en-US" w:eastAsia="zh-CN"/>
        </w:rPr>
        <w:t>B</w:t>
      </w:r>
      <w:r>
        <w:rPr>
          <w:rFonts w:hint="eastAsia"/>
          <w:sz w:val="18"/>
          <w:lang w:val="en-US" w:eastAsia="zh-CN"/>
        </w:rPr>
        <w:t>71</w:t>
      </w:r>
    </w:p>
    <w:tbl>
      <w:tblPr>
        <w:tblStyle w:val="20"/>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1F69649A">
        <w:tc>
          <w:tcPr>
            <w:tcW w:w="9854" w:type="dxa"/>
            <w:tcBorders>
              <w:top w:val="nil"/>
              <w:left w:val="nil"/>
              <w:bottom w:val="nil"/>
              <w:right w:val="nil"/>
            </w:tcBorders>
          </w:tcPr>
          <w:p w14:paraId="4675F3D2">
            <w:pPr>
              <w:pStyle w:val="27"/>
              <w:framePr w:wrap="around"/>
            </w:pPr>
            <w:r>
              <w:rPr>
                <w:rFonts w:ascii="Times New Roman"/>
              </w:rPr>
              <w:t>备案号：</w:t>
            </w: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txbx>
                              <w:txbxContent>
                                <w:p w14:paraId="5858FE58"/>
                              </w:txbxContent>
                            </wps:txbx>
                            <wps:bodyPr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BG&#10;MTbYsQEAAG0DAAAOAAAAAAAAAAEAIAAAACQBAABkcnMvZTJvRG9jLnhtbFBLBQYAAAAABgAGAFkB&#10;AABHBQAAAAA=&#10;">
                      <v:fill on="t" focussize="0,0"/>
                      <v:stroke on="f"/>
                      <v:imagedata o:title=""/>
                      <o:lock v:ext="edit" aspectratio="f"/>
                      <v:textbox>
                        <w:txbxContent>
                          <w:p w14:paraId="5858FE58"/>
                        </w:txbxContent>
                      </v:textbox>
                    </v:rect>
                  </w:pict>
                </mc:Fallback>
              </mc:AlternateContent>
            </w:r>
          </w:p>
        </w:tc>
      </w:tr>
    </w:tbl>
    <w:p w14:paraId="0E91530B">
      <w:pPr>
        <w:pStyle w:val="28"/>
        <w:framePr w:wrap="around"/>
        <w:rPr>
          <w:b w:val="0"/>
        </w:rPr>
      </w:pPr>
      <w:bookmarkStart w:id="1" w:name="c1"/>
      <w:r>
        <w:rPr>
          <w:rFonts w:hint="default" w:ascii="Times New Roman" w:hAnsi="Times New Roman" w:cs="Times New Roman"/>
          <w:b w:val="0"/>
        </w:rPr>
        <w:fldChar w:fldCharType="begin">
          <w:ffData>
            <w:name w:val="c1"/>
            <w:enabled/>
            <w:calcOnExit w:val="0"/>
            <w:entryMacro w:val="ShowHelp15"/>
            <w:textInput>
              <w:maxLength w:val="2"/>
            </w:textInput>
          </w:ffData>
        </w:fldChar>
      </w:r>
      <w:r>
        <w:rPr>
          <w:rFonts w:hint="default" w:ascii="Times New Roman" w:hAnsi="Times New Roman" w:cs="Times New Roman"/>
          <w:b w:val="0"/>
        </w:rPr>
        <w:instrText xml:space="preserve"> FORMTEXT </w:instrText>
      </w:r>
      <w:r>
        <w:rPr>
          <w:rFonts w:hint="default" w:ascii="Times New Roman" w:hAnsi="Times New Roman" w:cs="Times New Roman"/>
          <w:b w:val="0"/>
        </w:rPr>
        <w:fldChar w:fldCharType="separate"/>
      </w:r>
      <w:r>
        <w:rPr>
          <w:rFonts w:hint="default" w:ascii="Times New Roman" w:hAnsi="Times New Roman" w:cs="Times New Roman"/>
          <w:b w:val="0"/>
        </w:rPr>
        <w:t>JC</w:t>
      </w:r>
      <w:r>
        <w:rPr>
          <w:rFonts w:hint="default" w:ascii="Times New Roman" w:hAnsi="Times New Roman" w:cs="Times New Roman"/>
          <w:b w:val="0"/>
        </w:rPr>
        <w:fldChar w:fldCharType="end"/>
      </w:r>
      <w:bookmarkEnd w:id="1"/>
    </w:p>
    <w:p w14:paraId="67877C3C">
      <w:pPr>
        <w:pStyle w:val="29"/>
        <w:framePr w:wrap="around"/>
      </w:pPr>
      <w:r>
        <w:rPr>
          <w:rFonts w:hint="eastAsia"/>
        </w:rPr>
        <w:t>中华人民共和国</w:t>
      </w:r>
      <w:bookmarkStart w:id="2" w:name="c2"/>
      <w:r>
        <w:fldChar w:fldCharType="begin">
          <w:ffData>
            <w:name w:val="c2"/>
            <w:enabled/>
            <w:calcOnExit w:val="0"/>
            <w:entryMacro w:val="showhelp11"/>
            <w:textInput/>
          </w:ffData>
        </w:fldChar>
      </w:r>
      <w:r>
        <w:instrText xml:space="preserve"> FORMTEXT </w:instrText>
      </w:r>
      <w:r>
        <w:fldChar w:fldCharType="separate"/>
      </w:r>
      <w:r>
        <w:rPr>
          <w:rFonts w:hint="eastAsia"/>
        </w:rPr>
        <w:t>建材</w:t>
      </w:r>
      <w:r>
        <w:fldChar w:fldCharType="end"/>
      </w:r>
      <w:bookmarkEnd w:id="2"/>
      <w:r>
        <w:rPr>
          <w:rFonts w:hint="eastAsia"/>
        </w:rPr>
        <w:t>行业标准</w:t>
      </w:r>
    </w:p>
    <w:p w14:paraId="2852C84C">
      <w:pPr>
        <w:pStyle w:val="30"/>
        <w:framePr w:wrap="around"/>
      </w:pPr>
      <w:bookmarkStart w:id="3" w:name="StdNo0"/>
      <w:r>
        <w:rPr>
          <w:rFonts w:hint="default" w:ascii="Times New Roman" w:hAnsi="Times New Roman" w:cs="Times New Roman"/>
        </w:rPr>
        <w:fldChar w:fldCharType="begin">
          <w:ffData>
            <w:name w:val="StdNo0"/>
            <w:enabled/>
            <w:calcOnExit w:val="0"/>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JC</w:t>
      </w:r>
      <w:r>
        <w:rPr>
          <w:rFonts w:hint="default" w:ascii="Times New Roman" w:hAnsi="Times New Roman" w:cs="Times New Roman"/>
        </w:rPr>
        <w:fldChar w:fldCharType="end"/>
      </w:r>
      <w:bookmarkEnd w:id="3"/>
      <w:r>
        <w:rPr>
          <w:rFonts w:hint="default" w:ascii="Times New Roman" w:hAnsi="Times New Roman" w:cs="Times New Roman"/>
        </w:rPr>
        <w:t xml:space="preserve">/T </w:t>
      </w:r>
      <w:bookmarkStart w:id="4" w:name="StdNo1"/>
      <w:r>
        <w:rPr>
          <w:rFonts w:hint="default" w:ascii="Times New Roman" w:hAnsi="Times New Roman" w:cs="Times New Roman"/>
        </w:rPr>
        <w:fldChar w:fldCharType="begin">
          <w:ffData>
            <w:name w:val="StdNo1"/>
            <w:enabled/>
            <w:calcOnExit w:val="0"/>
            <w:textInput>
              <w:default w:val="XXXXX"/>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XXXXX</w:t>
      </w:r>
      <w:r>
        <w:rPr>
          <w:rFonts w:hint="default" w:ascii="Times New Roman" w:hAnsi="Times New Roman" w:cs="Times New Roman"/>
        </w:rPr>
        <w:fldChar w:fldCharType="end"/>
      </w:r>
      <w:bookmarkEnd w:id="4"/>
      <w:r>
        <w:rPr>
          <w:rFonts w:hint="default" w:ascii="Times New Roman" w:hAnsi="Times New Roman" w:cs="Times New Roman"/>
        </w:rPr>
        <w:t>—</w:t>
      </w:r>
      <w:bookmarkStart w:id="5" w:name="StdNo2"/>
      <w:r>
        <w:rPr>
          <w:rFonts w:hint="default" w:ascii="Times New Roman" w:hAnsi="Times New Roman" w:cs="Times New Roman"/>
        </w:rPr>
        <w:fldChar w:fldCharType="begin">
          <w:ffData>
            <w:name w:val="StdNo2"/>
            <w:enabled/>
            <w:calcOnExit w:val="0"/>
            <w:textInput>
              <w:default w:val="XXXX"/>
              <w:maxLength w:val="4"/>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5"/>
    </w:p>
    <w:tbl>
      <w:tblPr>
        <w:tblStyle w:val="20"/>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7F0AE335">
        <w:tc>
          <w:tcPr>
            <w:tcW w:w="9356" w:type="dxa"/>
            <w:tcBorders>
              <w:top w:val="nil"/>
              <w:left w:val="nil"/>
              <w:bottom w:val="nil"/>
              <w:right w:val="nil"/>
            </w:tcBorders>
          </w:tcPr>
          <w:p w14:paraId="5C09D979">
            <w:pPr>
              <w:pStyle w:val="31"/>
              <w:framePr w:wrap="around"/>
              <w:ind w:right="210"/>
            </w:pPr>
            <w:r>
              <w:rPr>
                <w:rFonts w:hint="eastAsia" w:ascii="黑体" w:hAnsi="黑体" w:eastAsia="黑体" w:cs="黑体"/>
                <w:lang w:eastAsia="zh-CN"/>
              </w:rPr>
              <w:t>代替</w:t>
            </w:r>
            <w:r>
              <w:rPr>
                <w:rFonts w:hint="eastAsia" w:ascii="黑体" w:hAnsi="黑体" w:eastAsia="黑体" w:cs="黑体"/>
                <w:lang w:val="en-US" w:eastAsia="zh-CN"/>
              </w:rPr>
              <w:t>SB/T 10432-2007</w:t>
            </w:r>
          </w:p>
        </w:tc>
      </w:tr>
    </w:tbl>
    <w:p w14:paraId="1D241CB5">
      <w:pPr>
        <w:pStyle w:val="30"/>
        <w:framePr w:wrap="around"/>
      </w:pPr>
    </w:p>
    <w:p w14:paraId="36BC5E48">
      <w:pPr>
        <w:pStyle w:val="30"/>
        <w:framePr w:wrap="around"/>
      </w:pPr>
    </w:p>
    <w:p w14:paraId="088564D2">
      <w:pPr>
        <w:pStyle w:val="32"/>
        <w:framePr w:w="9293" w:wrap="around" w:x="1699"/>
        <w:pBdr>
          <w:top w:val="none" w:color="auto" w:sz="0" w:space="0"/>
          <w:left w:val="none" w:color="auto" w:sz="0" w:space="0"/>
          <w:bottom w:val="none" w:color="auto" w:sz="0" w:space="0"/>
          <w:right w:val="none" w:color="auto" w:sz="0" w:space="0"/>
        </w:pBdr>
      </w:pPr>
      <w:r>
        <w:rPr>
          <w:rFonts w:hint="eastAsia"/>
        </w:rPr>
        <w:t>木材防腐剂—铜氨（胺）季铵盐（</w:t>
      </w:r>
      <w:r>
        <w:rPr>
          <w:rFonts w:ascii="Times New Roman"/>
        </w:rPr>
        <w:t>ACQ</w:t>
      </w:r>
      <w:r>
        <w:rPr>
          <w:rFonts w:hint="eastAsia"/>
        </w:rPr>
        <w:t>）</w:t>
      </w:r>
    </w:p>
    <w:tbl>
      <w:tblPr>
        <w:tblStyle w:val="20"/>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3E6C6D92">
        <w:tc>
          <w:tcPr>
            <w:tcW w:w="9855" w:type="dxa"/>
            <w:tcBorders>
              <w:top w:val="nil"/>
              <w:left w:val="nil"/>
              <w:bottom w:val="nil"/>
              <w:right w:val="nil"/>
            </w:tcBorders>
          </w:tcPr>
          <w:p w14:paraId="6759F9FC">
            <w:pPr>
              <w:pStyle w:val="33"/>
              <w:keepNext w:val="0"/>
              <w:keepLines w:val="0"/>
              <w:pageBreakBefore w:val="0"/>
              <w:framePr w:w="9293" w:wrap="around" w:x="1699"/>
              <w:widowControl w:val="0"/>
              <w:kinsoku/>
              <w:wordWrap/>
              <w:overflowPunct/>
              <w:topLinePunct w:val="0"/>
              <w:autoSpaceDE/>
              <w:autoSpaceDN/>
              <w:bidi w:val="0"/>
              <w:adjustRightInd/>
              <w:snapToGrid/>
              <w:textAlignment w:val="center"/>
              <w:rPr>
                <w:rFonts w:hint="default" w:ascii="Times New Roman" w:hAnsi="Times New Roman" w:cs="Times New Roman"/>
                <w:sz w:val="21"/>
                <w:szCs w:val="21"/>
              </w:rPr>
            </w:pPr>
            <w:r>
              <w:rPr>
                <w:rFonts w:hint="default" w:ascii="Times New Roman" w:hAnsi="Times New Roman" w:eastAsia="微软雅黑" w:cs="Times New Roman"/>
                <w:color w:val="333333"/>
                <w:sz w:val="21"/>
                <w:szCs w:val="21"/>
              </w:rPr>
              <w:t>Wood Preservatives—Ammonical Copper Quat</w:t>
            </w:r>
            <w:r>
              <w:rPr>
                <w:rFonts w:hint="eastAsia" w:hAnsi="Times New Roman" w:eastAsia="微软雅黑" w:cs="Times New Roman"/>
                <w:color w:val="333333"/>
                <w:sz w:val="21"/>
                <w:szCs w:val="21"/>
                <w:lang w:val="en-US" w:eastAsia="zh-CN"/>
              </w:rPr>
              <w:t xml:space="preserve"> </w:t>
            </w:r>
            <w:r>
              <w:rPr>
                <w:rFonts w:hint="default" w:ascii="Times New Roman" w:hAnsi="Times New Roman" w:eastAsia="微软雅黑" w:cs="Times New Roman"/>
                <w:color w:val="333333"/>
                <w:sz w:val="21"/>
                <w:szCs w:val="21"/>
              </w:rPr>
              <w:t xml:space="preserve">(ACQ) </w:t>
            </w:r>
          </w:p>
          <w:p w14:paraId="563195C4">
            <w:pPr>
              <w:pStyle w:val="35"/>
              <w:framePr w:w="9293" w:wrap="around" w:x="1699"/>
              <w:rPr>
                <w:rFonts w:ascii="Times New Roman" w:eastAsia="黑体"/>
                <w:sz w:val="28"/>
              </w:rPr>
            </w:pPr>
            <w:r>
              <w:rPr>
                <w:rFonts w:ascii="Times New Roman" w:eastAsia="黑体"/>
                <w:sz w:val="28"/>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6"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wps:spPr>
                            <wps:txbx>
                              <w:txbxContent>
                                <w:p w14:paraId="21CA5121"/>
                              </w:txbxContent>
                            </wps:txbx>
                            <wps:bodyPr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X9+DXAAAA&#10;CwEAAA8AAAAAAAAAAQAgAAAAIgAAAGRycy9kb3ducmV2LnhtbFBLAQIUABQAAAAIAIdO4kAVg2zI&#10;rAEAAG0DAAAOAAAAAAAAAAEAIAAAACYBAABkcnMvZTJvRG9jLnhtbFBLBQYAAAAABgAGAFkBAABE&#10;BQAAAAA=&#10;">
                      <v:fill on="t" focussize="0,0"/>
                      <v:stroke on="f"/>
                      <v:imagedata o:title=""/>
                      <o:lock v:ext="edit" aspectratio="f"/>
                      <v:textbox>
                        <w:txbxContent>
                          <w:p w14:paraId="21CA5121"/>
                        </w:txbxContent>
                      </v:textbox>
                      <w10:anchorlock/>
                    </v:rect>
                  </w:pict>
                </mc:Fallback>
              </mc:AlternateContent>
            </w:r>
          </w:p>
        </w:tc>
      </w:tr>
      <w:tr w14:paraId="11217FA6">
        <w:tc>
          <w:tcPr>
            <w:tcW w:w="9855" w:type="dxa"/>
            <w:tcBorders>
              <w:top w:val="nil"/>
              <w:left w:val="nil"/>
              <w:bottom w:val="nil"/>
              <w:right w:val="nil"/>
            </w:tcBorders>
          </w:tcPr>
          <w:p w14:paraId="7EF92098">
            <w:pPr>
              <w:pStyle w:val="36"/>
              <w:framePr w:w="9293" w:wrap="around" w:x="1699"/>
            </w:pPr>
          </w:p>
          <w:p w14:paraId="302DD093">
            <w:pPr>
              <w:framePr w:w="9293" w:wrap="around" w:vAnchor="margin" w:hAnchor="text" w:x="1699" w:y="1"/>
              <w:bidi w:val="0"/>
            </w:pPr>
          </w:p>
          <w:p w14:paraId="7770B738">
            <w:pPr>
              <w:framePr w:w="9293" w:wrap="around" w:vAnchor="margin" w:hAnchor="text" w:x="1699" w:y="1"/>
              <w:tabs>
                <w:tab w:val="clear" w:pos="4201"/>
              </w:tabs>
              <w:bidi w:val="0"/>
              <w:ind w:left="0" w:leftChars="0" w:firstLine="0" w:firstLineChars="0"/>
              <w:jc w:val="center"/>
              <w:rPr>
                <w:rFonts w:hint="eastAsia" w:eastAsiaTheme="minorEastAsia"/>
                <w:lang w:val="en-US" w:eastAsia="zh-CN"/>
              </w:rPr>
            </w:pPr>
            <w:r>
              <w:rPr>
                <w:rFonts w:hint="eastAsia"/>
                <w:lang w:val="en-US" w:eastAsia="zh-CN"/>
              </w:rPr>
              <w:t>征求意见稿</w:t>
            </w:r>
          </w:p>
        </w:tc>
      </w:tr>
    </w:tbl>
    <w:p w14:paraId="5644F330">
      <w:pPr>
        <w:pStyle w:val="37"/>
      </w:pPr>
      <w:bookmarkStart w:id="6" w:name="FY"/>
      <w:r>
        <w:rPr>
          <w:rFonts w:hint="default" w:ascii="Times New Roman" w:hAnsi="Times New Roman" w:cs="Times New Roman"/>
        </w:rPr>
        <w:fldChar w:fldCharType="begin">
          <w:ffData>
            <w:name w:val="FY"/>
            <w:enabled/>
            <w:calcOnExit w:val="0"/>
            <w:entryMacro w:val="ShowHelp8"/>
            <w:textInput>
              <w:default w:val="XXXX"/>
              <w:maxLength w:val="4"/>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6"/>
      <w:r>
        <w:rPr>
          <w:rFonts w:hint="default" w:ascii="Times New Roman" w:hAnsi="Times New Roman" w:cs="Times New Roman"/>
        </w:rPr>
        <w:t>-</w:t>
      </w:r>
      <w:r>
        <w:rPr>
          <w:rFonts w:hint="default" w:ascii="Times New Roman" w:hAnsi="Times New Roman" w:cs="Times New Roman"/>
        </w:rPr>
        <w:fldChar w:fldCharType="begin">
          <w:ffData>
            <w:name w:val="FM"/>
            <w:enabled/>
            <w:calcOnExit w:val="0"/>
            <w:entryMacro w:val="ShowHelp8"/>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r>
        <w:rPr>
          <w:rFonts w:hint="default" w:ascii="Times New Roman" w:hAnsi="Times New Roman" w:cs="Times New Roman"/>
        </w:rPr>
        <w:t>-</w:t>
      </w:r>
      <w:bookmarkStart w:id="7" w:name="FD"/>
      <w:r>
        <w:rPr>
          <w:rFonts w:hint="default" w:ascii="Times New Roman" w:hAnsi="Times New Roman" w:cs="Times New Roman"/>
        </w:rPr>
        <w:fldChar w:fldCharType="begin">
          <w:ffData>
            <w:name w:val="FD"/>
            <w:enabled/>
            <w:calcOnExit w:val="0"/>
            <w:entryMacro w:val="ShowHelp8"/>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7"/>
      <w:r>
        <w:rPr>
          <w:rFonts w:hint="default" w:ascii="Times New Roman" w:hAnsi="Times New Roman" w:cs="Times New Roman"/>
        </w:rPr>
        <w:t>发布</w:t>
      </w:r>
    </w:p>
    <w:p w14:paraId="0810A1F9">
      <w:pPr>
        <w:pStyle w:val="39"/>
        <w:framePr w:wrap="around" w:hAnchor="page" w:x="7096" w:y="14176"/>
      </w:pPr>
      <w:bookmarkStart w:id="8" w:name="SY"/>
      <w:r>
        <w:rPr>
          <w:rFonts w:hint="default" w:ascii="Times New Roman" w:hAnsi="Times New Roman" w:cs="Times New Roman"/>
        </w:rPr>
        <w:fldChar w:fldCharType="begin">
          <w:ffData>
            <w:name w:val="SY"/>
            <w:enabled/>
            <w:calcOnExit w:val="0"/>
            <w:entryMacro w:val="ShowHelp9"/>
            <w:textInput>
              <w:default w:val="XXXX"/>
              <w:maxLength w:val="4"/>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8"/>
      <w:r>
        <w:rPr>
          <w:rFonts w:hint="default" w:ascii="Times New Roman" w:hAnsi="Times New Roman" w:cs="Times New Roman"/>
        </w:rPr>
        <w:t>-</w:t>
      </w:r>
      <w:bookmarkStart w:id="9" w:name="SM"/>
      <w:r>
        <w:rPr>
          <w:rFonts w:hint="default" w:ascii="Times New Roman" w:hAnsi="Times New Roman" w:cs="Times New Roman"/>
        </w:rPr>
        <w:fldChar w:fldCharType="begin">
          <w:ffData>
            <w:name w:val="SM"/>
            <w:enabled/>
            <w:calcOnExit w:val="0"/>
            <w:entryMacro w:val="ShowHelp9"/>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9"/>
      <w:r>
        <w:rPr>
          <w:rFonts w:hint="default" w:ascii="Times New Roman" w:hAnsi="Times New Roman" w:cs="Times New Roman"/>
        </w:rPr>
        <w:t>-</w:t>
      </w:r>
      <w:bookmarkStart w:id="10" w:name="SD"/>
      <w:r>
        <w:rPr>
          <w:rFonts w:hint="default" w:ascii="Times New Roman" w:hAnsi="Times New Roman" w:cs="Times New Roman"/>
        </w:rPr>
        <w:fldChar w:fldCharType="begin">
          <w:ffData>
            <w:name w:val="SD"/>
            <w:enabled/>
            <w:calcOnExit w:val="0"/>
            <w:entryMacro w:val="ShowHelp9"/>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10"/>
      <w:r>
        <w:rPr>
          <w:rFonts w:hint="default" w:ascii="Times New Roman" w:hAnsi="Times New Roman" w:cs="Times New Roman"/>
        </w:rPr>
        <w:t>实施</w:t>
      </w:r>
    </w:p>
    <w:p w14:paraId="690E448C">
      <w:pPr>
        <w:pStyle w:val="41"/>
        <w:framePr w:wrap="around" w:x="2186" w:y="15211"/>
      </w:pPr>
      <w:bookmarkStart w:id="11" w:name="fm"/>
      <w: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wps:spPr>
                      <wps:txbx>
                        <w:txbxContent>
                          <w:p w14:paraId="65F81E8A"/>
                        </w:txbxContent>
                      </wps:txbx>
                      <wps:bodyPr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bXu1tkA&#10;AAANAQAADwAAAAAAAAABACAAAAAiAAAAZHJzL2Rvd25yZXYueG1sUEsBAhQAFAAAAAgAh07iQKMd&#10;bo+sAQAAbQMAAA4AAAAAAAAAAQAgAAAAKAEAAGRycy9lMm9Eb2MueG1sUEsFBgAAAAAGAAYAWQEA&#10;AEYFAAAAAA==&#10;">
                <v:fill on="t" focussize="0,0"/>
                <v:stroke on="f"/>
                <v:imagedata o:title=""/>
                <o:lock v:ext="edit" aspectratio="f"/>
                <v:textbox>
                  <w:txbxContent>
                    <w:p w14:paraId="65F81E8A"/>
                  </w:txbxContent>
                </v:textbox>
              </v:rect>
            </w:pict>
          </mc:Fallback>
        </mc:AlternateContent>
      </w:r>
      <w: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4"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wps:spPr>
                      <wps:txbx>
                        <w:txbxContent>
                          <w:p w14:paraId="12EAAE5E"/>
                        </w:txbxContent>
                      </wps:txbx>
                      <wps:bodyPr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JihHa&#10;AAAADwEAAA8AAAAAAAAAAQAgAAAAIgAAAGRycy9kb3ducmV2LnhtbFBLAQIUABQAAAAIAIdO4kDn&#10;kuSKrAEAAG0DAAAOAAAAAAAAAAEAIAAAACkBAABkcnMvZTJvRG9jLnhtbFBLBQYAAAAABgAGAFkB&#10;AABHBQAAAAA=&#10;">
                <v:fill on="t" focussize="0,0"/>
                <v:stroke on="f"/>
                <v:imagedata o:title=""/>
                <o:lock v:ext="edit" aspectratio="f"/>
                <v:textbox>
                  <w:txbxContent>
                    <w:p w14:paraId="12EAAE5E"/>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-464820</wp:posOffset>
                </wp:positionH>
                <wp:positionV relativeFrom="paragraph">
                  <wp:posOffset>-7021195</wp:posOffset>
                </wp:positionV>
                <wp:extent cx="6120130" cy="0"/>
                <wp:effectExtent l="0" t="0" r="33020" b="19050"/>
                <wp:wrapNone/>
                <wp:docPr id="5"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36.6pt;margin-top:-552.85pt;height:0pt;width:481.9pt;z-index:251663360;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slkaDYAAAADwEAAA8A&#10;AAAAAAAAAQAgAAAAIgAAAGRycy9kb3ducmV2LnhtbFBLAQIUABQAAAAIAIdO4kDOIrZg3gEAAM8D&#10;AAAOAAAAAAAAAAEAIAAAACcBAABkcnMvZTJvRG9jLnhtbFBLBQYAAAAABgAGAFkBAAB3BQAAAAA=&#10;">
                <v:fill on="f" focussize="0,0"/>
                <v:stroke color="#000000" joinstyle="round"/>
                <v:imagedata o:title=""/>
                <o:lock v:ext="edit" aspectratio="f"/>
              </v:line>
            </w:pict>
          </mc:Fallback>
        </mc:AlternateContent>
      </w:r>
      <w:r>
        <w:fldChar w:fldCharType="begin">
          <w:ffData>
            <w:name w:val="fm"/>
            <w:enabled/>
            <w:calcOnExit w:val="0"/>
            <w:textInput/>
          </w:ffData>
        </w:fldChar>
      </w:r>
      <w:r>
        <w:instrText xml:space="preserve"> FORMTEXT </w:instrText>
      </w:r>
      <w:r>
        <w:fldChar w:fldCharType="separate"/>
      </w:r>
      <w:r>
        <w:rPr>
          <w:rFonts w:hint="eastAsia"/>
        </w:rPr>
        <w:t>中华人民共和国工业和信息化部</w:t>
      </w:r>
      <w:r>
        <w:fldChar w:fldCharType="end"/>
      </w:r>
      <w:bookmarkEnd w:id="11"/>
      <w:r>
        <w:rPr>
          <w:rStyle w:val="44"/>
          <w:rFonts w:hint="eastAsia"/>
        </w:rPr>
        <w:t>发布</w:t>
      </w:r>
    </w:p>
    <w:p w14:paraId="053E8774">
      <w:pPr>
        <w:autoSpaceDE/>
        <w:autoSpaceDN/>
        <w:sectPr>
          <w:headerReference r:id="rId7" w:type="first"/>
          <w:footerReference r:id="rId10" w:type="first"/>
          <w:headerReference r:id="rId5" w:type="default"/>
          <w:footerReference r:id="rId8" w:type="default"/>
          <w:headerReference r:id="rId6" w:type="even"/>
          <w:footerReference r:id="rId9" w:type="even"/>
          <w:pgSz w:w="11906" w:h="16838"/>
          <w:pgMar w:top="567" w:right="850" w:bottom="1134" w:left="1418" w:header="0" w:footer="0" w:gutter="0"/>
          <w:pgNumType w:fmt="upperRoman" w:start="1"/>
          <w:cols w:space="720" w:num="1"/>
          <w:docGrid w:type="lines" w:linePitch="312" w:charSpace="0"/>
        </w:sectPr>
      </w:pPr>
      <w:r>
        <mc:AlternateContent>
          <mc:Choice Requires="wps">
            <w:drawing>
              <wp:anchor distT="0" distB="0" distL="114300" distR="114300" simplePos="0" relativeHeight="251664384" behindDoc="0" locked="1" layoutInCell="1" allowOverlap="1">
                <wp:simplePos x="0" y="0"/>
                <wp:positionH relativeFrom="column">
                  <wp:posOffset>161290</wp:posOffset>
                </wp:positionH>
                <wp:positionV relativeFrom="page">
                  <wp:posOffset>9430385</wp:posOffset>
                </wp:positionV>
                <wp:extent cx="6120130" cy="0"/>
                <wp:effectExtent l="0" t="0" r="33020" b="19050"/>
                <wp:wrapNone/>
                <wp:docPr id="28"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2.7pt;margin-top:742.55pt;height:0pt;width:481.9pt;mso-position-vertical-relative:page;z-index:251664384;mso-width-relative:page;mso-height-relative:page;" filled="f" stroked="t" coordsize="21600,21600" o:gfxdata="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g&#10;vemk1wAAAAwBAAAPAAAAAAAAAAEAIAAAACIAAABkcnMvZG93bnJldi54bWxQSwECFAAUAAAACACH&#10;TuJAEoJRcuwBAADaAwAADgAAAAAAAAABACAAAAAmAQAAZHJzL2Uyb0RvYy54bWxQSwUGAAAAAAYA&#10;BgBZAQAAhAUAAAAA&#10;">
                <v:fill on="f" focussize="0,0"/>
                <v:stroke color="#000000" joinstyle="round"/>
                <v:imagedata o:title=""/>
                <o:lock v:ext="edit" aspectratio="f"/>
                <w10:anchorlock/>
              </v:line>
            </w:pict>
          </mc:Fallback>
        </mc:AlternateContent>
      </w:r>
    </w:p>
    <w:p w14:paraId="157A72D9">
      <w:pPr>
        <w:pStyle w:val="45"/>
        <w:tabs>
          <w:tab w:val="center" w:pos="4677"/>
          <w:tab w:val="left" w:pos="7092"/>
        </w:tabs>
        <w:jc w:val="left"/>
      </w:pPr>
      <w:r>
        <w:tab/>
      </w:r>
      <w:bookmarkStart w:id="12" w:name="_Toc65048651"/>
      <w:bookmarkStart w:id="13" w:name="_Toc103159534"/>
      <w:bookmarkStart w:id="14" w:name="_Toc65048765"/>
      <w:r>
        <w:rPr>
          <w:rFonts w:hint="eastAsia"/>
        </w:rPr>
        <w:t>前</w:t>
      </w:r>
      <w:bookmarkStart w:id="15" w:name="BKQY"/>
      <w:r>
        <w:rPr>
          <w:rFonts w:hAnsi="黑体"/>
        </w:rPr>
        <w:t>  </w:t>
      </w:r>
      <w:r>
        <w:rPr>
          <w:rFonts w:hint="eastAsia"/>
        </w:rPr>
        <w:t>言</w:t>
      </w:r>
      <w:bookmarkEnd w:id="12"/>
      <w:bookmarkEnd w:id="13"/>
      <w:bookmarkEnd w:id="14"/>
      <w:bookmarkEnd w:id="15"/>
      <w:r>
        <w:tab/>
      </w:r>
    </w:p>
    <w:p w14:paraId="7C467F22">
      <w:pPr>
        <w:keepNext w:val="0"/>
        <w:keepLines w:val="0"/>
        <w:pageBreakBefore w:val="0"/>
        <w:widowControl/>
        <w:kinsoku/>
        <w:wordWrap/>
        <w:overflowPunct/>
        <w:topLinePunct w:val="0"/>
        <w:autoSpaceDE w:val="0"/>
        <w:autoSpaceDN w:val="0"/>
        <w:bidi w:val="0"/>
        <w:adjustRightInd/>
        <w:snapToGrid/>
        <w:spacing w:line="240" w:lineRule="auto"/>
        <w:ind w:firstLine="420" w:firstLineChars="200"/>
        <w:textAlignment w:val="auto"/>
        <w:rPr>
          <w:rFonts w:hint="default" w:ascii="Times New Roman" w:hAnsi="Times New Roman" w:eastAsia="宋体" w:cs="Times New Roman"/>
        </w:rPr>
      </w:pPr>
      <w:r>
        <w:rPr>
          <w:rFonts w:hint="default" w:ascii="Times New Roman" w:hAnsi="Times New Roman" w:eastAsia="宋体" w:cs="Times New Roman"/>
        </w:rPr>
        <w:t>本文件按照GB/T 1.1-2020《标准化工作导则 第1部分：标准化文件的结构和起草规则》的规定起草。</w:t>
      </w:r>
    </w:p>
    <w:p w14:paraId="4D2783F2">
      <w:pPr>
        <w:keepNext w:val="0"/>
        <w:keepLines w:val="0"/>
        <w:pageBreakBefore w:val="0"/>
        <w:widowControl/>
        <w:kinsoku/>
        <w:wordWrap/>
        <w:overflowPunct/>
        <w:topLinePunct w:val="0"/>
        <w:autoSpaceDE w:val="0"/>
        <w:autoSpaceDN w:val="0"/>
        <w:bidi w:val="0"/>
        <w:adjustRightInd/>
        <w:snapToGrid/>
        <w:spacing w:line="240" w:lineRule="auto"/>
        <w:ind w:firstLine="420" w:firstLineChars="200"/>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eastAsia="zh-CN"/>
        </w:rPr>
        <w:t>本文件</w:t>
      </w:r>
      <w:r>
        <w:rPr>
          <w:rFonts w:hint="default" w:ascii="Times New Roman" w:hAnsi="Times New Roman" w:eastAsia="宋体" w:cs="Times New Roman"/>
          <w:lang w:eastAsia="zh-CN"/>
        </w:rPr>
        <w:t>代</w:t>
      </w:r>
      <w:r>
        <w:rPr>
          <w:rFonts w:hint="default" w:ascii="Times New Roman" w:hAnsi="Times New Roman" w:eastAsia="宋体" w:cs="Times New Roman"/>
          <w:lang w:eastAsia="zh-CN"/>
        </w:rPr>
        <w:t>替</w:t>
      </w:r>
      <w:r>
        <w:rPr>
          <w:rFonts w:hint="default" w:ascii="Times New Roman" w:hAnsi="Times New Roman" w:eastAsia="宋体" w:cs="Times New Roman"/>
          <w:lang w:val="en-US" w:eastAsia="zh-CN"/>
        </w:rPr>
        <w:t>SB/T 10432-2007《</w:t>
      </w:r>
      <w:r>
        <w:rPr>
          <w:rFonts w:hint="default" w:ascii="Times New Roman" w:hAnsi="Times New Roman" w:eastAsia="宋体" w:cs="Times New Roman"/>
        </w:rPr>
        <w:t>木材防腐剂 铜氨(胺)季铵盐(ACQ)</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与</w:t>
      </w:r>
      <w:r>
        <w:rPr>
          <w:rFonts w:hint="default" w:ascii="Times New Roman" w:hAnsi="Times New Roman" w:eastAsia="宋体" w:cs="Times New Roman"/>
          <w:lang w:val="en-US" w:eastAsia="zh-CN"/>
        </w:rPr>
        <w:t>SB/T 10432-2007</w:t>
      </w:r>
      <w:r>
        <w:rPr>
          <w:rFonts w:hint="eastAsia" w:ascii="Times New Roman" w:hAnsi="Times New Roman" w:eastAsia="宋体" w:cs="Times New Roman"/>
          <w:lang w:val="en-US" w:eastAsia="zh-CN"/>
        </w:rPr>
        <w:t>相比，</w:t>
      </w:r>
      <w:r>
        <w:rPr>
          <w:rFonts w:hint="default" w:ascii="Times New Roman" w:hAnsi="Times New Roman"/>
          <w:lang w:val="en-US" w:eastAsia="zh-CN"/>
        </w:rPr>
        <w:t>除结构调整和编辑性改动外</w:t>
      </w:r>
      <w:r>
        <w:rPr>
          <w:rFonts w:hint="eastAsia" w:ascii="Times New Roman" w:hAnsi="Times New Roman"/>
          <w:lang w:val="en-US" w:eastAsia="zh-CN"/>
        </w:rPr>
        <w:t>，</w:t>
      </w:r>
      <w:r>
        <w:rPr>
          <w:rFonts w:hint="default" w:ascii="Times New Roman" w:hAnsi="Times New Roman" w:eastAsia="宋体" w:cs="Times New Roman"/>
          <w:lang w:val="en-US" w:eastAsia="zh-CN"/>
        </w:rPr>
        <w:t>主要技术变化如下：</w:t>
      </w:r>
    </w:p>
    <w:p w14:paraId="5E7E0BC7">
      <w:pPr>
        <w:keepNext w:val="0"/>
        <w:keepLines w:val="0"/>
        <w:pageBreakBefore w:val="0"/>
        <w:widowControl/>
        <w:kinsoku/>
        <w:wordWrap/>
        <w:overflowPunct/>
        <w:topLinePunct w:val="0"/>
        <w:autoSpaceDE w:val="0"/>
        <w:autoSpaceDN w:val="0"/>
        <w:bidi w:val="0"/>
        <w:adjustRightInd/>
        <w:snapToGrid/>
        <w:spacing w:line="240" w:lineRule="auto"/>
        <w:ind w:firstLine="420" w:firstLineChars="200"/>
        <w:textAlignment w:val="auto"/>
        <w:rPr>
          <w:rFonts w:hint="default" w:ascii="Times New Roman" w:hAnsi="Times New Roman" w:eastAsia="宋体" w:cs="Times New Roman"/>
          <w:color w:val="auto"/>
          <w:lang w:val="en-US" w:eastAsia="zh-CN"/>
        </w:rPr>
      </w:pPr>
      <w:r>
        <w:rPr>
          <w:rFonts w:hint="default" w:ascii="Times New Roman" w:hAnsi="Times New Roman"/>
          <w:color w:val="auto"/>
        </w:rPr>
        <w:t>a）</w:t>
      </w:r>
      <w:r>
        <w:rPr>
          <w:rFonts w:hint="default" w:ascii="Times New Roman" w:hAnsi="Times New Roman" w:eastAsia="宋体" w:cs="Times New Roman"/>
          <w:color w:val="auto"/>
          <w:lang w:val="en-US" w:eastAsia="zh-CN"/>
        </w:rPr>
        <w:t>增加了3项试验方法：</w:t>
      </w:r>
    </w:p>
    <w:p w14:paraId="0BCE9C34">
      <w:pPr>
        <w:keepNext w:val="0"/>
        <w:keepLines w:val="0"/>
        <w:pageBreakBefore w:val="0"/>
        <w:widowControl/>
        <w:kinsoku/>
        <w:wordWrap/>
        <w:overflowPunct/>
        <w:topLinePunct w:val="0"/>
        <w:autoSpaceDE w:val="0"/>
        <w:autoSpaceDN w:val="0"/>
        <w:bidi w:val="0"/>
        <w:adjustRightInd/>
        <w:snapToGrid/>
        <w:spacing w:line="240" w:lineRule="auto"/>
        <w:ind w:firstLine="1155" w:firstLineChars="550"/>
        <w:textAlignment w:val="auto"/>
        <w:rPr>
          <w:rFonts w:hint="default" w:ascii="Times New Roman" w:hAnsi="Times New Roman" w:eastAsia="宋体" w:cs="Times New Roman"/>
          <w:color w:val="auto"/>
          <w:lang w:val="en-US" w:eastAsia="zh-CN"/>
        </w:rPr>
      </w:pPr>
      <w:r>
        <w:rPr>
          <w:rFonts w:hint="eastAsia" w:cs="Times New Roman"/>
          <w:lang w:val="en-US" w:eastAsia="zh-CN"/>
        </w:rPr>
        <w:t>——</w:t>
      </w:r>
      <w:r>
        <w:rPr>
          <w:rFonts w:hint="eastAsia" w:ascii="Times New Roman" w:hAnsi="Times New Roman"/>
          <w:color w:val="000000" w:themeColor="text1"/>
          <w14:textFill>
            <w14:solidFill>
              <w14:schemeClr w14:val="tx1"/>
            </w14:solidFill>
          </w14:textFill>
        </w:rPr>
        <w:t>电感耦合等离子体发射光谱</w:t>
      </w:r>
      <w:r>
        <w:rPr>
          <w:rFonts w:hint="eastAsia" w:ascii="Times New Roman" w:hAnsi="Times New Roman"/>
          <w:color w:val="000000" w:themeColor="text1"/>
          <w:lang w:val="en-US" w:eastAsia="zh-CN"/>
          <w14:textFill>
            <w14:solidFill>
              <w14:schemeClr w14:val="tx1"/>
            </w14:solidFill>
          </w14:textFill>
        </w:rPr>
        <w:t>法（</w:t>
      </w:r>
      <w:r>
        <w:rPr>
          <w:rFonts w:hint="default" w:ascii="Times New Roman" w:hAnsi="Times New Roman" w:cs="Times New Roman"/>
          <w:color w:val="auto"/>
          <w:lang w:val="en-US" w:eastAsia="zh-CN"/>
        </w:rPr>
        <w:t>ICP-oes</w:t>
      </w:r>
      <w:r>
        <w:rPr>
          <w:rFonts w:hint="eastAsia" w:ascii="Times New Roman" w:hAnsi="Times New Roman" w:cs="Times New Roman"/>
          <w:color w:val="auto"/>
          <w:lang w:val="en-US" w:eastAsia="zh-CN"/>
        </w:rPr>
        <w:t>）</w:t>
      </w:r>
      <w:r>
        <w:rPr>
          <w:rFonts w:hint="default" w:ascii="Times New Roman" w:hAnsi="Times New Roman" w:eastAsia="宋体" w:cs="Times New Roman"/>
          <w:color w:val="auto"/>
          <w:lang w:val="en-US" w:eastAsia="zh-CN"/>
        </w:rPr>
        <w:t>测</w:t>
      </w:r>
      <w:r>
        <w:rPr>
          <w:rFonts w:hint="eastAsia" w:ascii="Times New Roman" w:hAnsi="Times New Roman" w:eastAsia="宋体" w:cs="Times New Roman"/>
          <w:color w:val="auto"/>
          <w:lang w:val="en-US" w:eastAsia="zh-CN"/>
        </w:rPr>
        <w:t>ACQ型防腐剂中</w:t>
      </w:r>
      <w:r>
        <w:rPr>
          <w:rFonts w:hint="default" w:ascii="Times New Roman" w:hAnsi="Times New Roman" w:eastAsia="宋体" w:cs="Times New Roman"/>
          <w:color w:val="auto"/>
          <w:lang w:val="en-US" w:eastAsia="zh-CN"/>
        </w:rPr>
        <w:t>铜</w:t>
      </w:r>
      <w:r>
        <w:rPr>
          <w:rFonts w:hint="eastAsia" w:ascii="Times New Roman" w:hAnsi="Times New Roman" w:eastAsia="宋体" w:cs="Times New Roman"/>
          <w:color w:val="auto"/>
          <w:lang w:val="en-US" w:eastAsia="zh-CN"/>
        </w:rPr>
        <w:t>（见5.2.2.3）</w:t>
      </w:r>
    </w:p>
    <w:p w14:paraId="55ABEAD2">
      <w:pPr>
        <w:keepNext w:val="0"/>
        <w:keepLines w:val="0"/>
        <w:pageBreakBefore w:val="0"/>
        <w:widowControl/>
        <w:kinsoku/>
        <w:wordWrap/>
        <w:overflowPunct/>
        <w:topLinePunct w:val="0"/>
        <w:autoSpaceDE w:val="0"/>
        <w:autoSpaceDN w:val="0"/>
        <w:bidi w:val="0"/>
        <w:adjustRightInd/>
        <w:snapToGrid/>
        <w:spacing w:line="240" w:lineRule="auto"/>
        <w:ind w:firstLine="1155" w:firstLineChars="550"/>
        <w:textAlignment w:val="auto"/>
        <w:rPr>
          <w:rFonts w:hint="default" w:ascii="Times New Roman" w:hAnsi="Times New Roman" w:eastAsia="宋体" w:cs="Times New Roman"/>
          <w:color w:val="auto"/>
          <w:lang w:val="en-US" w:eastAsia="zh-CN"/>
        </w:rPr>
      </w:pPr>
      <w:r>
        <w:rPr>
          <w:rFonts w:hint="eastAsia" w:cs="Times New Roman"/>
          <w:lang w:val="en-US" w:eastAsia="zh-CN"/>
        </w:rPr>
        <w:t>——</w:t>
      </w:r>
      <w:r>
        <w:rPr>
          <w:rFonts w:hint="eastAsia" w:ascii="Times New Roman" w:hAnsi="Times New Roman"/>
          <w:color w:val="000000" w:themeColor="text1"/>
          <w14:textFill>
            <w14:solidFill>
              <w14:schemeClr w14:val="tx1"/>
            </w14:solidFill>
          </w14:textFill>
        </w:rPr>
        <w:t>电感耦合等离子体质谱法</w:t>
      </w:r>
      <w:r>
        <w:rPr>
          <w:rFonts w:hint="eastAsia" w:ascii="Times New Roman" w:hAnsi="Times New Roman"/>
          <w:color w:val="000000" w:themeColor="text1"/>
          <w:lang w:eastAsia="zh-CN"/>
          <w14:textFill>
            <w14:solidFill>
              <w14:schemeClr w14:val="tx1"/>
            </w14:solidFill>
          </w14:textFill>
        </w:rPr>
        <w:t>（</w:t>
      </w:r>
      <w:r>
        <w:rPr>
          <w:rFonts w:hint="default" w:ascii="Times New Roman" w:hAnsi="Times New Roman" w:cs="Times New Roman"/>
          <w:color w:val="auto"/>
          <w:lang w:val="en-US" w:eastAsia="zh-CN"/>
        </w:rPr>
        <w:t>ICP-MS</w:t>
      </w:r>
      <w:r>
        <w:rPr>
          <w:rFonts w:hint="eastAsia" w:ascii="Times New Roman" w:hAnsi="Times New Roman" w:cs="Times New Roman"/>
          <w:color w:val="auto"/>
          <w:lang w:val="en-US" w:eastAsia="zh-CN"/>
        </w:rPr>
        <w:t>）</w:t>
      </w:r>
      <w:r>
        <w:rPr>
          <w:rFonts w:hint="default" w:ascii="Times New Roman" w:hAnsi="Times New Roman" w:eastAsia="宋体" w:cs="Times New Roman"/>
          <w:color w:val="auto"/>
          <w:lang w:val="en-US" w:eastAsia="zh-CN"/>
        </w:rPr>
        <w:t>测</w:t>
      </w:r>
      <w:r>
        <w:rPr>
          <w:rFonts w:hint="eastAsia" w:ascii="Times New Roman" w:hAnsi="Times New Roman" w:eastAsia="宋体" w:cs="Times New Roman"/>
          <w:color w:val="auto"/>
          <w:lang w:val="en-US" w:eastAsia="zh-CN"/>
        </w:rPr>
        <w:t>ACQ型防腐剂中</w:t>
      </w:r>
      <w:r>
        <w:rPr>
          <w:rFonts w:hint="default" w:ascii="Times New Roman" w:hAnsi="Times New Roman" w:eastAsia="宋体" w:cs="Times New Roman"/>
          <w:color w:val="auto"/>
          <w:lang w:val="en-US" w:eastAsia="zh-CN"/>
        </w:rPr>
        <w:t>铜</w:t>
      </w:r>
      <w:r>
        <w:rPr>
          <w:rFonts w:hint="eastAsia" w:ascii="Times New Roman" w:hAnsi="Times New Roman" w:eastAsia="宋体" w:cs="Times New Roman"/>
          <w:color w:val="auto"/>
          <w:lang w:val="en-US" w:eastAsia="zh-CN"/>
        </w:rPr>
        <w:t>（见5.2.2.4）</w:t>
      </w:r>
    </w:p>
    <w:p w14:paraId="5E49B0C5">
      <w:pPr>
        <w:keepNext w:val="0"/>
        <w:keepLines w:val="0"/>
        <w:pageBreakBefore w:val="0"/>
        <w:widowControl/>
        <w:kinsoku/>
        <w:wordWrap/>
        <w:overflowPunct/>
        <w:topLinePunct w:val="0"/>
        <w:autoSpaceDE w:val="0"/>
        <w:autoSpaceDN w:val="0"/>
        <w:bidi w:val="0"/>
        <w:adjustRightInd/>
        <w:snapToGrid/>
        <w:spacing w:line="240" w:lineRule="auto"/>
        <w:ind w:firstLine="1155" w:firstLineChars="550"/>
        <w:textAlignment w:val="auto"/>
        <w:rPr>
          <w:rFonts w:hint="default" w:ascii="Times New Roman" w:hAnsi="Times New Roman" w:eastAsia="宋体" w:cs="Times New Roman"/>
          <w:color w:val="auto"/>
        </w:rPr>
      </w:pPr>
      <w:r>
        <w:rPr>
          <w:rFonts w:hint="eastAsia" w:cs="Times New Roman"/>
          <w:lang w:val="en-US" w:eastAsia="zh-CN"/>
        </w:rPr>
        <w:t>——</w:t>
      </w:r>
      <w:r>
        <w:rPr>
          <w:rFonts w:hint="default" w:ascii="Times New Roman" w:hAnsi="Times New Roman" w:eastAsia="宋体" w:cs="Times New Roman"/>
          <w:color w:val="auto"/>
          <w:lang w:val="en-US" w:eastAsia="zh-CN"/>
        </w:rPr>
        <w:t>自动电位滴定仪标定法测ACQ型防腐剂中季铵盐</w:t>
      </w:r>
      <w:r>
        <w:rPr>
          <w:rFonts w:hint="eastAsia" w:ascii="Times New Roman" w:hAnsi="Times New Roman" w:eastAsia="宋体" w:cs="Times New Roman"/>
          <w:color w:val="auto"/>
          <w:lang w:val="en-US" w:eastAsia="zh-CN"/>
        </w:rPr>
        <w:t>（见5.2.3.2）</w:t>
      </w:r>
    </w:p>
    <w:p w14:paraId="52B9B6EA">
      <w:pPr>
        <w:autoSpaceDE/>
        <w:autoSpaceDN/>
        <w:rPr>
          <w:rFonts w:hint="default" w:ascii="Times New Roman" w:hAnsi="Times New Roman"/>
        </w:rPr>
      </w:pPr>
      <w:r>
        <w:rPr>
          <w:rFonts w:hint="default" w:ascii="Times New Roman" w:hAnsi="Times New Roman"/>
        </w:rPr>
        <w:t>请注意本文件的某些内容可能涉及专利。本文件的发布机构不承担识别专利的责任。</w:t>
      </w:r>
    </w:p>
    <w:p w14:paraId="69101622">
      <w:pPr>
        <w:pStyle w:val="83"/>
        <w:spacing w:line="360" w:lineRule="exact"/>
        <w:ind w:firstLine="428" w:firstLineChars="200"/>
        <w:rPr>
          <w:color w:val="000000" w:themeColor="text1"/>
          <w:spacing w:val="2"/>
          <w:szCs w:val="21"/>
          <w:highlight w:val="none"/>
          <w14:textFill>
            <w14:solidFill>
              <w14:schemeClr w14:val="tx1"/>
            </w14:solidFill>
          </w14:textFill>
        </w:rPr>
      </w:pPr>
      <w:r>
        <w:rPr>
          <w:color w:val="000000" w:themeColor="text1"/>
          <w:spacing w:val="2"/>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文件</w:t>
      </w:r>
      <w:r>
        <w:rPr>
          <w:color w:val="000000" w:themeColor="text1"/>
          <w:spacing w:val="2"/>
          <w:szCs w:val="21"/>
          <w:highlight w:val="none"/>
          <w14:textFill>
            <w14:solidFill>
              <w14:schemeClr w14:val="tx1"/>
            </w14:solidFill>
          </w14:textFill>
        </w:rPr>
        <w:t>由中国建筑材料联合会提出。</w:t>
      </w:r>
    </w:p>
    <w:p w14:paraId="2D811F98">
      <w:pPr>
        <w:pStyle w:val="8"/>
        <w:spacing w:line="360" w:lineRule="exact"/>
        <w:ind w:firstLine="420" w:firstLineChars="200"/>
        <w:rPr>
          <w:rFonts w:hint="default"/>
        </w:rPr>
      </w:pPr>
      <w:r>
        <w:rPr>
          <w:rFonts w:hAnsi="宋体"/>
          <w:color w:val="000000" w:themeColor="text1"/>
          <w:szCs w:val="21"/>
          <w:highlight w:val="none"/>
          <w14:textFill>
            <w14:solidFill>
              <w14:schemeClr w14:val="tx1"/>
            </w14:solidFill>
          </w14:textFill>
        </w:rPr>
        <w:t>本</w:t>
      </w:r>
      <w:r>
        <w:rPr>
          <w:rFonts w:hint="eastAsia" w:hAnsi="宋体"/>
          <w:color w:val="000000" w:themeColor="text1"/>
          <w:szCs w:val="21"/>
          <w:highlight w:val="none"/>
          <w14:textFill>
            <w14:solidFill>
              <w14:schemeClr w14:val="tx1"/>
            </w14:solidFill>
          </w14:textFill>
        </w:rPr>
        <w:t>文件</w:t>
      </w:r>
      <w:r>
        <w:rPr>
          <w:rFonts w:hAnsi="宋体"/>
          <w:color w:val="000000" w:themeColor="text1"/>
          <w:szCs w:val="21"/>
          <w:highlight w:val="none"/>
          <w14:textFill>
            <w14:solidFill>
              <w14:schemeClr w14:val="tx1"/>
            </w14:solidFill>
          </w14:textFill>
        </w:rPr>
        <w:t>由</w:t>
      </w:r>
      <w:r>
        <w:rPr>
          <w:rFonts w:hint="eastAsia" w:hAnsi="宋体"/>
          <w:color w:val="000000" w:themeColor="text1"/>
          <w:szCs w:val="21"/>
          <w:highlight w:val="none"/>
          <w14:textFill>
            <w14:solidFill>
              <w14:schemeClr w14:val="tx1"/>
            </w14:solidFill>
          </w14:textFill>
        </w:rPr>
        <w:t>建材</w:t>
      </w:r>
      <w:r>
        <w:rPr>
          <w:rFonts w:hAnsi="宋体"/>
          <w:color w:val="000000" w:themeColor="text1"/>
          <w:szCs w:val="21"/>
          <w:highlight w:val="none"/>
          <w14:textFill>
            <w14:solidFill>
              <w14:schemeClr w14:val="tx1"/>
            </w14:solidFill>
          </w14:textFill>
        </w:rPr>
        <w:t>工业综合标准化技术委员会归口。</w:t>
      </w:r>
    </w:p>
    <w:p w14:paraId="372A5BC3">
      <w:pPr>
        <w:autoSpaceDE/>
        <w:autoSpaceDN/>
        <w:rPr>
          <w:rFonts w:hint="default" w:ascii="Times New Roman" w:hAnsi="Times New Roman" w:eastAsia="宋体" w:cs="Times New Roman"/>
          <w:color w:val="auto"/>
          <w:sz w:val="21"/>
          <w:lang w:val="en-US" w:eastAsia="zh-CN" w:bidi="ar-SA"/>
        </w:rPr>
      </w:pPr>
      <w:r>
        <w:rPr>
          <w:rFonts w:hint="default" w:ascii="Times New Roman" w:hAnsi="Times New Roman"/>
        </w:rPr>
        <w:t>本文件起草单位：木材节约发展中心</w:t>
      </w:r>
      <w:r>
        <w:rPr>
          <w:rFonts w:hint="default" w:ascii="Times New Roman" w:hAnsi="Times New Roman" w:eastAsia="宋体" w:cs="Times New Roman"/>
          <w:color w:val="auto"/>
          <w:sz w:val="21"/>
          <w:lang w:val="en-US" w:eastAsia="zh-CN" w:bidi="ar-SA"/>
        </w:rPr>
        <w:t>。</w:t>
      </w:r>
    </w:p>
    <w:p w14:paraId="6F0F1D55">
      <w:pPr>
        <w:autoSpaceDE/>
        <w:autoSpaceDN/>
        <w:rPr>
          <w:rFonts w:hint="default" w:ascii="Times New Roman" w:hAnsi="Times New Roman"/>
        </w:rPr>
      </w:pPr>
      <w:r>
        <w:rPr>
          <w:rFonts w:hint="default" w:ascii="Times New Roman" w:hAnsi="Times New Roman"/>
        </w:rPr>
        <w:t>本文件主要起草人：×××等。</w:t>
      </w:r>
    </w:p>
    <w:p w14:paraId="541AF1E0">
      <w:pPr>
        <w:autoSpaceDE/>
        <w:autoSpaceDN/>
        <w:rPr>
          <w:rFonts w:ascii="Times New Roman" w:hAnsi="Times New Roman"/>
        </w:rPr>
      </w:pPr>
      <w:r>
        <w:rPr>
          <w:rFonts w:hint="default" w:ascii="Times New Roman" w:hAnsi="Times New Roman"/>
        </w:rPr>
        <w:t>本文件</w:t>
      </w:r>
      <w:r>
        <w:rPr>
          <w:rFonts w:hint="eastAsia" w:ascii="Times New Roman" w:hAnsi="Times New Roman"/>
          <w:lang w:val="en-US" w:eastAsia="zh-CN"/>
        </w:rPr>
        <w:t>于</w:t>
      </w:r>
      <w:r>
        <w:rPr>
          <w:rFonts w:hint="default" w:ascii="Times New Roman" w:hAnsi="Times New Roman"/>
          <w:lang w:val="en-US" w:eastAsia="zh-CN"/>
        </w:rPr>
        <w:t>2007年首次发布</w:t>
      </w:r>
      <w:r>
        <w:rPr>
          <w:rFonts w:hint="eastAsia" w:ascii="Times New Roman" w:hAnsi="Times New Roman"/>
          <w:lang w:val="en-US" w:eastAsia="zh-CN"/>
        </w:rPr>
        <w:t>，</w:t>
      </w:r>
      <w:r>
        <w:rPr>
          <w:rFonts w:hint="default" w:ascii="Times New Roman" w:hAnsi="Times New Roman"/>
          <w:lang w:val="en-US" w:eastAsia="zh-CN"/>
        </w:rPr>
        <w:t>本次为第一次修订。</w:t>
      </w:r>
    </w:p>
    <w:p w14:paraId="1214B83A">
      <w:pPr>
        <w:pStyle w:val="78"/>
        <w:spacing w:line="240" w:lineRule="auto"/>
        <w:rPr>
          <w:color w:val="auto"/>
        </w:rPr>
        <w:sectPr>
          <w:headerReference r:id="rId11" w:type="default"/>
          <w:footerReference r:id="rId12" w:type="default"/>
          <w:pgSz w:w="11906" w:h="16838"/>
          <w:pgMar w:top="567" w:right="1134" w:bottom="1134" w:left="1418" w:header="1418" w:footer="1134" w:gutter="0"/>
          <w:pgNumType w:fmt="upperRoman" w:start="1"/>
          <w:cols w:space="425" w:num="1"/>
          <w:formProt w:val="0"/>
          <w:docGrid w:type="lines" w:linePitch="312" w:charSpace="0"/>
        </w:sectPr>
      </w:pPr>
      <w:bookmarkStart w:id="25" w:name="_GoBack"/>
      <w:bookmarkEnd w:id="25"/>
    </w:p>
    <w:p w14:paraId="2B573EDD">
      <w:pPr>
        <w:pStyle w:val="46"/>
        <w:rPr>
          <w:rFonts w:ascii="黑体" w:hAnsi="黑体" w:eastAsia="黑体"/>
          <w:b w:val="0"/>
          <w:kern w:val="2"/>
        </w:rPr>
      </w:pPr>
      <w:r>
        <w:rPr>
          <w:rFonts w:hint="eastAsia"/>
        </w:rPr>
        <w:t>木材防腐剂—铜氨（胺）季铵盐（</w:t>
      </w:r>
      <w:r>
        <w:rPr>
          <w:rFonts w:ascii="Times New Roman"/>
        </w:rPr>
        <w:t>ACQ</w:t>
      </w:r>
      <w:r>
        <w:rPr>
          <w:rFonts w:hint="eastAsia"/>
        </w:rPr>
        <w:t>）</w:t>
      </w:r>
    </w:p>
    <w:p w14:paraId="129F1AB0">
      <w:pPr>
        <w:pStyle w:val="47"/>
        <w:numPr>
          <w:ilvl w:val="0"/>
          <w:numId w:val="0"/>
        </w:numPr>
        <w:tabs>
          <w:tab w:val="clear" w:pos="0"/>
        </w:tabs>
        <w:spacing w:before="312" w:after="312"/>
        <w:ind w:left="0" w:leftChars="0" w:firstLine="0" w:firstLineChars="0"/>
      </w:pPr>
      <w:bookmarkStart w:id="16" w:name="_Toc78802403"/>
      <w:r>
        <w:rPr>
          <w:rFonts w:hint="eastAsia" w:ascii="黑体" w:hAnsi="Times New Roman" w:eastAsia="黑体" w:cs="Times New Roman"/>
          <w:b w:val="0"/>
          <w:i w:val="0"/>
          <w:sz w:val="21"/>
          <w:szCs w:val="21"/>
          <w:lang w:val="en-US" w:eastAsia="zh-CN" w:bidi="ar-SA"/>
        </w:rPr>
        <w:t>1　</w:t>
      </w:r>
      <w:r>
        <w:rPr>
          <w:rFonts w:hint="eastAsia"/>
        </w:rPr>
        <w:t>范围</w:t>
      </w:r>
      <w:bookmarkEnd w:id="16"/>
    </w:p>
    <w:p w14:paraId="6B18F832">
      <w:pPr>
        <w:ind w:firstLine="409" w:firstLineChars="195"/>
        <w:rPr>
          <w:rFonts w:ascii="Times New Roman"/>
          <w:color w:val="0000FF"/>
        </w:rPr>
      </w:pPr>
      <w:bookmarkStart w:id="17" w:name="_Toc78802404"/>
      <w:bookmarkStart w:id="18" w:name="_Toc103159536"/>
      <w:r>
        <w:rPr>
          <w:rFonts w:ascii="Times New Roman"/>
        </w:rPr>
        <w:t>本标准规定了铜氨（胺）季铵盐（ACQ）木材防腐剂的</w:t>
      </w:r>
      <w:r>
        <w:rPr>
          <w:rFonts w:ascii="Times New Roman"/>
          <w:color w:val="auto"/>
        </w:rPr>
        <w:t>要求、试验</w:t>
      </w:r>
      <w:r>
        <w:rPr>
          <w:rFonts w:hint="eastAsia" w:ascii="Times New Roman"/>
          <w:color w:val="auto"/>
          <w:lang w:val="en-US" w:eastAsia="zh-CN"/>
        </w:rPr>
        <w:t>方法</w:t>
      </w:r>
      <w:r>
        <w:rPr>
          <w:rFonts w:ascii="Times New Roman"/>
          <w:color w:val="auto"/>
        </w:rPr>
        <w:t>、标</w:t>
      </w:r>
      <w:r>
        <w:rPr>
          <w:rFonts w:hint="eastAsia" w:ascii="Times New Roman"/>
          <w:color w:val="auto"/>
          <w:lang w:val="en-US" w:eastAsia="zh-CN"/>
        </w:rPr>
        <w:t>识</w:t>
      </w:r>
      <w:r>
        <w:rPr>
          <w:rFonts w:ascii="Times New Roman"/>
          <w:color w:val="auto"/>
        </w:rPr>
        <w:t>、包装、运输和贮存等。</w:t>
      </w:r>
    </w:p>
    <w:p w14:paraId="7D0A8259">
      <w:pPr>
        <w:ind w:firstLine="409" w:firstLineChars="195"/>
        <w:rPr>
          <w:rFonts w:ascii="Times New Roman"/>
        </w:rPr>
      </w:pPr>
      <w:r>
        <w:rPr>
          <w:rFonts w:ascii="Times New Roman"/>
        </w:rPr>
        <w:t>本标准适用于以非水溶性的二价铜化合物、季铵盐为原料，在氨（胺）溶液中制得的水载型复合木材防腐剂。</w:t>
      </w:r>
    </w:p>
    <w:p w14:paraId="3B850537">
      <w:pPr>
        <w:ind w:firstLine="420"/>
        <w:rPr>
          <w:rFonts w:hint="eastAsia"/>
        </w:rPr>
      </w:pPr>
      <w:r>
        <w:rPr>
          <w:rFonts w:ascii="Times New Roman"/>
        </w:rPr>
        <w:t>ACQ木材防腐剂适用于处理建筑用材、园林景观用材、矿用木材以及其它与土壤和淡水接</w:t>
      </w:r>
      <w:r>
        <w:rPr>
          <w:rFonts w:hint="eastAsia"/>
        </w:rPr>
        <w:t>触的木材以达到防腐、防虫（蚁）危害的目的。</w:t>
      </w:r>
    </w:p>
    <w:p w14:paraId="12E2948C">
      <w:pPr>
        <w:pStyle w:val="47"/>
        <w:numPr>
          <w:ilvl w:val="0"/>
          <w:numId w:val="0"/>
        </w:numPr>
        <w:tabs>
          <w:tab w:val="clear" w:pos="0"/>
        </w:tabs>
        <w:spacing w:before="312" w:after="312"/>
        <w:ind w:left="0" w:leftChars="0" w:firstLine="0" w:firstLineChars="0"/>
      </w:pPr>
      <w:r>
        <w:rPr>
          <w:rFonts w:hint="eastAsia" w:ascii="黑体" w:hAnsi="Times New Roman" w:eastAsia="黑体" w:cs="Times New Roman"/>
          <w:b w:val="0"/>
          <w:i w:val="0"/>
          <w:sz w:val="21"/>
          <w:szCs w:val="21"/>
          <w:lang w:val="en-US" w:eastAsia="zh-CN" w:bidi="ar-SA"/>
        </w:rPr>
        <w:t>2　</w:t>
      </w:r>
      <w:r>
        <w:rPr>
          <w:rFonts w:hint="eastAsia"/>
        </w:rPr>
        <w:t>规范性引用文件</w:t>
      </w:r>
      <w:bookmarkEnd w:id="17"/>
      <w:bookmarkEnd w:id="18"/>
    </w:p>
    <w:p w14:paraId="69ED8F40">
      <w:pPr>
        <w:pStyle w:val="43"/>
        <w:numPr>
          <w:ilvl w:val="0"/>
          <w:numId w:val="0"/>
        </w:numPr>
        <w:autoSpaceDE/>
        <w:autoSpaceDN/>
        <w:ind w:firstLine="420" w:firstLineChars="200"/>
        <w:rPr>
          <w:rFonts w:hint="default" w:ascii="Times New Roman" w:hAnsi="Times New Roman" w:eastAsiaTheme="minorEastAsia"/>
          <w:lang w:val="en-US" w:eastAsia="zh-CN"/>
        </w:rPr>
      </w:pPr>
      <w:r>
        <w:rPr>
          <w:rFonts w:asciiTheme="minorEastAsia" w:hAnsiTheme="minorEastAsia" w:eastAsiaTheme="minorEastAsia"/>
        </w:rPr>
        <w:tab/>
      </w:r>
      <w:r>
        <w:rPr>
          <w:rFonts w:hint="default" w:ascii="Times New Roman" w:hAnsi="Times New Roman" w:eastAsiaTheme="minorEastAsia"/>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default" w:ascii="Times New Roman" w:hAnsi="Times New Roman" w:eastAsiaTheme="minorEastAsia"/>
        </w:rPr>
        <w:t>。</w:t>
      </w:r>
    </w:p>
    <w:p w14:paraId="031D4C7A">
      <w:pPr>
        <w:pStyle w:val="43"/>
        <w:numPr>
          <w:ilvl w:val="0"/>
          <w:numId w:val="0"/>
        </w:numPr>
        <w:autoSpaceDE/>
        <w:autoSpaceDN/>
        <w:ind w:firstLine="420" w:firstLineChars="200"/>
        <w:rPr>
          <w:rFonts w:hint="eastAsia" w:ascii="Times New Roman" w:hAnsi="Times New Roman" w:eastAsiaTheme="minorEastAsia"/>
          <w:lang w:val="en-US" w:eastAsia="zh-CN"/>
        </w:rPr>
      </w:pPr>
      <w:r>
        <w:rPr>
          <w:rFonts w:hint="eastAsia" w:ascii="Times New Roman" w:hAnsi="Times New Roman" w:eastAsiaTheme="minorEastAsia"/>
          <w:b/>
          <w:bCs/>
          <w:color w:val="0000FF"/>
          <w:lang w:val="en-US" w:eastAsia="zh-CN"/>
        </w:rPr>
        <w:t xml:space="preserve">SB/T 10404 </w:t>
      </w:r>
      <w:r>
        <w:rPr>
          <w:rFonts w:hint="eastAsia" w:ascii="Times New Roman" w:hAnsi="Times New Roman" w:eastAsiaTheme="minorEastAsia"/>
          <w:lang w:val="en-US" w:eastAsia="zh-CN"/>
        </w:rPr>
        <w:t>水载型防腐剂和阻燃剂主要成分的测定</w:t>
      </w:r>
    </w:p>
    <w:p w14:paraId="5C56B874">
      <w:pPr>
        <w:pStyle w:val="43"/>
        <w:numPr>
          <w:ilvl w:val="0"/>
          <w:numId w:val="0"/>
        </w:numPr>
        <w:autoSpaceDE/>
        <w:autoSpaceDN/>
        <w:ind w:firstLine="420" w:firstLineChars="200"/>
        <w:rPr>
          <w:rFonts w:hint="eastAsia" w:ascii="Times New Roman" w:hAnsi="Times New Roman" w:eastAsiaTheme="minorEastAsia"/>
          <w:lang w:val="en-US" w:eastAsia="zh-CN"/>
        </w:rPr>
      </w:pPr>
      <w:r>
        <w:rPr>
          <w:rFonts w:hint="eastAsia" w:ascii="Times New Roman" w:hAnsi="Times New Roman" w:eastAsiaTheme="minorEastAsia"/>
          <w:lang w:val="en-US" w:eastAsia="zh-CN"/>
        </w:rPr>
        <w:t>GB/Z 41259-2022 自动电位滴定仪测定防腐木材和木材防腐剂中季胺盐的方法</w:t>
      </w:r>
    </w:p>
    <w:p w14:paraId="300F3F01">
      <w:pPr>
        <w:pStyle w:val="47"/>
        <w:numPr>
          <w:ilvl w:val="0"/>
          <w:numId w:val="0"/>
        </w:numPr>
        <w:tabs>
          <w:tab w:val="clear" w:pos="0"/>
        </w:tabs>
        <w:spacing w:before="312" w:after="312"/>
        <w:ind w:left="0" w:leftChars="0" w:firstLine="0" w:firstLineChars="0"/>
        <w:rPr>
          <w:color w:val="auto"/>
        </w:rPr>
      </w:pPr>
      <w:r>
        <w:rPr>
          <w:rFonts w:hint="eastAsia" w:ascii="黑体" w:hAnsi="Times New Roman" w:eastAsia="黑体" w:cs="Times New Roman"/>
          <w:b w:val="0"/>
          <w:i w:val="0"/>
          <w:color w:val="auto"/>
          <w:sz w:val="21"/>
          <w:szCs w:val="21"/>
          <w:lang w:val="en-US" w:eastAsia="zh-CN" w:bidi="ar-SA"/>
        </w:rPr>
        <w:t>3　</w:t>
      </w:r>
      <w:r>
        <w:rPr>
          <w:rFonts w:hint="eastAsia"/>
          <w:color w:val="auto"/>
          <w:lang w:val="en-US" w:eastAsia="zh-CN"/>
        </w:rPr>
        <w:t>术语和定义</w:t>
      </w:r>
    </w:p>
    <w:p w14:paraId="7DF4CAD7">
      <w:pPr>
        <w:pStyle w:val="43"/>
        <w:numPr>
          <w:ilvl w:val="0"/>
          <w:numId w:val="0"/>
        </w:numPr>
        <w:autoSpaceDE/>
        <w:autoSpaceDN/>
        <w:spacing w:before="0" w:beforeLines="0" w:after="0" w:afterLines="0"/>
        <w:ind w:left="420"/>
        <w:rPr>
          <w:rFonts w:hint="eastAsia" w:cs="Times New Roman" w:asciiTheme="minorEastAsia" w:hAnsiTheme="minorEastAsia" w:eastAsiaTheme="minorEastAsia"/>
          <w:color w:val="auto"/>
        </w:rPr>
      </w:pPr>
      <w:r>
        <w:rPr>
          <w:rFonts w:hint="default" w:ascii="Times New Roman" w:hAnsi="Times New Roman" w:eastAsiaTheme="minorEastAsia"/>
          <w:color w:val="auto"/>
          <w:lang w:val="en-US" w:eastAsia="zh-CN"/>
        </w:rPr>
        <w:t>GB/T 14019界定的术语和定义适用于本文件。</w:t>
      </w:r>
    </w:p>
    <w:p w14:paraId="27DE8BF0">
      <w:pPr>
        <w:pStyle w:val="47"/>
        <w:numPr>
          <w:ilvl w:val="0"/>
          <w:numId w:val="0"/>
        </w:numPr>
        <w:tabs>
          <w:tab w:val="clear" w:pos="0"/>
        </w:tabs>
        <w:spacing w:before="312" w:after="312"/>
        <w:ind w:left="0" w:leftChars="0" w:firstLine="0" w:firstLineChars="0"/>
        <w:rPr>
          <w:color w:val="auto"/>
        </w:rPr>
      </w:pPr>
      <w:r>
        <w:rPr>
          <w:rFonts w:hint="eastAsia" w:ascii="黑体" w:hAnsi="Times New Roman" w:eastAsia="黑体" w:cs="Times New Roman"/>
          <w:b w:val="0"/>
          <w:i w:val="0"/>
          <w:color w:val="auto"/>
          <w:sz w:val="21"/>
          <w:szCs w:val="21"/>
          <w:lang w:val="en-US" w:eastAsia="zh-CN" w:bidi="ar-SA"/>
        </w:rPr>
        <w:t>4　</w:t>
      </w:r>
      <w:r>
        <w:rPr>
          <w:rFonts w:hint="eastAsia"/>
          <w:color w:val="auto"/>
          <w:lang w:eastAsia="zh-CN"/>
        </w:rPr>
        <w:t>要求</w:t>
      </w:r>
    </w:p>
    <w:p w14:paraId="3144E86A">
      <w:pPr>
        <w:pStyle w:val="43"/>
        <w:numPr>
          <w:ilvl w:val="1"/>
          <w:numId w:val="0"/>
        </w:numPr>
        <w:autoSpaceDE/>
        <w:autoSpaceDN/>
        <w:ind w:left="0" w:leftChars="0" w:firstLine="0" w:firstLineChars="0"/>
        <w:rPr>
          <w:rFonts w:hint="eastAsia" w:ascii="宋体" w:hAnsi="宋体" w:eastAsia="宋体"/>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4.1　</w:t>
      </w:r>
      <w:r>
        <w:rPr>
          <w:rFonts w:hint="eastAsia" w:cs="Times New Roman"/>
          <w:lang w:eastAsia="zh-CN"/>
        </w:rPr>
        <w:t>外观：</w:t>
      </w:r>
      <w:r>
        <w:rPr>
          <w:rFonts w:hint="eastAsia" w:ascii="宋体" w:hAnsi="宋体" w:eastAsia="宋体"/>
        </w:rPr>
        <w:t>深蓝色清澈液体，无沉淀物。</w:t>
      </w:r>
    </w:p>
    <w:p w14:paraId="5E623AA2">
      <w:pPr>
        <w:pStyle w:val="43"/>
        <w:numPr>
          <w:ilvl w:val="1"/>
          <w:numId w:val="0"/>
        </w:numPr>
        <w:autoSpaceDE/>
        <w:autoSpaceDN/>
        <w:ind w:left="0" w:leftChars="0" w:firstLine="0" w:firstLineChars="0"/>
        <w:rPr>
          <w:rFonts w:hint="eastAsia" w:cs="Times New Roman"/>
          <w:lang w:eastAsia="zh-CN"/>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4.2　</w:t>
      </w:r>
      <w:r>
        <w:rPr>
          <w:rFonts w:hint="eastAsia" w:cs="Times New Roman"/>
          <w:lang w:eastAsia="zh-CN"/>
        </w:rPr>
        <w:t>有效成分应符合表1要求。</w:t>
      </w:r>
    </w:p>
    <w:p w14:paraId="09B80F39">
      <w:pPr>
        <w:pStyle w:val="43"/>
        <w:numPr>
          <w:ilvl w:val="1"/>
          <w:numId w:val="0"/>
        </w:numPr>
        <w:spacing w:after="156" w:afterLines="50"/>
        <w:ind w:leftChars="0"/>
        <w:jc w:val="center"/>
        <w:rPr>
          <w:rFonts w:hint="eastAsia" w:ascii="黑体" w:hAnsi="黑体" w:eastAsia="黑体" w:cs="Times New Roman"/>
          <w:sz w:val="21"/>
          <w:szCs w:val="22"/>
          <w:lang w:val="en-US" w:eastAsia="zh-CN" w:bidi="ar-SA"/>
        </w:rPr>
      </w:pPr>
      <w:r>
        <w:rPr>
          <w:rFonts w:hint="eastAsia" w:ascii="黑体" w:hAnsi="黑体" w:eastAsia="黑体" w:cs="Times New Roman"/>
          <w:sz w:val="21"/>
          <w:szCs w:val="22"/>
          <w:lang w:val="en-US" w:eastAsia="zh-CN" w:bidi="ar-SA"/>
        </w:rPr>
        <w:t>表1  ACQ木材防腐剂有效成分表</w:t>
      </w:r>
    </w:p>
    <w:tbl>
      <w:tblPr>
        <w:tblStyle w:val="20"/>
        <w:tblW w:w="9229"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0"/>
        <w:gridCol w:w="1680"/>
        <w:gridCol w:w="1785"/>
        <w:gridCol w:w="1680"/>
        <w:gridCol w:w="1774"/>
      </w:tblGrid>
      <w:tr w14:paraId="0217257C">
        <w:trPr>
          <w:cantSplit/>
          <w:trHeight w:val="265" w:hRule="atLeast"/>
        </w:trPr>
        <w:tc>
          <w:tcPr>
            <w:tcW w:w="2310" w:type="dxa"/>
            <w:vMerge w:val="restart"/>
            <w:noWrap w:val="0"/>
            <w:vAlign w:val="center"/>
          </w:tcPr>
          <w:p w14:paraId="76678566">
            <w:pPr>
              <w:pStyle w:val="43"/>
              <w:numPr>
                <w:ilvl w:val="1"/>
                <w:numId w:val="0"/>
              </w:numPr>
              <w:ind w:leftChars="0"/>
              <w:jc w:val="center"/>
              <w:rPr>
                <w:rFonts w:hint="eastAsia" w:cs="Times New Roman" w:asciiTheme="minorEastAsia" w:hAnsiTheme="minorEastAsia" w:eastAsiaTheme="minorEastAsia"/>
                <w:sz w:val="18"/>
                <w:szCs w:val="18"/>
                <w:lang w:val="en-US" w:eastAsia="zh-CN" w:bidi="ar-SA"/>
              </w:rPr>
            </w:pPr>
            <w:r>
              <w:rPr>
                <w:rFonts w:hint="eastAsia" w:cs="Times New Roman" w:asciiTheme="minorEastAsia" w:hAnsiTheme="minorEastAsia" w:eastAsiaTheme="minorEastAsia"/>
                <w:sz w:val="18"/>
                <w:szCs w:val="18"/>
                <w:lang w:val="en-US" w:eastAsia="zh-CN" w:bidi="ar-SA"/>
              </w:rPr>
              <w:t>有效成分</w:t>
            </w:r>
          </w:p>
        </w:tc>
        <w:tc>
          <w:tcPr>
            <w:tcW w:w="6919" w:type="dxa"/>
            <w:gridSpan w:val="4"/>
            <w:noWrap w:val="0"/>
            <w:vAlign w:val="center"/>
          </w:tcPr>
          <w:p w14:paraId="32DF157C">
            <w:pPr>
              <w:pStyle w:val="43"/>
              <w:numPr>
                <w:ilvl w:val="1"/>
                <w:numId w:val="0"/>
              </w:numPr>
              <w:ind w:leftChars="0"/>
              <w:jc w:val="center"/>
              <w:rPr>
                <w:rFonts w:hint="eastAsia" w:ascii="Times New Roman" w:hAnsi="Times New Roman" w:eastAsia="宋体" w:cs="Times New Roman"/>
                <w:sz w:val="18"/>
                <w:szCs w:val="18"/>
                <w:lang w:val="en-US" w:eastAsia="zh-CN" w:bidi="ar-SA"/>
              </w:rPr>
            </w:pPr>
            <w:r>
              <w:rPr>
                <w:rFonts w:hint="default" w:ascii="Times New Roman" w:hAnsi="Times New Roman" w:eastAsia="宋体" w:cs="Times New Roman"/>
                <w:sz w:val="18"/>
                <w:szCs w:val="18"/>
                <w:lang w:val="en-US" w:eastAsia="zh-CN" w:bidi="ar-SA"/>
              </w:rPr>
              <w:t>指                标</w:t>
            </w:r>
            <w:r>
              <w:rPr>
                <w:rFonts w:hint="default" w:ascii="Times New Roman" w:hAnsi="Times New Roman" w:eastAsia="宋体" w:cs="Times New Roman"/>
                <w:sz w:val="18"/>
                <w:szCs w:val="18"/>
                <w:vertAlign w:val="superscript"/>
                <w:lang w:val="en-US" w:eastAsia="zh-CN" w:bidi="ar-SA"/>
              </w:rPr>
              <w:t>c</w:t>
            </w:r>
          </w:p>
        </w:tc>
      </w:tr>
      <w:tr w14:paraId="1B40DB74">
        <w:trPr>
          <w:cantSplit/>
          <w:trHeight w:val="185" w:hRule="atLeast"/>
        </w:trPr>
        <w:tc>
          <w:tcPr>
            <w:tcW w:w="2310" w:type="dxa"/>
            <w:vMerge w:val="continue"/>
            <w:noWrap w:val="0"/>
            <w:vAlign w:val="center"/>
          </w:tcPr>
          <w:p w14:paraId="020C693C">
            <w:pPr>
              <w:pStyle w:val="43"/>
              <w:ind w:firstLine="0" w:firstLineChars="0"/>
              <w:jc w:val="center"/>
              <w:rPr>
                <w:rFonts w:hint="eastAsia" w:cs="Times New Roman" w:asciiTheme="minorEastAsia" w:hAnsiTheme="minorEastAsia" w:eastAsiaTheme="minorEastAsia"/>
                <w:sz w:val="18"/>
                <w:szCs w:val="18"/>
                <w:lang w:val="en-US" w:eastAsia="zh-CN" w:bidi="ar-SA"/>
              </w:rPr>
            </w:pPr>
          </w:p>
        </w:tc>
        <w:tc>
          <w:tcPr>
            <w:tcW w:w="1680" w:type="dxa"/>
            <w:noWrap w:val="0"/>
            <w:vAlign w:val="center"/>
          </w:tcPr>
          <w:p w14:paraId="4DBA17C9">
            <w:pPr>
              <w:pStyle w:val="43"/>
              <w:numPr>
                <w:ilvl w:val="1"/>
                <w:numId w:val="0"/>
              </w:numPr>
              <w:tabs>
                <w:tab w:val="left" w:pos="360"/>
                <w:tab w:val="clear" w:pos="4201"/>
                <w:tab w:val="clear" w:pos="9298"/>
              </w:tabs>
              <w:ind w:leftChars="0"/>
              <w:jc w:val="center"/>
              <w:rPr>
                <w:rFonts w:ascii="Times New Roman" w:hAnsi="Times New Roman" w:eastAsia="宋体" w:cs="Times New Roman"/>
                <w:sz w:val="18"/>
                <w:szCs w:val="18"/>
                <w:lang w:val="en-US" w:eastAsia="zh-CN" w:bidi="ar-SA"/>
              </w:rPr>
            </w:pPr>
            <w:r>
              <w:rPr>
                <w:rFonts w:ascii="Times New Roman" w:hAnsi="Times New Roman" w:eastAsia="宋体" w:cs="Times New Roman"/>
                <w:sz w:val="18"/>
                <w:szCs w:val="18"/>
                <w:lang w:val="en-US" w:eastAsia="zh-CN" w:bidi="ar-SA"/>
              </w:rPr>
              <w:t>ACQ-A</w:t>
            </w:r>
          </w:p>
        </w:tc>
        <w:tc>
          <w:tcPr>
            <w:tcW w:w="1785" w:type="dxa"/>
            <w:noWrap w:val="0"/>
            <w:vAlign w:val="center"/>
          </w:tcPr>
          <w:p w14:paraId="1A5198B6">
            <w:pPr>
              <w:pStyle w:val="43"/>
              <w:numPr>
                <w:ilvl w:val="1"/>
                <w:numId w:val="0"/>
              </w:numPr>
              <w:tabs>
                <w:tab w:val="left" w:pos="360"/>
                <w:tab w:val="clear" w:pos="4201"/>
                <w:tab w:val="clear" w:pos="9298"/>
              </w:tabs>
              <w:ind w:leftChars="0"/>
              <w:jc w:val="center"/>
              <w:rPr>
                <w:rFonts w:ascii="Times New Roman" w:hAnsi="Times New Roman" w:eastAsia="宋体" w:cs="Times New Roman"/>
                <w:sz w:val="18"/>
                <w:szCs w:val="18"/>
                <w:lang w:val="en-US" w:eastAsia="zh-CN" w:bidi="ar-SA"/>
              </w:rPr>
            </w:pPr>
            <w:r>
              <w:rPr>
                <w:rFonts w:ascii="Times New Roman" w:hAnsi="Times New Roman" w:eastAsia="宋体" w:cs="Times New Roman"/>
                <w:sz w:val="18"/>
                <w:szCs w:val="18"/>
                <w:lang w:val="en-US" w:eastAsia="zh-CN" w:bidi="ar-SA"/>
              </w:rPr>
              <w:t>ACQ-B</w:t>
            </w:r>
          </w:p>
        </w:tc>
        <w:tc>
          <w:tcPr>
            <w:tcW w:w="1680" w:type="dxa"/>
            <w:noWrap w:val="0"/>
            <w:vAlign w:val="center"/>
          </w:tcPr>
          <w:p w14:paraId="70EC5511">
            <w:pPr>
              <w:pStyle w:val="43"/>
              <w:numPr>
                <w:ilvl w:val="1"/>
                <w:numId w:val="0"/>
              </w:numPr>
              <w:tabs>
                <w:tab w:val="left" w:pos="360"/>
                <w:tab w:val="clear" w:pos="4201"/>
                <w:tab w:val="clear" w:pos="9298"/>
              </w:tabs>
              <w:ind w:leftChars="0"/>
              <w:jc w:val="center"/>
              <w:rPr>
                <w:rFonts w:ascii="Times New Roman" w:hAnsi="Times New Roman" w:eastAsia="宋体" w:cs="Times New Roman"/>
                <w:sz w:val="18"/>
                <w:szCs w:val="18"/>
                <w:lang w:val="en-US" w:eastAsia="zh-CN" w:bidi="ar-SA"/>
              </w:rPr>
            </w:pPr>
            <w:r>
              <w:rPr>
                <w:rFonts w:ascii="Times New Roman" w:hAnsi="Times New Roman" w:eastAsia="宋体" w:cs="Times New Roman"/>
                <w:sz w:val="18"/>
                <w:szCs w:val="18"/>
                <w:lang w:val="en-US" w:eastAsia="zh-CN" w:bidi="ar-SA"/>
              </w:rPr>
              <w:t>ACQ-C</w:t>
            </w:r>
          </w:p>
        </w:tc>
        <w:tc>
          <w:tcPr>
            <w:tcW w:w="1774" w:type="dxa"/>
            <w:noWrap w:val="0"/>
            <w:vAlign w:val="center"/>
          </w:tcPr>
          <w:p w14:paraId="1A664484">
            <w:pPr>
              <w:pStyle w:val="43"/>
              <w:numPr>
                <w:ilvl w:val="1"/>
                <w:numId w:val="0"/>
              </w:numPr>
              <w:tabs>
                <w:tab w:val="left" w:pos="360"/>
                <w:tab w:val="clear" w:pos="4201"/>
                <w:tab w:val="clear" w:pos="9298"/>
              </w:tabs>
              <w:ind w:leftChars="0"/>
              <w:jc w:val="center"/>
              <w:rPr>
                <w:rFonts w:ascii="Times New Roman" w:hAnsi="Times New Roman" w:eastAsia="宋体" w:cs="Times New Roman"/>
                <w:sz w:val="18"/>
                <w:szCs w:val="18"/>
                <w:lang w:val="en-US" w:eastAsia="zh-CN" w:bidi="ar-SA"/>
              </w:rPr>
            </w:pPr>
            <w:r>
              <w:rPr>
                <w:rFonts w:ascii="Times New Roman" w:hAnsi="Times New Roman" w:eastAsia="宋体" w:cs="Times New Roman"/>
                <w:sz w:val="18"/>
                <w:szCs w:val="18"/>
                <w:lang w:val="en-US" w:eastAsia="zh-CN" w:bidi="ar-SA"/>
              </w:rPr>
              <w:t>ACQ-D</w:t>
            </w:r>
          </w:p>
        </w:tc>
      </w:tr>
      <w:tr w14:paraId="6234F6D9">
        <w:tc>
          <w:tcPr>
            <w:tcW w:w="2310" w:type="dxa"/>
            <w:noWrap w:val="0"/>
            <w:vAlign w:val="center"/>
          </w:tcPr>
          <w:p w14:paraId="18A2B8A7">
            <w:pPr>
              <w:pStyle w:val="43"/>
              <w:numPr>
                <w:ilvl w:val="1"/>
                <w:numId w:val="0"/>
              </w:numPr>
              <w:ind w:leftChars="0"/>
              <w:jc w:val="center"/>
              <w:rPr>
                <w:rFonts w:cs="Times New Roman" w:asciiTheme="minorEastAsia" w:hAnsiTheme="minorEastAsia" w:eastAsiaTheme="minorEastAsia"/>
                <w:sz w:val="18"/>
                <w:szCs w:val="18"/>
                <w:lang w:val="en-US" w:eastAsia="zh-CN" w:bidi="ar-SA"/>
              </w:rPr>
            </w:pPr>
            <w:r>
              <w:rPr>
                <w:rFonts w:cs="Times New Roman" w:asciiTheme="minorEastAsia" w:hAnsiTheme="minorEastAsia" w:eastAsiaTheme="minorEastAsia"/>
                <w:sz w:val="18"/>
                <w:szCs w:val="18"/>
                <w:lang w:val="en-US" w:eastAsia="zh-CN" w:bidi="ar-SA"/>
              </w:rPr>
              <w:t>铜</w:t>
            </w:r>
            <w:r>
              <w:rPr>
                <w:rFonts w:ascii="Times New Roman" w:hAnsi="Times New Roman" w:eastAsia="宋体" w:cs="Times New Roman"/>
                <w:sz w:val="18"/>
                <w:szCs w:val="18"/>
                <w:lang w:val="en-US" w:eastAsia="zh-CN" w:bidi="ar-SA"/>
              </w:rPr>
              <w:t>(以CuO计)/%</w:t>
            </w:r>
          </w:p>
        </w:tc>
        <w:tc>
          <w:tcPr>
            <w:tcW w:w="1680" w:type="dxa"/>
            <w:noWrap w:val="0"/>
            <w:vAlign w:val="center"/>
          </w:tcPr>
          <w:p w14:paraId="5081ED6C">
            <w:pPr>
              <w:ind w:left="0" w:leftChars="0" w:firstLine="0" w:firstLineChars="0"/>
              <w:jc w:val="center"/>
              <w:rPr>
                <w:rFonts w:hint="eastAsia" w:ascii="Times New Roman" w:hAnsi="Times New Roman" w:eastAsia="宋体" w:cs="Times New Roman"/>
                <w:sz w:val="18"/>
                <w:szCs w:val="18"/>
                <w:lang w:val="en-US" w:eastAsia="zh-CN" w:bidi="ar-SA"/>
              </w:rPr>
            </w:pPr>
            <w:r>
              <w:rPr>
                <w:rFonts w:ascii="Times New Roman" w:hAnsi="Times New Roman" w:eastAsia="宋体" w:cs="Times New Roman"/>
                <w:sz w:val="18"/>
                <w:szCs w:val="18"/>
                <w:lang w:val="en-US" w:eastAsia="zh-CN" w:bidi="ar-SA"/>
              </w:rPr>
              <w:t>45.5～54.5(50.0)</w:t>
            </w:r>
          </w:p>
        </w:tc>
        <w:tc>
          <w:tcPr>
            <w:tcW w:w="1785" w:type="dxa"/>
            <w:noWrap w:val="0"/>
            <w:vAlign w:val="center"/>
          </w:tcPr>
          <w:p w14:paraId="598FBE20">
            <w:pPr>
              <w:ind w:left="0" w:leftChars="0" w:firstLine="0" w:firstLineChars="0"/>
              <w:jc w:val="center"/>
              <w:rPr>
                <w:rFonts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62.0～71.0(66.7)</w:t>
            </w:r>
          </w:p>
        </w:tc>
        <w:tc>
          <w:tcPr>
            <w:tcW w:w="1680" w:type="dxa"/>
            <w:noWrap w:val="0"/>
            <w:vAlign w:val="center"/>
          </w:tcPr>
          <w:p w14:paraId="7B1D8C58">
            <w:pPr>
              <w:ind w:left="0" w:leftChars="0" w:firstLine="0" w:firstLineChars="0"/>
              <w:jc w:val="center"/>
              <w:rPr>
                <w:rFonts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62.0～71.0(66.7)</w:t>
            </w:r>
          </w:p>
        </w:tc>
        <w:tc>
          <w:tcPr>
            <w:tcW w:w="1774" w:type="dxa"/>
            <w:noWrap w:val="0"/>
            <w:vAlign w:val="center"/>
          </w:tcPr>
          <w:p w14:paraId="746A4B7E">
            <w:pPr>
              <w:ind w:left="0" w:leftChars="0" w:firstLine="0" w:firstLineChars="0"/>
              <w:jc w:val="center"/>
              <w:rPr>
                <w:rFonts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62.0～71.0(66.7)</w:t>
            </w:r>
          </w:p>
        </w:tc>
      </w:tr>
      <w:tr w14:paraId="268CB868">
        <w:tc>
          <w:tcPr>
            <w:tcW w:w="2310" w:type="dxa"/>
            <w:noWrap w:val="0"/>
            <w:vAlign w:val="center"/>
          </w:tcPr>
          <w:p w14:paraId="3737F4C7">
            <w:pPr>
              <w:pStyle w:val="43"/>
              <w:numPr>
                <w:ilvl w:val="1"/>
                <w:numId w:val="0"/>
              </w:numPr>
              <w:ind w:leftChars="0"/>
              <w:jc w:val="center"/>
              <w:rPr>
                <w:rFonts w:cs="Times New Roman" w:asciiTheme="minorEastAsia" w:hAnsiTheme="minorEastAsia" w:eastAsiaTheme="minorEastAsia"/>
                <w:sz w:val="18"/>
                <w:szCs w:val="18"/>
                <w:lang w:val="en-US" w:eastAsia="zh-CN" w:bidi="ar-SA"/>
              </w:rPr>
            </w:pPr>
            <w:r>
              <w:rPr>
                <w:rFonts w:cs="Times New Roman" w:asciiTheme="minorEastAsia" w:hAnsiTheme="minorEastAsia" w:eastAsiaTheme="minorEastAsia"/>
                <w:sz w:val="18"/>
                <w:szCs w:val="18"/>
                <w:lang w:val="en-US" w:eastAsia="zh-CN" w:bidi="ar-SA"/>
              </w:rPr>
              <w:t>季铵盐</w:t>
            </w:r>
            <w:r>
              <w:rPr>
                <w:rFonts w:hint="default" w:ascii="Times New Roman" w:hAnsi="Times New Roman" w:cs="Times New Roman" w:eastAsiaTheme="minorEastAsia"/>
                <w:sz w:val="18"/>
                <w:szCs w:val="18"/>
                <w:lang w:val="en-US" w:eastAsia="zh-CN" w:bidi="ar-SA"/>
              </w:rPr>
              <w:t>(以DDAC计)</w:t>
            </w:r>
            <w:r>
              <w:rPr>
                <w:rFonts w:hint="default" w:ascii="Times New Roman" w:hAnsi="Times New Roman" w:cs="Times New Roman" w:eastAsiaTheme="minorEastAsia"/>
                <w:sz w:val="18"/>
                <w:szCs w:val="18"/>
                <w:vertAlign w:val="superscript"/>
                <w:lang w:val="en-US" w:eastAsia="zh-CN" w:bidi="ar-SA"/>
              </w:rPr>
              <w:t>a</w:t>
            </w:r>
            <w:r>
              <w:rPr>
                <w:rFonts w:hint="default" w:ascii="Times New Roman" w:hAnsi="Times New Roman" w:cs="Times New Roman" w:eastAsiaTheme="minorEastAsia"/>
                <w:sz w:val="18"/>
                <w:szCs w:val="18"/>
                <w:lang w:val="en-US" w:eastAsia="zh-CN" w:bidi="ar-SA"/>
              </w:rPr>
              <w:t>/%</w:t>
            </w:r>
          </w:p>
        </w:tc>
        <w:tc>
          <w:tcPr>
            <w:tcW w:w="1680" w:type="dxa"/>
            <w:noWrap w:val="0"/>
            <w:vAlign w:val="center"/>
          </w:tcPr>
          <w:p w14:paraId="7FF7FB9E">
            <w:pPr>
              <w:ind w:left="0" w:leftChars="0" w:firstLine="0" w:firstLineChars="0"/>
              <w:jc w:val="center"/>
              <w:rPr>
                <w:rFonts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45.5～54.5(50.0)</w:t>
            </w:r>
          </w:p>
        </w:tc>
        <w:tc>
          <w:tcPr>
            <w:tcW w:w="1785" w:type="dxa"/>
            <w:noWrap w:val="0"/>
            <w:vAlign w:val="center"/>
          </w:tcPr>
          <w:p w14:paraId="27A4A539">
            <w:pPr>
              <w:ind w:left="0" w:leftChars="0" w:firstLine="0" w:firstLineChars="0"/>
              <w:jc w:val="center"/>
              <w:rPr>
                <w:rFonts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29.0～38.0(33.3)</w:t>
            </w:r>
          </w:p>
        </w:tc>
        <w:tc>
          <w:tcPr>
            <w:tcW w:w="1680" w:type="dxa"/>
            <w:noWrap w:val="0"/>
            <w:vAlign w:val="center"/>
          </w:tcPr>
          <w:p w14:paraId="676B3317">
            <w:pPr>
              <w:jc w:val="center"/>
              <w:rPr>
                <w:rFonts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w:t>
            </w:r>
          </w:p>
        </w:tc>
        <w:tc>
          <w:tcPr>
            <w:tcW w:w="1774" w:type="dxa"/>
            <w:noWrap w:val="0"/>
            <w:vAlign w:val="center"/>
          </w:tcPr>
          <w:p w14:paraId="6C81CD23">
            <w:pPr>
              <w:ind w:left="0" w:leftChars="0" w:firstLine="0" w:firstLineChars="0"/>
              <w:jc w:val="center"/>
              <w:rPr>
                <w:rFonts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29.0～38.0(33.3)</w:t>
            </w:r>
          </w:p>
        </w:tc>
      </w:tr>
      <w:tr w14:paraId="3D1CD3F1">
        <w:tc>
          <w:tcPr>
            <w:tcW w:w="2310" w:type="dxa"/>
            <w:noWrap w:val="0"/>
            <w:vAlign w:val="center"/>
          </w:tcPr>
          <w:p w14:paraId="3023DBE1">
            <w:pPr>
              <w:pStyle w:val="43"/>
              <w:numPr>
                <w:ilvl w:val="1"/>
                <w:numId w:val="0"/>
              </w:numPr>
              <w:ind w:leftChars="0"/>
              <w:jc w:val="center"/>
              <w:rPr>
                <w:rFonts w:cs="Times New Roman" w:asciiTheme="minorEastAsia" w:hAnsiTheme="minorEastAsia" w:eastAsiaTheme="minorEastAsia"/>
                <w:sz w:val="18"/>
                <w:szCs w:val="18"/>
                <w:lang w:val="en-US" w:eastAsia="zh-CN" w:bidi="ar-SA"/>
              </w:rPr>
            </w:pPr>
            <w:r>
              <w:rPr>
                <w:rFonts w:cs="Times New Roman" w:asciiTheme="minorEastAsia" w:hAnsiTheme="minorEastAsia" w:eastAsiaTheme="minorEastAsia"/>
                <w:sz w:val="18"/>
                <w:szCs w:val="18"/>
                <w:lang w:val="en-US" w:eastAsia="zh-CN" w:bidi="ar-SA"/>
              </w:rPr>
              <w:t>或季铵盐</w:t>
            </w:r>
            <w:r>
              <w:rPr>
                <w:rFonts w:hint="default" w:ascii="Times New Roman" w:hAnsi="Times New Roman" w:cs="Times New Roman" w:eastAsiaTheme="minorEastAsia"/>
                <w:sz w:val="18"/>
                <w:szCs w:val="18"/>
                <w:lang w:val="en-US" w:eastAsia="zh-CN" w:bidi="ar-SA"/>
              </w:rPr>
              <w:t>(以BAC计)</w:t>
            </w:r>
            <w:r>
              <w:rPr>
                <w:rFonts w:hint="default" w:ascii="Times New Roman" w:hAnsi="Times New Roman" w:cs="Times New Roman" w:eastAsiaTheme="minorEastAsia"/>
                <w:sz w:val="18"/>
                <w:szCs w:val="18"/>
                <w:vertAlign w:val="superscript"/>
                <w:lang w:val="en-US" w:eastAsia="zh-CN" w:bidi="ar-SA"/>
              </w:rPr>
              <w:t>b</w:t>
            </w:r>
            <w:r>
              <w:rPr>
                <w:rFonts w:hint="default" w:ascii="Times New Roman" w:hAnsi="Times New Roman" w:cs="Times New Roman" w:eastAsiaTheme="minorEastAsia"/>
                <w:sz w:val="18"/>
                <w:szCs w:val="18"/>
                <w:lang w:val="en-US" w:eastAsia="zh-CN" w:bidi="ar-SA"/>
              </w:rPr>
              <w:t>/%</w:t>
            </w:r>
          </w:p>
        </w:tc>
        <w:tc>
          <w:tcPr>
            <w:tcW w:w="1680" w:type="dxa"/>
            <w:noWrap w:val="0"/>
            <w:vAlign w:val="center"/>
          </w:tcPr>
          <w:p w14:paraId="48A1E9E3">
            <w:pPr>
              <w:jc w:val="center"/>
              <w:rPr>
                <w:rFonts w:hint="eastAsia"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w:t>
            </w:r>
          </w:p>
        </w:tc>
        <w:tc>
          <w:tcPr>
            <w:tcW w:w="1785" w:type="dxa"/>
            <w:noWrap w:val="0"/>
            <w:vAlign w:val="center"/>
          </w:tcPr>
          <w:p w14:paraId="073DEECE">
            <w:pPr>
              <w:jc w:val="center"/>
              <w:rPr>
                <w:rFonts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w:t>
            </w:r>
          </w:p>
        </w:tc>
        <w:tc>
          <w:tcPr>
            <w:tcW w:w="1680" w:type="dxa"/>
            <w:noWrap w:val="0"/>
            <w:vAlign w:val="center"/>
          </w:tcPr>
          <w:p w14:paraId="6339071C">
            <w:pPr>
              <w:ind w:left="0" w:leftChars="0" w:firstLine="0" w:firstLineChars="0"/>
              <w:jc w:val="center"/>
              <w:rPr>
                <w:rFonts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29.0～38.0(33.3)</w:t>
            </w:r>
          </w:p>
        </w:tc>
        <w:tc>
          <w:tcPr>
            <w:tcW w:w="1774" w:type="dxa"/>
            <w:noWrap w:val="0"/>
            <w:vAlign w:val="center"/>
          </w:tcPr>
          <w:p w14:paraId="39ECA2AC">
            <w:pPr>
              <w:jc w:val="center"/>
              <w:rPr>
                <w:rFonts w:ascii="Times New Roman" w:hAnsi="Times New Roman" w:eastAsia="宋体" w:cs="Times New Roman"/>
                <w:sz w:val="18"/>
                <w:szCs w:val="18"/>
                <w:lang w:val="en-US" w:eastAsia="zh-CN" w:bidi="ar-SA"/>
              </w:rPr>
            </w:pPr>
            <w:r>
              <w:rPr>
                <w:rFonts w:hint="eastAsia" w:ascii="Times New Roman" w:hAnsi="Times New Roman" w:eastAsia="宋体" w:cs="Times New Roman"/>
                <w:sz w:val="18"/>
                <w:szCs w:val="18"/>
                <w:lang w:val="en-US" w:eastAsia="zh-CN" w:bidi="ar-SA"/>
              </w:rPr>
              <w:t>—</w:t>
            </w:r>
          </w:p>
        </w:tc>
      </w:tr>
      <w:tr w14:paraId="17B0EBBE">
        <w:tc>
          <w:tcPr>
            <w:tcW w:w="9229" w:type="dxa"/>
            <w:gridSpan w:val="5"/>
            <w:noWrap w:val="0"/>
            <w:vAlign w:val="center"/>
          </w:tcPr>
          <w:p w14:paraId="7C5EF7BC">
            <w:pPr>
              <w:pStyle w:val="80"/>
              <w:numPr>
                <w:ilvl w:val="0"/>
                <w:numId w:val="0"/>
              </w:numPr>
              <w:ind w:firstLine="360" w:firstLineChars="200"/>
              <w:rPr>
                <w:rFonts w:hint="default" w:ascii="Times New Roman" w:hAnsi="Times New Roman" w:eastAsia="宋体" w:cs="Times New Roman"/>
                <w:szCs w:val="18"/>
                <w:lang w:eastAsia="zh-CN"/>
              </w:rPr>
            </w:pPr>
            <w:r>
              <w:rPr>
                <w:rFonts w:hint="default" w:ascii="Times New Roman" w:hAnsi="Times New Roman" w:cs="Times New Roman"/>
                <w:szCs w:val="18"/>
              </w:rPr>
              <w:t>a  DDAC</w:t>
            </w:r>
            <w:r>
              <w:rPr>
                <w:rFonts w:hint="default" w:ascii="Times New Roman" w:hAnsi="Times New Roman" w:cs="Times New Roman"/>
                <w:szCs w:val="18"/>
                <w:lang w:val="en-US" w:eastAsia="zh-CN"/>
              </w:rPr>
              <w:t>为</w:t>
            </w:r>
            <w:r>
              <w:rPr>
                <w:rFonts w:hint="default" w:ascii="Times New Roman" w:hAnsi="Times New Roman" w:cs="Times New Roman"/>
                <w:szCs w:val="18"/>
              </w:rPr>
              <w:t>双癸基二甲基氯化铵或双癸基二甲基碳酸铵</w:t>
            </w:r>
            <w:r>
              <w:rPr>
                <w:rFonts w:hint="default" w:ascii="Times New Roman" w:hAnsi="Times New Roman" w:cs="Times New Roman"/>
                <w:szCs w:val="18"/>
                <w:lang w:eastAsia="zh-CN"/>
              </w:rPr>
              <w:t>。</w:t>
            </w:r>
          </w:p>
          <w:p w14:paraId="62107FC9">
            <w:pPr>
              <w:pStyle w:val="80"/>
              <w:numPr>
                <w:ilvl w:val="0"/>
                <w:numId w:val="0"/>
              </w:numPr>
              <w:ind w:firstLine="360" w:firstLineChars="200"/>
              <w:rPr>
                <w:rFonts w:hint="default" w:ascii="Times New Roman" w:hAnsi="Times New Roman" w:eastAsia="宋体" w:cs="Times New Roman"/>
                <w:szCs w:val="18"/>
                <w:lang w:eastAsia="zh-CN"/>
              </w:rPr>
            </w:pPr>
            <w:r>
              <w:rPr>
                <w:rFonts w:hint="default" w:ascii="Times New Roman" w:hAnsi="Times New Roman" w:cs="Times New Roman"/>
                <w:szCs w:val="18"/>
              </w:rPr>
              <w:t>b  BAC</w:t>
            </w:r>
            <w:r>
              <w:rPr>
                <w:rFonts w:hint="default" w:ascii="Times New Roman" w:hAnsi="Times New Roman" w:cs="Times New Roman"/>
                <w:szCs w:val="18"/>
                <w:lang w:val="en-US" w:eastAsia="zh-CN"/>
              </w:rPr>
              <w:t>为</w:t>
            </w:r>
            <w:r>
              <w:rPr>
                <w:rFonts w:hint="default" w:ascii="Times New Roman" w:hAnsi="Times New Roman" w:cs="Times New Roman"/>
                <w:szCs w:val="18"/>
              </w:rPr>
              <w:t>十二烷基二甲基苄基氯化铵或十二烷基二甲基苄基碳酸铵</w:t>
            </w:r>
            <w:r>
              <w:rPr>
                <w:rFonts w:hint="default" w:ascii="Times New Roman" w:hAnsi="Times New Roman" w:cs="Times New Roman"/>
                <w:szCs w:val="18"/>
                <w:lang w:eastAsia="zh-CN"/>
              </w:rPr>
              <w:t>。</w:t>
            </w:r>
          </w:p>
          <w:p w14:paraId="74AA2A65">
            <w:pPr>
              <w:ind w:firstLine="360" w:firstLineChars="200"/>
              <w:rPr>
                <w:sz w:val="18"/>
                <w:szCs w:val="18"/>
              </w:rPr>
            </w:pPr>
            <w:r>
              <w:rPr>
                <w:rFonts w:hint="default" w:ascii="Times New Roman" w:hAnsi="Times New Roman" w:cs="Times New Roman"/>
                <w:sz w:val="18"/>
                <w:szCs w:val="18"/>
              </w:rPr>
              <w:t>c  括号内的数值为代表性值</w:t>
            </w:r>
            <w:r>
              <w:rPr>
                <w:rFonts w:hint="eastAsia"/>
                <w:sz w:val="18"/>
                <w:szCs w:val="18"/>
              </w:rPr>
              <w:t>。</w:t>
            </w:r>
          </w:p>
        </w:tc>
      </w:tr>
    </w:tbl>
    <w:p w14:paraId="4E37326F">
      <w:pPr>
        <w:pStyle w:val="43"/>
        <w:numPr>
          <w:ilvl w:val="1"/>
          <w:numId w:val="0"/>
        </w:numPr>
        <w:autoSpaceDE/>
        <w:autoSpaceDN/>
        <w:ind w:left="0" w:leftChars="0" w:firstLine="0" w:firstLineChars="0"/>
        <w:rPr>
          <w:rFonts w:hint="default" w:ascii="Times New Roman" w:hAnsi="Times New Roman" w:eastAsia="宋体" w:cs="Times New Roman"/>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4.3　</w:t>
      </w:r>
      <w:r>
        <w:rPr>
          <w:rFonts w:hint="default" w:ascii="Times New Roman" w:hAnsi="Times New Roman" w:eastAsia="宋体" w:cs="Times New Roman"/>
        </w:rPr>
        <w:t>pH值：8～11。</w:t>
      </w:r>
    </w:p>
    <w:p w14:paraId="2BAE1690">
      <w:pPr>
        <w:pStyle w:val="43"/>
        <w:numPr>
          <w:ilvl w:val="1"/>
          <w:numId w:val="0"/>
        </w:numPr>
        <w:autoSpaceDE/>
        <w:autoSpaceDN/>
        <w:ind w:left="0" w:leftChars="0" w:firstLine="0" w:firstLineChars="0"/>
        <w:rPr>
          <w:rFonts w:hint="eastAsia" w:ascii="宋体" w:hAnsi="宋体" w:eastAsia="宋体" w:cs="宋体"/>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4.4　</w:t>
      </w:r>
      <w:r>
        <w:rPr>
          <w:rFonts w:hint="eastAsia" w:ascii="宋体" w:hAnsi="宋体" w:eastAsia="宋体" w:cs="宋体"/>
        </w:rPr>
        <w:t>二价铜化合物原料应该是纯度超过</w:t>
      </w:r>
      <w:r>
        <w:rPr>
          <w:rFonts w:hint="default" w:ascii="Times New Roman" w:hAnsi="Times New Roman" w:eastAsia="宋体" w:cs="Times New Roman"/>
        </w:rPr>
        <w:t>95%</w:t>
      </w:r>
      <w:r>
        <w:rPr>
          <w:rFonts w:hint="eastAsia" w:ascii="宋体" w:hAnsi="宋体" w:eastAsia="宋体" w:cs="宋体"/>
        </w:rPr>
        <w:t>（无水基）的碱式碳酸铜、氧化铜等，不能用硫酸铜、氯化铜等水溶性铜盐。</w:t>
      </w:r>
    </w:p>
    <w:p w14:paraId="0FF65640">
      <w:pPr>
        <w:pStyle w:val="43"/>
        <w:numPr>
          <w:ilvl w:val="1"/>
          <w:numId w:val="0"/>
        </w:numPr>
        <w:autoSpaceDE/>
        <w:autoSpaceDN/>
        <w:ind w:left="0" w:leftChars="0" w:firstLine="0" w:firstLineChars="0"/>
        <w:rPr>
          <w:rFonts w:hint="eastAsia" w:ascii="宋体" w:hAnsi="宋体" w:eastAsia="宋体" w:cs="宋体"/>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4.5　</w:t>
      </w:r>
      <w:r>
        <w:rPr>
          <w:rFonts w:hint="eastAsia" w:ascii="宋体" w:hAnsi="宋体" w:eastAsia="宋体" w:cs="宋体"/>
        </w:rPr>
        <w:t>在以</w:t>
      </w:r>
      <w:r>
        <w:rPr>
          <w:rFonts w:hint="default" w:ascii="Times New Roman" w:hAnsi="Times New Roman" w:eastAsia="宋体" w:cs="Times New Roman"/>
        </w:rPr>
        <w:t>DDAC计的季铵盐中，双癸基二甲基氯化铵或双癸基二甲基碳酸铵的含量应不少于90%；在以BAC计的季铵盐中，烷基链长为C12和C14的烷基二甲基苄基氯化铵或十二烷基二甲基苄基碳酸铵的含量应不少于80%。</w:t>
      </w:r>
    </w:p>
    <w:p w14:paraId="4328715F">
      <w:pPr>
        <w:pStyle w:val="43"/>
        <w:numPr>
          <w:ilvl w:val="1"/>
          <w:numId w:val="0"/>
        </w:numPr>
        <w:autoSpaceDE/>
        <w:autoSpaceDN/>
        <w:ind w:left="0" w:leftChars="0" w:firstLine="0" w:firstLineChars="0"/>
        <w:rPr>
          <w:rFonts w:hint="default" w:ascii="Times New Roman" w:hAnsi="Times New Roman" w:cs="Times New Roman"/>
          <w:lang w:eastAsia="zh-CN"/>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4.6　</w:t>
      </w:r>
      <w:r>
        <w:rPr>
          <w:rFonts w:hint="default" w:ascii="Times New Roman" w:hAnsi="Times New Roman" w:eastAsia="宋体" w:cs="Times New Roman"/>
        </w:rPr>
        <w:t>ACQ-B采用氨水作溶剂，ACQ-D采用乙醇胺作溶剂，其他型号可以采用氨水或乙醇胺作溶剂。在用乙醇胺作溶剂时，乙醇胺的质量应为氧化铜的2.75±0.25倍。在用氨水作溶剂时，氨的质量至少为氧化铜的1倍。</w:t>
      </w:r>
    </w:p>
    <w:p w14:paraId="1E4FAA7C">
      <w:pPr>
        <w:pStyle w:val="47"/>
        <w:numPr>
          <w:ilvl w:val="0"/>
          <w:numId w:val="0"/>
        </w:numPr>
        <w:tabs>
          <w:tab w:val="clear" w:pos="0"/>
        </w:tabs>
        <w:spacing w:before="312" w:after="312"/>
        <w:ind w:left="0" w:leftChars="0" w:firstLine="0" w:firstLineChars="0"/>
      </w:pPr>
      <w:r>
        <w:rPr>
          <w:rFonts w:hint="eastAsia" w:ascii="黑体" w:hAnsi="Times New Roman" w:eastAsia="黑体" w:cs="Times New Roman"/>
          <w:b w:val="0"/>
          <w:i w:val="0"/>
          <w:sz w:val="21"/>
          <w:szCs w:val="21"/>
          <w:lang w:val="en-US" w:eastAsia="zh-CN" w:bidi="ar-SA"/>
        </w:rPr>
        <w:t>5　</w:t>
      </w:r>
      <w:r>
        <w:rPr>
          <w:rFonts w:hint="eastAsia"/>
          <w:lang w:eastAsia="zh-CN"/>
        </w:rPr>
        <w:t>试验</w:t>
      </w:r>
      <w:r>
        <w:rPr>
          <w:rFonts w:hint="eastAsia"/>
          <w:lang w:val="en-US" w:eastAsia="zh-CN"/>
        </w:rPr>
        <w:t>方法</w:t>
      </w:r>
    </w:p>
    <w:p w14:paraId="185A1C24">
      <w:pPr>
        <w:pStyle w:val="63"/>
        <w:numPr>
          <w:ilvl w:val="2"/>
          <w:numId w:val="0"/>
        </w:numPr>
        <w:ind w:leftChars="0"/>
        <w:rPr>
          <w:rFonts w:hint="eastAsia"/>
        </w:rPr>
      </w:pPr>
      <w:bookmarkStart w:id="19" w:name="_Hlk95404035"/>
      <w:r>
        <w:rPr>
          <w:rFonts w:hint="eastAsia"/>
          <w:lang w:val="en-US" w:eastAsia="zh-CN"/>
        </w:rPr>
        <w:t xml:space="preserve">5.1 </w:t>
      </w:r>
      <w:r>
        <w:rPr>
          <w:rFonts w:hint="eastAsia"/>
        </w:rPr>
        <w:t>样品制备</w:t>
      </w:r>
    </w:p>
    <w:p w14:paraId="414AC2E6">
      <w:pPr>
        <w:pStyle w:val="43"/>
        <w:numPr>
          <w:ilvl w:val="1"/>
          <w:numId w:val="0"/>
        </w:numPr>
        <w:autoSpaceDE/>
        <w:autoSpaceDN/>
        <w:rPr>
          <w:rFonts w:hint="default" w:ascii="Times New Roman" w:hAnsi="Times New Roman" w:eastAsia="宋体" w:cs="Times New Roman"/>
        </w:rPr>
      </w:pPr>
      <w:r>
        <w:rPr>
          <w:rFonts w:hint="eastAsia" w:ascii="黑体" w:hAnsi="Times New Roman" w:eastAsia="黑体" w:cs="Times New Roman"/>
          <w:sz w:val="21"/>
          <w:szCs w:val="21"/>
          <w:lang w:val="en-US" w:eastAsia="zh-CN" w:bidi="ar-SA"/>
        </w:rPr>
        <w:t>5.1.1</w:t>
      </w:r>
      <w:r>
        <w:rPr>
          <w:rFonts w:hint="default" w:ascii="Times New Roman" w:hAnsi="Times New Roman" w:eastAsia="宋体" w:cs="Times New Roman"/>
        </w:rPr>
        <w:t>称取经充分混合的ACQ木材防腐剂样品4g（精确至0.001g）（A溶液）至锥形瓶中，用水稀释至100g（精确至0.01g）（B溶液）。</w:t>
      </w:r>
    </w:p>
    <w:p w14:paraId="43487B22">
      <w:pPr>
        <w:pStyle w:val="43"/>
        <w:numPr>
          <w:ilvl w:val="1"/>
          <w:numId w:val="0"/>
        </w:numPr>
        <w:autoSpaceDE/>
        <w:autoSpaceDN/>
        <w:ind w:left="0" w:leftChars="0" w:firstLine="0" w:firstLineChars="0"/>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5.2　</w:t>
      </w:r>
      <w:r>
        <w:rPr>
          <w:rFonts w:hint="eastAsia"/>
          <w:lang w:eastAsia="zh-CN"/>
        </w:rPr>
        <w:t>试验方法</w:t>
      </w:r>
      <w:r>
        <w:t xml:space="preserve"> </w:t>
      </w:r>
    </w:p>
    <w:p w14:paraId="6266F1FC">
      <w:pPr>
        <w:pStyle w:val="63"/>
        <w:numPr>
          <w:ilvl w:val="2"/>
          <w:numId w:val="0"/>
        </w:numPr>
        <w:ind w:leftChars="0"/>
        <w:rPr>
          <w:rFonts w:hint="eastAsia" w:ascii="黑体" w:hAnsi="宋体"/>
        </w:rPr>
      </w:pPr>
      <w:r>
        <w:rPr>
          <w:rFonts w:hint="eastAsia"/>
          <w:lang w:val="en-US" w:eastAsia="zh-CN"/>
        </w:rPr>
        <w:t>5.2.1</w:t>
      </w:r>
      <w:r>
        <w:rPr>
          <w:rFonts w:hint="eastAsia"/>
        </w:rPr>
        <w:t>试剂</w:t>
      </w:r>
    </w:p>
    <w:p w14:paraId="0C1885E3">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rPr>
        <w:t>检验中所使用的水除特别注明外均为蒸馏水或去离子水。所用的化学试剂除特别注明外，均为分析纯级的化学试剂。</w:t>
      </w:r>
    </w:p>
    <w:p w14:paraId="49A845D0">
      <w:pPr>
        <w:pStyle w:val="63"/>
        <w:numPr>
          <w:ilvl w:val="2"/>
          <w:numId w:val="0"/>
        </w:numPr>
        <w:ind w:leftChars="0"/>
        <w:rPr>
          <w:rFonts w:hint="eastAsia" w:hAnsi="Times New Roman" w:cs="Times New Roman"/>
          <w:lang w:val="en-US" w:eastAsia="zh-CN"/>
        </w:rPr>
      </w:pPr>
      <w:r>
        <w:rPr>
          <w:rFonts w:hint="eastAsia" w:cs="Times New Roman"/>
          <w:lang w:val="en-US" w:eastAsia="zh-CN"/>
        </w:rPr>
        <w:t>5</w:t>
      </w:r>
      <w:r>
        <w:rPr>
          <w:rFonts w:hint="eastAsia" w:hAnsi="Times New Roman" w:cs="Times New Roman"/>
          <w:lang w:val="en-US" w:eastAsia="zh-CN"/>
        </w:rPr>
        <w:t>.2.2铜的含量测定</w:t>
      </w:r>
    </w:p>
    <w:p w14:paraId="0248313F">
      <w:pPr>
        <w:pStyle w:val="63"/>
        <w:numPr>
          <w:ilvl w:val="2"/>
          <w:numId w:val="0"/>
        </w:numPr>
        <w:ind w:leftChars="0"/>
        <w:rPr>
          <w:rFonts w:hint="eastAsia" w:hAnsi="Times New Roman" w:cs="Times New Roman"/>
          <w:lang w:val="en-US" w:eastAsia="zh-CN"/>
        </w:rPr>
      </w:pPr>
      <w:r>
        <w:rPr>
          <w:rFonts w:hint="eastAsia" w:cs="Times New Roman"/>
          <w:lang w:val="en-US" w:eastAsia="zh-CN"/>
        </w:rPr>
        <w:t>5</w:t>
      </w:r>
      <w:r>
        <w:rPr>
          <w:rFonts w:hint="eastAsia" w:hAnsi="Times New Roman" w:cs="Times New Roman"/>
          <w:lang w:val="en-US" w:eastAsia="zh-CN"/>
        </w:rPr>
        <w:t>.2.2.1 碘量法</w:t>
      </w:r>
    </w:p>
    <w:p w14:paraId="38123175">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rPr>
        <w:t>按</w:t>
      </w:r>
      <w:r>
        <w:rPr>
          <w:rFonts w:hint="eastAsia" w:ascii="Times New Roman" w:hAnsi="Times New Roman" w:eastAsia="宋体" w:cs="Times New Roman"/>
          <w:b/>
          <w:bCs/>
          <w:color w:val="0000FF"/>
        </w:rPr>
        <w:t>SB/T 10404-2006</w:t>
      </w:r>
      <w:r>
        <w:rPr>
          <w:rFonts w:hint="eastAsia" w:ascii="Times New Roman" w:hAnsi="Times New Roman" w:eastAsia="宋体" w:cs="Times New Roman"/>
        </w:rPr>
        <w:t>第10章</w:t>
      </w:r>
      <w:r>
        <w:rPr>
          <w:rFonts w:hint="eastAsia" w:ascii="宋体" w:hAnsi="宋体" w:eastAsia="宋体" w:cs="宋体"/>
        </w:rPr>
        <w:t>规定执行。</w:t>
      </w:r>
    </w:p>
    <w:p w14:paraId="53F92046">
      <w:pPr>
        <w:pStyle w:val="64"/>
        <w:numPr>
          <w:ilvl w:val="0"/>
          <w:numId w:val="0"/>
        </w:numPr>
        <w:rPr>
          <w:rFonts w:hint="eastAsia"/>
          <w:color w:val="auto"/>
        </w:rPr>
      </w:pPr>
      <w:r>
        <w:rPr>
          <w:rFonts w:hint="eastAsia"/>
          <w:color w:val="auto"/>
          <w:lang w:val="en-US" w:eastAsia="zh-CN"/>
        </w:rPr>
        <w:t>5</w:t>
      </w:r>
      <w:r>
        <w:rPr>
          <w:rFonts w:hint="eastAsia"/>
          <w:color w:val="auto"/>
        </w:rPr>
        <w:t>.2.2.2  EDTA滴定法</w:t>
      </w:r>
    </w:p>
    <w:p w14:paraId="2564407E">
      <w:pPr>
        <w:pStyle w:val="65"/>
        <w:numPr>
          <w:ilvl w:val="0"/>
          <w:numId w:val="0"/>
        </w:numPr>
        <w:rPr>
          <w:rStyle w:val="81"/>
          <w:rFonts w:hint="eastAsia"/>
        </w:rPr>
      </w:pPr>
      <w:r>
        <w:rPr>
          <w:rFonts w:hint="eastAsia"/>
          <w:lang w:val="en-US" w:eastAsia="zh-CN"/>
        </w:rPr>
        <w:t>5</w:t>
      </w:r>
      <w:r>
        <w:rPr>
          <w:rFonts w:hint="eastAsia"/>
        </w:rPr>
        <w:t xml:space="preserve">.2.2.2.1  </w:t>
      </w:r>
      <w:r>
        <w:rPr>
          <w:rStyle w:val="81"/>
          <w:rFonts w:hint="eastAsia"/>
        </w:rPr>
        <w:t>试剂</w:t>
      </w:r>
    </w:p>
    <w:p w14:paraId="146916C0">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10％醋酸水溶液；</w:t>
      </w:r>
    </w:p>
    <w:p w14:paraId="10BC89D3">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0.1％甲基百里酚蓝指示剂；</w:t>
      </w:r>
    </w:p>
    <w:p w14:paraId="0F0E029B">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0.05mol/L EDTA标准溶液。</w:t>
      </w:r>
    </w:p>
    <w:p w14:paraId="1F0A25D2">
      <w:pPr>
        <w:pStyle w:val="65"/>
        <w:numPr>
          <w:ilvl w:val="0"/>
          <w:numId w:val="0"/>
        </w:numPr>
        <w:rPr>
          <w:rFonts w:hint="eastAsia"/>
        </w:rPr>
      </w:pPr>
      <w:r>
        <w:rPr>
          <w:rFonts w:hint="eastAsia"/>
          <w:lang w:val="en-US" w:eastAsia="zh-CN"/>
        </w:rPr>
        <w:t>5</w:t>
      </w:r>
      <w:r>
        <w:rPr>
          <w:rFonts w:hint="eastAsia"/>
        </w:rPr>
        <w:t>.2.2.2.2  测定</w:t>
      </w:r>
    </w:p>
    <w:p w14:paraId="5851EE35">
      <w:pPr>
        <w:pStyle w:val="43"/>
        <w:numPr>
          <w:ilvl w:val="1"/>
          <w:numId w:val="0"/>
        </w:numPr>
        <w:autoSpaceDE/>
        <w:autoSpaceDN/>
        <w:ind w:leftChars="0" w:firstLine="420" w:firstLineChars="200"/>
        <w:rPr>
          <w:rFonts w:hint="default" w:eastAsia="黑体"/>
          <w:lang w:val="en-US" w:eastAsia="zh-CN"/>
        </w:rPr>
      </w:pPr>
      <w:r>
        <w:rPr>
          <w:rFonts w:hint="eastAsia" w:ascii="宋体" w:hAnsi="宋体" w:eastAsia="宋体" w:cs="宋体"/>
        </w:rPr>
        <w:t>称取B溶液10g（精确至0.001g）（C溶液），放入250mL的锥形瓶中，加40mL水和3mL10％醋酸溶液，加入1mL甲基百里酚蓝指示剂溶液，混合均匀，此时，溶液呈深蓝色。慢慢用EDTA溶液滴定至颜色从蓝色变成浅绿色。记录所用去的EDTA溶液的体积。</w:t>
      </w:r>
    </w:p>
    <w:p w14:paraId="180B5043">
      <w:pPr>
        <w:pStyle w:val="65"/>
        <w:numPr>
          <w:ilvl w:val="0"/>
          <w:numId w:val="0"/>
        </w:numPr>
        <w:rPr>
          <w:rFonts w:hint="eastAsia"/>
        </w:rPr>
      </w:pPr>
      <w:r>
        <w:rPr>
          <w:rFonts w:hint="eastAsia"/>
          <w:lang w:val="en-US" w:eastAsia="zh-CN"/>
        </w:rPr>
        <w:t>5</w:t>
      </w:r>
      <w:r>
        <w:rPr>
          <w:rFonts w:hint="eastAsia"/>
        </w:rPr>
        <w:t>.2.2.2.3  计算</w:t>
      </w:r>
    </w:p>
    <w:p w14:paraId="65D29519">
      <w:pPr>
        <w:pStyle w:val="43"/>
        <w:numPr>
          <w:ilvl w:val="1"/>
          <w:numId w:val="0"/>
        </w:numPr>
        <w:ind w:left="420" w:leftChars="0"/>
        <w:rPr>
          <w:rFonts w:hint="eastAsia" w:ascii="宋体" w:hAnsi="宋体" w:eastAsia="宋体" w:cs="宋体"/>
        </w:rPr>
      </w:pPr>
      <w:r>
        <w:rPr>
          <w:rFonts w:hint="eastAsia" w:ascii="宋体" w:hAnsi="宋体" w:eastAsia="宋体" w:cs="宋体"/>
        </w:rPr>
        <w:t>样品的稀释倍数，按式（1）计算：</w:t>
      </w:r>
    </w:p>
    <w:p w14:paraId="26C1EB2C">
      <w:pPr>
        <w:pStyle w:val="43"/>
        <w:numPr>
          <w:ilvl w:val="1"/>
          <w:numId w:val="0"/>
        </w:numPr>
        <w:ind w:left="0" w:leftChars="0" w:firstLine="2520" w:firstLineChars="1200"/>
        <w:rPr>
          <w:rFonts w:hint="eastAsia"/>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5.3　</w:t>
      </w:r>
      <w:r>
        <w:rPr>
          <w:position w:val="-30"/>
        </w:rPr>
        <w:object>
          <v:shape id="_x0000_i1025" o:spt="75" type="#_x0000_t75" style="height:34pt;width:49.9pt;" o:ole="t" filled="f" o:preferrelative="t" stroked="f" coordsize="21600,21600">
            <v:path/>
            <v:fill on="f" alignshape="1" focussize="0,0"/>
            <v:stroke on="f"/>
            <v:imagedata r:id="rId17" o:title=""/>
            <o:lock v:ext="edit" aspectratio="t"/>
            <w10:wrap type="none"/>
            <w10:anchorlock/>
          </v:shape>
          <o:OLEObject Type="Embed" ProgID="Equation.3" ShapeID="_x0000_i1025" DrawAspect="Content" ObjectID="_1468075725" r:id="rId16">
            <o:LockedField>false</o:LockedField>
          </o:OLEObject>
        </w:object>
      </w:r>
      <w:r>
        <w:rPr>
          <w:rFonts w:hint="eastAsia"/>
        </w:rPr>
        <w:t xml:space="preserve">                           ……………………（</w:t>
      </w:r>
      <w:r>
        <w:rPr>
          <w:rFonts w:ascii="Times New Roman"/>
        </w:rPr>
        <w:t>1</w:t>
      </w:r>
      <w:r>
        <w:rPr>
          <w:rFonts w:hint="eastAsia"/>
        </w:rPr>
        <w:t>）</w:t>
      </w:r>
    </w:p>
    <w:p w14:paraId="5C7C32F3">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rPr>
        <w:t>式中：</w:t>
      </w:r>
    </w:p>
    <w:p w14:paraId="5419FB46">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rPr>
        <w:t>DF——样品的稀释倍数；</w:t>
      </w:r>
    </w:p>
    <w:p w14:paraId="1A37446E">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rPr>
        <w:t>m</w:t>
      </w:r>
      <w:r>
        <w:rPr>
          <w:rFonts w:hint="eastAsia" w:ascii="宋体" w:hAnsi="宋体" w:eastAsia="宋体" w:cs="宋体"/>
          <w:vertAlign w:val="subscript"/>
        </w:rPr>
        <w:t>A</w:t>
      </w:r>
      <w:r>
        <w:rPr>
          <w:rFonts w:hint="eastAsia" w:ascii="宋体" w:hAnsi="宋体" w:eastAsia="宋体" w:cs="宋体"/>
        </w:rPr>
        <w:t>——A溶液质量，单位为克（g）；</w:t>
      </w:r>
    </w:p>
    <w:p w14:paraId="6C691DE8">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rPr>
        <w:t>m</w:t>
      </w:r>
      <w:r>
        <w:rPr>
          <w:rFonts w:hint="eastAsia" w:ascii="宋体" w:hAnsi="宋体" w:eastAsia="宋体" w:cs="宋体"/>
          <w:vertAlign w:val="subscript"/>
        </w:rPr>
        <w:t>B</w:t>
      </w:r>
      <w:r>
        <w:rPr>
          <w:rFonts w:hint="eastAsia" w:ascii="宋体" w:hAnsi="宋体" w:eastAsia="宋体" w:cs="宋体"/>
        </w:rPr>
        <w:t xml:space="preserve"> ——B溶液质量,单位为克（g）。</w:t>
      </w:r>
    </w:p>
    <w:p w14:paraId="45A9E6A6">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rPr>
        <w:t xml:space="preserve">样品中铜的含量，以氧化铜计，按式（2）计算：        </w:t>
      </w:r>
    </w:p>
    <w:p w14:paraId="25B6C2D3">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object>
          <v:shape id="_x0000_i1026" o:spt="75" type="#_x0000_t75" style="height:34pt;width:148pt;" o:ole="t" filled="f" o:preferrelative="t" stroked="f" coordsize="21600,21600">
            <v:path/>
            <v:fill on="f" alignshape="1" focussize="0,0"/>
            <v:stroke on="f"/>
            <v:imagedata r:id="rId19" o:title=""/>
            <o:lock v:ext="edit" aspectratio="t"/>
            <w10:wrap type="none"/>
            <w10:anchorlock/>
          </v:shape>
          <o:OLEObject Type="Embed" ProgID="Equation.3" ShapeID="_x0000_i1026" DrawAspect="Content" ObjectID="_1468075726" r:id="rId18">
            <o:LockedField>false</o:LockedField>
          </o:OLEObject>
        </w:object>
      </w:r>
      <w:r>
        <w:rPr>
          <w:rFonts w:hint="eastAsia" w:ascii="宋体" w:hAnsi="宋体" w:eastAsia="宋体" w:cs="宋体"/>
        </w:rPr>
        <w:t xml:space="preserve">              ……………………（2）</w:t>
      </w:r>
    </w:p>
    <w:p w14:paraId="60D53861">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rPr>
        <w:t>式中：</w:t>
      </w:r>
    </w:p>
    <w:p w14:paraId="48FFCCE9">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rPr>
        <w:t>w</w:t>
      </w:r>
      <w:r>
        <w:rPr>
          <w:rFonts w:hint="eastAsia" w:ascii="宋体" w:hAnsi="宋体" w:eastAsia="宋体" w:cs="宋体"/>
          <w:vertAlign w:val="subscript"/>
        </w:rPr>
        <w:t>CuO</w:t>
      </w:r>
      <w:r>
        <w:rPr>
          <w:rFonts w:hint="eastAsia" w:ascii="宋体" w:hAnsi="宋体" w:eastAsia="宋体" w:cs="宋体"/>
        </w:rPr>
        <w:t xml:space="preserve"> ——样品中氧化铜的百分含量，%；</w:t>
      </w:r>
    </w:p>
    <w:p w14:paraId="2B04AB39">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rPr>
        <w:t>V ——滴定所用EDTA标准溶液的体积，单位为毫升（mL）;</w:t>
      </w:r>
    </w:p>
    <w:p w14:paraId="45FB28EB">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rPr>
        <w:t>C</w:t>
      </w:r>
      <w:r>
        <w:rPr>
          <w:rFonts w:hint="eastAsia" w:ascii="宋体" w:hAnsi="宋体" w:eastAsia="宋体" w:cs="宋体"/>
          <w:vertAlign w:val="subscript"/>
        </w:rPr>
        <w:t>EDTA</w:t>
      </w:r>
      <w:r>
        <w:rPr>
          <w:rFonts w:hint="eastAsia" w:ascii="宋体" w:hAnsi="宋体" w:eastAsia="宋体" w:cs="宋体"/>
        </w:rPr>
        <w:t xml:space="preserve"> ——EDTA标准溶液的摩尔浓度，单位为摩尔每升（mol/L）；</w:t>
      </w:r>
    </w:p>
    <w:p w14:paraId="4059B028">
      <w:pPr>
        <w:pStyle w:val="43"/>
        <w:numPr>
          <w:ilvl w:val="1"/>
          <w:numId w:val="0"/>
        </w:numPr>
        <w:autoSpaceDE/>
        <w:autoSpaceDN/>
        <w:ind w:leftChars="0" w:firstLine="420" w:firstLineChars="200"/>
        <w:rPr>
          <w:rFonts w:hint="eastAsia" w:ascii="宋体" w:hAnsi="宋体" w:eastAsia="宋体" w:cs="宋体"/>
        </w:rPr>
      </w:pPr>
      <w:r>
        <w:rPr>
          <w:rFonts w:hint="eastAsia" w:ascii="宋体" w:hAnsi="宋体" w:eastAsia="宋体" w:cs="宋体"/>
        </w:rPr>
        <w:t>m</w:t>
      </w:r>
      <w:r>
        <w:rPr>
          <w:rFonts w:hint="eastAsia" w:ascii="宋体" w:hAnsi="宋体" w:eastAsia="宋体" w:cs="宋体"/>
          <w:vertAlign w:val="subscript"/>
        </w:rPr>
        <w:t>C</w:t>
      </w:r>
      <w:r>
        <w:rPr>
          <w:rFonts w:hint="eastAsia" w:ascii="宋体" w:hAnsi="宋体" w:eastAsia="宋体" w:cs="宋体"/>
        </w:rPr>
        <w:t>—— C溶液质量，单位为克（g）。</w:t>
      </w:r>
    </w:p>
    <w:p w14:paraId="31314244">
      <w:pPr>
        <w:pStyle w:val="64"/>
        <w:numPr>
          <w:ilvl w:val="0"/>
          <w:numId w:val="0"/>
        </w:numPr>
        <w:spacing w:line="240" w:lineRule="auto"/>
        <w:rPr>
          <w:rFonts w:hint="eastAsia" w:hAnsi="Times New Roman"/>
          <w:color w:val="auto"/>
          <w:lang w:val="en-US" w:eastAsia="zh-CN"/>
        </w:rPr>
      </w:pPr>
      <w:r>
        <w:rPr>
          <w:rFonts w:hint="eastAsia"/>
          <w:color w:val="auto"/>
          <w:lang w:val="en-US" w:eastAsia="zh-CN"/>
        </w:rPr>
        <w:t>5</w:t>
      </w:r>
      <w:r>
        <w:rPr>
          <w:rFonts w:hint="eastAsia" w:hAnsi="Times New Roman"/>
          <w:color w:val="auto"/>
          <w:lang w:val="en-US" w:eastAsia="zh-CN"/>
        </w:rPr>
        <w:t>.2.2</w:t>
      </w:r>
      <w:r>
        <w:rPr>
          <w:rFonts w:hint="eastAsia" w:hAnsi="Times New Roman" w:cs="Times New Roman"/>
          <w:color w:val="auto"/>
          <w:lang w:val="en-US" w:eastAsia="zh-CN"/>
        </w:rPr>
        <w:t xml:space="preserve">.3 </w:t>
      </w:r>
      <w:r>
        <w:rPr>
          <w:rFonts w:hint="eastAsia" w:ascii="黑体" w:hAnsi="Times New Roman" w:eastAsia="黑体" w:cs="Times New Roman"/>
          <w:sz w:val="21"/>
          <w:szCs w:val="21"/>
          <w:lang w:val="en-US" w:eastAsia="zh-CN" w:bidi="ar-SA"/>
        </w:rPr>
        <w:t>ICP-oes法</w:t>
      </w:r>
      <w:r>
        <w:rPr>
          <w:rFonts w:hint="default" w:ascii="黑体" w:hAnsi="Times New Roman" w:eastAsia="黑体" w:cs="Times New Roman"/>
          <w:sz w:val="21"/>
          <w:szCs w:val="21"/>
          <w:lang w:val="en-US" w:eastAsia="zh-CN" w:bidi="ar-SA"/>
        </w:rPr>
        <w:t>测</w:t>
      </w:r>
      <w:r>
        <w:rPr>
          <w:rFonts w:hint="eastAsia" w:ascii="黑体" w:hAnsi="Times New Roman" w:eastAsia="黑体" w:cs="Times New Roman"/>
          <w:sz w:val="21"/>
          <w:szCs w:val="21"/>
          <w:lang w:val="en-US" w:eastAsia="zh-CN" w:bidi="ar-SA"/>
        </w:rPr>
        <w:t>ACQ型防腐剂中</w:t>
      </w:r>
      <w:r>
        <w:rPr>
          <w:rFonts w:hint="default" w:ascii="黑体" w:hAnsi="Times New Roman" w:eastAsia="黑体" w:cs="Times New Roman"/>
          <w:sz w:val="21"/>
          <w:szCs w:val="21"/>
          <w:lang w:val="en-US" w:eastAsia="zh-CN" w:bidi="ar-SA"/>
        </w:rPr>
        <w:t>铜</w:t>
      </w:r>
    </w:p>
    <w:p w14:paraId="69C6968D">
      <w:pPr>
        <w:pStyle w:val="43"/>
        <w:numPr>
          <w:ilvl w:val="0"/>
          <w:numId w:val="0"/>
        </w:numPr>
        <w:autoSpaceDE/>
        <w:autoSpaceDN/>
        <w:ind w:firstLine="420" w:firstLineChars="200"/>
        <w:rPr>
          <w:rFonts w:hint="default" w:ascii="Times New Roman" w:hAnsi="Times New Roman" w:eastAsia="黑体" w:cs="Times New Roman"/>
          <w:lang w:val="en-US" w:eastAsia="zh-CN"/>
        </w:rPr>
      </w:pPr>
      <w:r>
        <w:rPr>
          <w:rFonts w:hint="eastAsia" w:ascii="宋体" w:hAnsi="宋体" w:eastAsia="宋体"/>
          <w:lang w:val="en-US" w:eastAsia="zh-CN"/>
        </w:rPr>
        <w:t>按JC/</w:t>
      </w:r>
      <w:r>
        <w:rPr>
          <w:rFonts w:hint="default" w:ascii="Times New Roman" w:hAnsi="Times New Roman" w:eastAsia="宋体" w:cs="Times New Roman"/>
          <w:lang w:val="en-US" w:eastAsia="zh-CN"/>
        </w:rPr>
        <w:t>T XXXXX-20XX《水载型防腐剂和阻燃剂主要成分的测定》中15的规定进行。</w:t>
      </w:r>
    </w:p>
    <w:p w14:paraId="7F622738">
      <w:pPr>
        <w:pStyle w:val="64"/>
        <w:numPr>
          <w:ilvl w:val="0"/>
          <w:numId w:val="0"/>
        </w:numPr>
        <w:spacing w:line="240" w:lineRule="auto"/>
        <w:rPr>
          <w:rFonts w:hint="default" w:ascii="Times New Roman" w:hAnsi="Times New Roman" w:cs="Times New Roman"/>
          <w:color w:val="auto"/>
          <w:lang w:val="en-US" w:eastAsia="zh-CN"/>
        </w:rPr>
      </w:pPr>
      <w:r>
        <w:rPr>
          <w:rFonts w:hint="eastAsia"/>
          <w:color w:val="auto"/>
          <w:lang w:val="en-US" w:eastAsia="zh-CN"/>
        </w:rPr>
        <w:t>5</w:t>
      </w:r>
      <w:r>
        <w:rPr>
          <w:rFonts w:hint="default" w:hAnsi="Times New Roman"/>
          <w:color w:val="auto"/>
          <w:lang w:val="en-US" w:eastAsia="zh-CN"/>
        </w:rPr>
        <w:t>.2.2.4</w:t>
      </w:r>
      <w:r>
        <w:rPr>
          <w:rFonts w:hint="eastAsia" w:hAnsi="Times New Roman"/>
          <w:color w:val="auto"/>
          <w:lang w:val="en-US" w:eastAsia="zh-CN"/>
        </w:rPr>
        <w:t xml:space="preserve"> </w:t>
      </w:r>
      <w:r>
        <w:rPr>
          <w:rFonts w:hint="default" w:ascii="黑体" w:hAnsi="Times New Roman" w:eastAsia="黑体" w:cs="Times New Roman"/>
          <w:sz w:val="21"/>
          <w:szCs w:val="21"/>
          <w:lang w:val="en-US" w:eastAsia="zh-CN" w:bidi="ar-SA"/>
        </w:rPr>
        <w:t xml:space="preserve"> ICP-MS法测ACQ型防腐剂中铜</w:t>
      </w:r>
    </w:p>
    <w:p w14:paraId="53504405">
      <w:pPr>
        <w:pStyle w:val="43"/>
        <w:numPr>
          <w:ilvl w:val="0"/>
          <w:numId w:val="0"/>
        </w:numPr>
        <w:autoSpaceDE/>
        <w:autoSpaceDN/>
        <w:ind w:firstLine="420" w:firstLineChars="200"/>
        <w:rPr>
          <w:rFonts w:hint="default" w:ascii="Times New Roman" w:hAnsi="Times New Roman" w:eastAsia="黑体" w:cs="Times New Roman"/>
          <w:lang w:val="en-US" w:eastAsia="zh-CN"/>
        </w:rPr>
      </w:pPr>
      <w:r>
        <w:rPr>
          <w:rFonts w:hint="default" w:ascii="Times New Roman" w:hAnsi="Times New Roman" w:eastAsia="宋体" w:cs="Times New Roman"/>
          <w:lang w:val="en-US" w:eastAsia="zh-CN"/>
        </w:rPr>
        <w:t>按JC/T XXXXX-20XX《水载型防腐剂和阻燃剂主要成分的测定》中16的规定进行。</w:t>
      </w:r>
    </w:p>
    <w:p w14:paraId="1F8F2862">
      <w:pPr>
        <w:pStyle w:val="63"/>
        <w:numPr>
          <w:ilvl w:val="2"/>
          <w:numId w:val="0"/>
        </w:numPr>
        <w:ind w:leftChars="0"/>
        <w:rPr>
          <w:rFonts w:hint="eastAsia" w:hAnsi="Times New Roman" w:cs="Times New Roman"/>
          <w:lang w:val="en-US" w:eastAsia="zh-CN"/>
        </w:rPr>
      </w:pPr>
      <w:r>
        <w:rPr>
          <w:rFonts w:hint="eastAsia" w:cs="Times New Roman"/>
          <w:lang w:val="en-US" w:eastAsia="zh-CN"/>
        </w:rPr>
        <w:t>5</w:t>
      </w:r>
      <w:r>
        <w:rPr>
          <w:rFonts w:hint="eastAsia" w:hAnsi="Times New Roman" w:cs="Times New Roman"/>
          <w:lang w:val="en-US" w:eastAsia="zh-CN"/>
        </w:rPr>
        <w:t>.2.3 季铵盐</w:t>
      </w:r>
      <w:r>
        <w:rPr>
          <w:rFonts w:hint="eastAsia"/>
        </w:rPr>
        <w:t>（DDAC、BAC）的</w:t>
      </w:r>
      <w:r>
        <w:rPr>
          <w:rFonts w:hint="eastAsia" w:hAnsi="Times New Roman" w:cs="Times New Roman"/>
          <w:lang w:val="en-US" w:eastAsia="zh-CN"/>
        </w:rPr>
        <w:t>含量测定</w:t>
      </w:r>
    </w:p>
    <w:p w14:paraId="272EF000">
      <w:pPr>
        <w:pStyle w:val="43"/>
        <w:numPr>
          <w:ilvl w:val="1"/>
          <w:numId w:val="0"/>
        </w:numPr>
        <w:ind w:leftChars="0"/>
        <w:rPr>
          <w:rFonts w:hint="default" w:ascii="黑体" w:hAnsi="Times New Roman" w:eastAsia="黑体" w:cs="黑体"/>
          <w:sz w:val="21"/>
          <w:szCs w:val="21"/>
          <w:lang w:val="en-US" w:eastAsia="zh-CN" w:bidi="ar-SA"/>
        </w:rPr>
      </w:pPr>
      <w:r>
        <w:rPr>
          <w:rFonts w:hint="eastAsia" w:hAnsi="Times New Roman" w:cs="黑体"/>
          <w:sz w:val="21"/>
          <w:szCs w:val="21"/>
          <w:lang w:val="en-US" w:eastAsia="zh-CN" w:bidi="ar-SA"/>
        </w:rPr>
        <w:t>5</w:t>
      </w:r>
      <w:r>
        <w:rPr>
          <w:rFonts w:hint="eastAsia" w:ascii="黑体" w:hAnsi="Times New Roman" w:eastAsia="黑体" w:cs="黑体"/>
          <w:sz w:val="21"/>
          <w:szCs w:val="21"/>
          <w:lang w:val="en-US" w:eastAsia="zh-CN" w:bidi="ar-SA"/>
        </w:rPr>
        <w:t xml:space="preserve">.2.3.1 </w:t>
      </w:r>
      <w:r>
        <w:rPr>
          <w:rFonts w:hint="eastAsia" w:hAnsi="Times New Roman" w:cs="黑体"/>
          <w:sz w:val="21"/>
          <w:szCs w:val="21"/>
          <w:lang w:val="en-US" w:eastAsia="zh-CN" w:bidi="ar-SA"/>
        </w:rPr>
        <w:t>一般</w:t>
      </w:r>
      <w:r>
        <w:rPr>
          <w:rFonts w:hint="eastAsia" w:ascii="黑体" w:hAnsi="Times New Roman" w:eastAsia="黑体" w:cs="黑体"/>
          <w:sz w:val="21"/>
          <w:szCs w:val="21"/>
          <w:lang w:val="en-US" w:eastAsia="zh-CN" w:bidi="ar-SA"/>
        </w:rPr>
        <w:t>标定法</w:t>
      </w:r>
    </w:p>
    <w:p w14:paraId="2EED0129">
      <w:pPr>
        <w:pStyle w:val="43"/>
        <w:numPr>
          <w:ilvl w:val="0"/>
          <w:numId w:val="0"/>
        </w:numPr>
        <w:autoSpaceDE/>
        <w:autoSpaceDN/>
        <w:ind w:firstLine="420" w:firstLineChars="200"/>
        <w:rPr>
          <w:rFonts w:hint="default" w:ascii="Times New Roman" w:hAnsi="Times New Roman" w:eastAsia="黑体" w:cs="Times New Roman"/>
          <w:lang w:val="en-US" w:eastAsia="zh-CN"/>
        </w:rPr>
      </w:pPr>
      <w:r>
        <w:rPr>
          <w:rFonts w:hint="eastAsia" w:ascii="Times New Roman" w:hAnsi="Times New Roman" w:eastAsia="宋体" w:cs="Times New Roman"/>
          <w:lang w:val="en-US" w:eastAsia="zh-CN"/>
        </w:rPr>
        <w:t>按JC/</w:t>
      </w:r>
      <w:r>
        <w:rPr>
          <w:rFonts w:hint="default" w:ascii="Times New Roman" w:hAnsi="Times New Roman" w:eastAsia="宋体" w:cs="Times New Roman"/>
          <w:lang w:val="en-US" w:eastAsia="zh-CN"/>
        </w:rPr>
        <w:t>T XXXXX-20XX《水载型防腐剂和阻燃剂主要成分的测定》中1</w:t>
      </w:r>
      <w:r>
        <w:rPr>
          <w:rFonts w:hint="eastAsia" w:ascii="Times New Roman" w:hAnsi="Times New Roman" w:eastAsia="宋体" w:cs="Times New Roman"/>
          <w:lang w:val="en-US" w:eastAsia="zh-CN"/>
        </w:rPr>
        <w:t>4</w:t>
      </w:r>
      <w:r>
        <w:rPr>
          <w:rFonts w:hint="default" w:ascii="Times New Roman" w:hAnsi="Times New Roman" w:eastAsia="宋体" w:cs="Times New Roman"/>
          <w:lang w:val="en-US" w:eastAsia="zh-CN"/>
        </w:rPr>
        <w:t>的规定进行。</w:t>
      </w:r>
    </w:p>
    <w:p w14:paraId="71719F7A">
      <w:pPr>
        <w:pStyle w:val="43"/>
        <w:numPr>
          <w:ilvl w:val="1"/>
          <w:numId w:val="0"/>
        </w:numPr>
        <w:ind w:leftChars="0"/>
        <w:rPr>
          <w:rFonts w:hint="default" w:ascii="黑体" w:hAnsi="Times New Roman" w:eastAsia="黑体" w:cs="黑体"/>
          <w:sz w:val="21"/>
          <w:szCs w:val="21"/>
          <w:lang w:val="en-US" w:eastAsia="zh-CN" w:bidi="ar-SA"/>
        </w:rPr>
      </w:pPr>
      <w:r>
        <w:rPr>
          <w:rFonts w:hint="eastAsia" w:hAnsi="Times New Roman" w:cs="黑体"/>
          <w:sz w:val="21"/>
          <w:szCs w:val="21"/>
          <w:lang w:val="en-US" w:eastAsia="zh-CN" w:bidi="ar-SA"/>
        </w:rPr>
        <w:t>5</w:t>
      </w:r>
      <w:r>
        <w:rPr>
          <w:rFonts w:hint="eastAsia" w:ascii="黑体" w:hAnsi="Times New Roman" w:eastAsia="黑体" w:cs="黑体"/>
          <w:sz w:val="21"/>
          <w:szCs w:val="21"/>
          <w:lang w:val="en-US" w:eastAsia="zh-CN" w:bidi="ar-SA"/>
        </w:rPr>
        <w:t>.2.3.2 自动电位滴定仪标定法</w:t>
      </w:r>
      <w:r>
        <w:rPr>
          <w:rFonts w:hint="default" w:ascii="黑体" w:hAnsi="Times New Roman" w:eastAsia="黑体" w:cs="黑体"/>
          <w:sz w:val="21"/>
          <w:szCs w:val="21"/>
          <w:lang w:val="en-US" w:eastAsia="zh-CN" w:bidi="ar-SA"/>
        </w:rPr>
        <w:t>测ACQ型防腐剂中季铵盐</w:t>
      </w:r>
    </w:p>
    <w:p w14:paraId="1473568A">
      <w:pPr>
        <w:pStyle w:val="64"/>
        <w:numPr>
          <w:ilvl w:val="4"/>
          <w:numId w:val="0"/>
        </w:numPr>
        <w:ind w:leftChars="0"/>
        <w:rPr>
          <w:rFonts w:hint="eastAsia"/>
        </w:rPr>
      </w:pPr>
      <w:r>
        <w:rPr>
          <w:rFonts w:hint="eastAsia"/>
          <w:lang w:val="en-US" w:eastAsia="zh-CN"/>
        </w:rPr>
        <w:t>5.2.3.2.1</w:t>
      </w:r>
      <w:r>
        <w:rPr>
          <w:rFonts w:hint="eastAsia"/>
        </w:rPr>
        <w:t>仪器装置</w:t>
      </w:r>
    </w:p>
    <w:p w14:paraId="3429F5EE">
      <w:pPr>
        <w:pStyle w:val="43"/>
        <w:numPr>
          <w:ilvl w:val="0"/>
          <w:numId w:val="0"/>
        </w:numPr>
        <w:autoSpaceDE/>
        <w:autoSpaceDN/>
        <w:ind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（1）自动电位滴定仪</w:t>
      </w:r>
    </w:p>
    <w:p w14:paraId="3AC46880">
      <w:pPr>
        <w:pStyle w:val="43"/>
        <w:numPr>
          <w:ilvl w:val="0"/>
          <w:numId w:val="0"/>
        </w:numPr>
        <w:autoSpaceDE/>
        <w:autoSpaceDN/>
        <w:ind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（2）分析天平，精度0.0001g</w:t>
      </w:r>
    </w:p>
    <w:p w14:paraId="2D6AD7DA">
      <w:pPr>
        <w:pStyle w:val="43"/>
        <w:numPr>
          <w:ilvl w:val="0"/>
          <w:numId w:val="0"/>
        </w:numPr>
        <w:autoSpaceDE/>
        <w:autoSpaceDN/>
        <w:ind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（3）电热鼓风干燥箱</w:t>
      </w:r>
    </w:p>
    <w:p w14:paraId="6D9EF016">
      <w:pPr>
        <w:pStyle w:val="43"/>
        <w:numPr>
          <w:ilvl w:val="0"/>
          <w:numId w:val="0"/>
        </w:numPr>
        <w:autoSpaceDE/>
        <w:autoSpaceDN/>
        <w:ind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（4）2mL、5mL、50mL和10mL移液管</w:t>
      </w:r>
    </w:p>
    <w:p w14:paraId="15DEF1DC">
      <w:pPr>
        <w:pStyle w:val="43"/>
        <w:numPr>
          <w:ilvl w:val="0"/>
          <w:numId w:val="0"/>
        </w:numPr>
        <w:autoSpaceDE/>
        <w:autoSpaceDN/>
        <w:ind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（5）100mL量筒</w:t>
      </w:r>
    </w:p>
    <w:p w14:paraId="31B43BF4">
      <w:pPr>
        <w:pStyle w:val="43"/>
        <w:numPr>
          <w:ilvl w:val="0"/>
          <w:numId w:val="0"/>
        </w:numPr>
        <w:autoSpaceDE/>
        <w:autoSpaceDN/>
        <w:ind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（6）100mL、250mL、500mL和1000mL容量瓶</w:t>
      </w:r>
    </w:p>
    <w:p w14:paraId="36F0CE92">
      <w:pPr>
        <w:pStyle w:val="43"/>
        <w:numPr>
          <w:ilvl w:val="0"/>
          <w:numId w:val="0"/>
        </w:numPr>
        <w:autoSpaceDE/>
        <w:autoSpaceDN/>
        <w:ind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（7） 萃取瓶</w:t>
      </w:r>
    </w:p>
    <w:p w14:paraId="6498039E">
      <w:pPr>
        <w:pStyle w:val="64"/>
        <w:numPr>
          <w:ilvl w:val="4"/>
          <w:numId w:val="0"/>
        </w:numPr>
        <w:ind w:leftChars="0"/>
        <w:rPr>
          <w:rFonts w:hint="default" w:hAnsi="Times New Roman" w:cs="Times New Roman"/>
          <w:lang w:val="en-US" w:eastAsia="zh-CN"/>
        </w:rPr>
      </w:pPr>
      <w:r>
        <w:rPr>
          <w:rFonts w:hint="eastAsia" w:cs="Times New Roman"/>
          <w:lang w:val="en-US" w:eastAsia="zh-CN"/>
        </w:rPr>
        <w:t>5</w:t>
      </w:r>
      <w:r>
        <w:rPr>
          <w:rFonts w:hint="eastAsia" w:hAnsi="Times New Roman" w:cs="Times New Roman"/>
          <w:lang w:val="en-US" w:eastAsia="zh-CN"/>
        </w:rPr>
        <w:t>.2.3.2.2</w:t>
      </w:r>
      <w:r>
        <w:rPr>
          <w:rFonts w:hint="default" w:hAnsi="Times New Roman" w:cs="Times New Roman"/>
          <w:lang w:val="en-US" w:eastAsia="zh-CN"/>
        </w:rPr>
        <w:t>试剂</w:t>
      </w:r>
    </w:p>
    <w:p w14:paraId="0E8BEE46">
      <w:pPr>
        <w:pStyle w:val="43"/>
        <w:numPr>
          <w:ilvl w:val="0"/>
          <w:numId w:val="0"/>
        </w:numPr>
        <w:autoSpaceDE/>
        <w:autoSpaceDN/>
        <w:ind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（1）海明1622（苄基氯化物），优级纯。</w:t>
      </w:r>
    </w:p>
    <w:p w14:paraId="1CF441D0">
      <w:pPr>
        <w:pStyle w:val="43"/>
        <w:numPr>
          <w:ilvl w:val="0"/>
          <w:numId w:val="0"/>
        </w:numPr>
        <w:autoSpaceDE/>
        <w:autoSpaceDN/>
        <w:ind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（2）四苯硼钠（STPB），优级纯。 </w:t>
      </w:r>
    </w:p>
    <w:p w14:paraId="35A84FB8">
      <w:pPr>
        <w:pStyle w:val="64"/>
        <w:numPr>
          <w:ilvl w:val="4"/>
          <w:numId w:val="0"/>
        </w:numPr>
        <w:ind w:leftChars="0"/>
        <w:rPr>
          <w:rFonts w:hint="default" w:ascii="Times New Roman" w:hAnsi="Times New Roman" w:cs="Times New Roman"/>
          <w:lang w:val="en-US" w:eastAsia="zh-CN"/>
        </w:rPr>
      </w:pPr>
      <w:r>
        <w:rPr>
          <w:rFonts w:hint="eastAsia" w:cs="Times New Roman"/>
          <w:lang w:val="en-US" w:eastAsia="zh-CN"/>
        </w:rPr>
        <w:t>5</w:t>
      </w:r>
      <w:r>
        <w:rPr>
          <w:rFonts w:hint="eastAsia" w:hAnsi="Times New Roman" w:cs="Times New Roman"/>
          <w:lang w:val="en-US" w:eastAsia="zh-CN"/>
        </w:rPr>
        <w:t>.2</w:t>
      </w:r>
      <w:r>
        <w:rPr>
          <w:rFonts w:hint="default" w:ascii="Times New Roman" w:hAnsi="Times New Roman" w:cs="Times New Roman"/>
          <w:lang w:val="en-US" w:eastAsia="zh-CN"/>
        </w:rPr>
        <w:t>.3.2.3溶液配制</w:t>
      </w:r>
    </w:p>
    <w:p w14:paraId="591F4697">
      <w:pPr>
        <w:pStyle w:val="43"/>
        <w:numPr>
          <w:ilvl w:val="0"/>
          <w:numId w:val="0"/>
        </w:numPr>
        <w:autoSpaceDE/>
        <w:autoSpaceDN/>
        <w:ind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（1）1mol/L NaOH溶液：称取4.0g的氢氧化钠试剂，溶解于约50mL蒸馏水中，转移至100mL容量瓶中。待溶液冷却至室温，用蒸馏水定容。</w:t>
      </w:r>
    </w:p>
    <w:p w14:paraId="7D37ECCC">
      <w:pPr>
        <w:pStyle w:val="43"/>
        <w:numPr>
          <w:ilvl w:val="0"/>
          <w:numId w:val="0"/>
        </w:numPr>
        <w:autoSpaceDE/>
        <w:autoSpaceDN/>
        <w:ind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（2）pH 10的缓冲溶液：称取约1.24g分析纯的硼酸，溶解于约50mL蒸馏水中，转移至100mL容量瓶中。用移液管移取10mL 1mol/L NaOH溶液至容量瓶中，并用蒸馏水定容。</w:t>
      </w:r>
    </w:p>
    <w:p w14:paraId="52DA21AB">
      <w:pPr>
        <w:pStyle w:val="43"/>
        <w:numPr>
          <w:ilvl w:val="0"/>
          <w:numId w:val="0"/>
        </w:numPr>
        <w:autoSpaceDE/>
        <w:autoSpaceDN/>
        <w:ind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（3）0.002mol/L四苯硼钠溶液：称取约0.68g（精确至0.0001g）四苯硼钠，溶解于约500mL蒸馏水中，转移至1000mL容量瓶中。用移液管移取10mL pH10的缓冲溶液至容量瓶中，并用蒸馏水定容。静置24h后使用，有效期为3个月。</w:t>
      </w:r>
    </w:p>
    <w:p w14:paraId="65589405">
      <w:pPr>
        <w:pStyle w:val="43"/>
        <w:numPr>
          <w:ilvl w:val="0"/>
          <w:numId w:val="0"/>
        </w:numPr>
        <w:autoSpaceDE/>
        <w:autoSpaceDN/>
        <w:ind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（4） 0.004mol/L海明1622溶液：取2~3g海明1622试剂在105℃下干燥至质量恒定。称取约1.79g（精确至0.0001g）海明1622，溶解于约500mL蒸馏水中，转移至1000mL容量瓶中，并用蒸馏水定容。静置24h后使用，有效期为3个月。</w:t>
      </w:r>
    </w:p>
    <w:p w14:paraId="3530661C">
      <w:pPr>
        <w:pStyle w:val="43"/>
        <w:numPr>
          <w:ilvl w:val="0"/>
          <w:numId w:val="0"/>
        </w:numPr>
        <w:autoSpaceDE/>
        <w:autoSpaceDN/>
        <w:ind w:firstLine="420" w:firstLine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（5） 0.1mol/L HCl萃取溶液：移取8.33mL HCl至1000mL容量瓶中，用无水乙醇定容。</w:t>
      </w:r>
    </w:p>
    <w:p w14:paraId="3E73F614">
      <w:pPr>
        <w:pStyle w:val="64"/>
        <w:numPr>
          <w:ilvl w:val="4"/>
          <w:numId w:val="0"/>
        </w:numPr>
        <w:ind w:leftChars="0"/>
        <w:rPr>
          <w:rFonts w:hint="default" w:hAnsi="Times New Roman" w:cs="Times New Roman"/>
          <w:lang w:val="en-US" w:eastAsia="zh-CN"/>
        </w:rPr>
      </w:pPr>
      <w:r>
        <w:rPr>
          <w:rFonts w:hint="eastAsia" w:cs="Times New Roman"/>
          <w:lang w:val="en-US" w:eastAsia="zh-CN"/>
        </w:rPr>
        <w:t>5</w:t>
      </w:r>
      <w:r>
        <w:rPr>
          <w:rFonts w:hint="eastAsia" w:hAnsi="Times New Roman" w:cs="Times New Roman"/>
          <w:lang w:val="en-US" w:eastAsia="zh-CN"/>
        </w:rPr>
        <w:t>.2.3.2.4四苯硼钠溶液标定</w:t>
      </w:r>
    </w:p>
    <w:p w14:paraId="5DFFB347">
      <w:pPr>
        <w:pStyle w:val="43"/>
        <w:numPr>
          <w:ilvl w:val="0"/>
          <w:numId w:val="0"/>
        </w:numPr>
        <w:autoSpaceDE/>
        <w:autoSpaceDN/>
        <w:ind w:firstLine="420" w:firstLineChars="200"/>
        <w:rPr>
          <w:rFonts w:hint="default" w:ascii="Times New Roman" w:hAnsi="Times New Roman" w:eastAsia="宋体" w:cs="Times New Roman"/>
          <w:lang w:val="en-US" w:eastAsia="zh-CN"/>
        </w:rPr>
      </w:pPr>
      <w:r>
        <w:rPr>
          <w:rFonts w:hint="eastAsia" w:ascii="宋体" w:hAnsi="宋体" w:eastAsia="宋体" w:cs="Times New Roman"/>
          <w:lang w:val="en-US" w:eastAsia="zh-CN"/>
        </w:rPr>
        <w:t>将四苯硼钠标准溶液装入滴定瓶中，启动仪器，使标准溶液充满滴定管。</w:t>
      </w:r>
      <w:r>
        <w:rPr>
          <w:rFonts w:hint="default" w:ascii="Times New Roman" w:hAnsi="Times New Roman" w:eastAsia="宋体" w:cs="Times New Roman"/>
          <w:lang w:val="en-US" w:eastAsia="zh-CN"/>
        </w:rPr>
        <w:t>取</w:t>
      </w:r>
      <w:r>
        <w:rPr>
          <w:rFonts w:hint="eastAsia" w:ascii="Times New Roman" w:hAnsi="Times New Roman" w:eastAsia="宋体" w:cs="Times New Roman"/>
          <w:lang w:val="en-US" w:eastAsia="zh-CN"/>
        </w:rPr>
        <w:t>2</w:t>
      </w:r>
      <w:r>
        <w:rPr>
          <w:rFonts w:hint="default" w:ascii="Times New Roman" w:hAnsi="Times New Roman" w:eastAsia="宋体" w:cs="Times New Roman"/>
          <w:lang w:val="en-US" w:eastAsia="zh-CN"/>
        </w:rPr>
        <w:t>个烧杯，分别移取2mL海明1622标准溶液，并加入磁子和70mL蒸馏水。将电极和滴定管底部浸入液面以下至少2cm处。启动搅拌，开始滴定，至等当点停止。</w:t>
      </w:r>
    </w:p>
    <w:p w14:paraId="6E380B48">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420" w:firstLineChars="2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四苯硼钠标准溶液浓度按公式（8）计算：</w:t>
      </w:r>
    </w:p>
    <w:p w14:paraId="63C08F7B">
      <w:pPr>
        <w:pStyle w:val="43"/>
        <w:numPr>
          <w:ilvl w:val="1"/>
          <w:numId w:val="0"/>
        </w:numPr>
        <w:ind w:leftChars="1200"/>
        <w:rPr>
          <w:rFonts w:hint="eastAsia"/>
        </w:rPr>
      </w:pPr>
      <w:r>
        <w:drawing>
          <wp:inline distT="0" distB="0" distL="114300" distR="114300">
            <wp:extent cx="1002030" cy="323850"/>
            <wp:effectExtent l="0" t="0" r="762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20"/>
                    <a:stretch>
                      <a:fillRect/>
                    </a:stretch>
                  </pic:blipFill>
                  <pic:spPr>
                    <a:xfrm>
                      <a:off x="0" y="0"/>
                      <a:ext cx="1002030" cy="323850"/>
                    </a:xfrm>
                    <a:prstGeom prst="rect">
                      <a:avLst/>
                    </a:prstGeom>
                    <a:noFill/>
                    <a:ln>
                      <a:noFill/>
                    </a:ln>
                  </pic:spPr>
                </pic:pic>
              </a:graphicData>
            </a:graphic>
          </wp:inline>
        </w:drawing>
      </w:r>
      <w:r>
        <w:rPr>
          <w:rFonts w:hint="eastAsia"/>
        </w:rPr>
        <w:t xml:space="preserve"> </w:t>
      </w:r>
      <w:r>
        <w:rPr>
          <w:rFonts w:hint="eastAsia"/>
          <w:lang w:val="en-US" w:eastAsia="zh-CN"/>
        </w:rPr>
        <w:t xml:space="preserve">                 </w:t>
      </w:r>
      <w:r>
        <w:rPr>
          <w:rFonts w:hint="eastAsia"/>
        </w:rPr>
        <w:t>……………………（</w:t>
      </w:r>
      <w:r>
        <w:rPr>
          <w:rFonts w:hint="eastAsia" w:ascii="Times New Roman"/>
          <w:lang w:val="en-US" w:eastAsia="zh-CN"/>
        </w:rPr>
        <w:t>8</w:t>
      </w:r>
      <w:r>
        <w:rPr>
          <w:rFonts w:hint="eastAsia"/>
        </w:rPr>
        <w:t>）</w:t>
      </w:r>
    </w:p>
    <w:p w14:paraId="2BDD066D">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Times New Roman"/>
          <w:sz w:val="21"/>
          <w:szCs w:val="22"/>
          <w:lang w:val="en-US" w:eastAsia="zh-CN" w:bidi="ar-SA"/>
        </w:rPr>
      </w:pPr>
      <w:r>
        <w:rPr>
          <w:rFonts w:hint="eastAsia" w:ascii="宋体" w:hAnsi="宋体" w:eastAsia="宋体" w:cs="Times New Roman"/>
          <w:sz w:val="21"/>
          <w:szCs w:val="22"/>
          <w:lang w:val="en-US" w:eastAsia="zh-CN" w:bidi="ar-SA"/>
        </w:rPr>
        <w:t>式中：</w:t>
      </w:r>
    </w:p>
    <w:p w14:paraId="515554C2">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C</w:t>
      </w:r>
      <w:r>
        <w:rPr>
          <w:rFonts w:hint="eastAsia" w:ascii="Times New Roman" w:hAnsi="Times New Roman" w:eastAsia="宋体" w:cs="Times New Roman"/>
          <w:kern w:val="0"/>
          <w:sz w:val="21"/>
          <w:szCs w:val="20"/>
          <w:vertAlign w:val="subscript"/>
          <w:lang w:val="en-US" w:eastAsia="zh-CN" w:bidi="ar-SA"/>
        </w:rPr>
        <w:t>1622</w:t>
      </w:r>
      <w:r>
        <w:rPr>
          <w:rFonts w:hint="eastAsia" w:ascii="Times New Roman" w:hAnsi="Times New Roman" w:eastAsia="宋体" w:cs="Times New Roman"/>
          <w:kern w:val="0"/>
          <w:sz w:val="21"/>
          <w:szCs w:val="20"/>
          <w:lang w:val="en-US" w:eastAsia="zh-CN" w:bidi="ar-SA"/>
        </w:rPr>
        <w:t>—海明1622标准溶液的浓度，单位为摩尔每升（mol/L）；</w:t>
      </w:r>
    </w:p>
    <w:p w14:paraId="48B67F6A">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m</w:t>
      </w:r>
      <w:r>
        <w:rPr>
          <w:rFonts w:hint="eastAsia" w:ascii="Times New Roman" w:hAnsi="Times New Roman" w:eastAsia="宋体" w:cs="Times New Roman"/>
          <w:kern w:val="0"/>
          <w:sz w:val="21"/>
          <w:szCs w:val="20"/>
          <w:vertAlign w:val="subscript"/>
          <w:lang w:val="en-US" w:eastAsia="zh-CN" w:bidi="ar-SA"/>
        </w:rPr>
        <w:t>1622</w:t>
      </w:r>
      <w:r>
        <w:rPr>
          <w:rFonts w:hint="eastAsia" w:ascii="Times New Roman" w:hAnsi="Times New Roman" w:eastAsia="宋体" w:cs="Times New Roman"/>
          <w:kern w:val="0"/>
          <w:sz w:val="21"/>
          <w:szCs w:val="20"/>
          <w:lang w:val="en-US" w:eastAsia="zh-CN" w:bidi="ar-SA"/>
        </w:rPr>
        <w:t>—海明1622质量，单位为克（g）；</w:t>
      </w:r>
    </w:p>
    <w:p w14:paraId="269380B5">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K—纯度，%；</w:t>
      </w:r>
    </w:p>
    <w:p w14:paraId="352FC759">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M</w:t>
      </w:r>
      <w:r>
        <w:rPr>
          <w:rFonts w:hint="eastAsia" w:ascii="Times New Roman" w:hAnsi="Times New Roman" w:eastAsia="宋体" w:cs="Times New Roman"/>
          <w:kern w:val="0"/>
          <w:sz w:val="21"/>
          <w:szCs w:val="20"/>
          <w:vertAlign w:val="subscript"/>
          <w:lang w:val="en-US" w:eastAsia="zh-CN" w:bidi="ar-SA"/>
        </w:rPr>
        <w:t>1622</w:t>
      </w:r>
      <w:r>
        <w:rPr>
          <w:rFonts w:hint="eastAsia" w:ascii="Times New Roman" w:hAnsi="Times New Roman" w:eastAsia="宋体" w:cs="Times New Roman"/>
          <w:kern w:val="0"/>
          <w:sz w:val="21"/>
          <w:szCs w:val="20"/>
          <w:lang w:val="en-US" w:eastAsia="zh-CN" w:bidi="ar-SA"/>
        </w:rPr>
        <w:t>—海明1622的摩尔质量，单位为克每摩尔（g/moL）；</w:t>
      </w:r>
    </w:p>
    <w:p w14:paraId="7781FF4A">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V</w:t>
      </w:r>
      <w:r>
        <w:rPr>
          <w:rFonts w:hint="eastAsia" w:ascii="Times New Roman" w:hAnsi="Times New Roman" w:eastAsia="宋体" w:cs="Times New Roman"/>
          <w:kern w:val="0"/>
          <w:sz w:val="21"/>
          <w:szCs w:val="20"/>
          <w:vertAlign w:val="subscript"/>
          <w:lang w:val="en-US" w:eastAsia="zh-CN" w:bidi="ar-SA"/>
        </w:rPr>
        <w:t>1622</w:t>
      </w:r>
      <w:r>
        <w:rPr>
          <w:rFonts w:hint="eastAsia" w:ascii="Times New Roman" w:hAnsi="Times New Roman" w:eastAsia="宋体" w:cs="Times New Roman"/>
          <w:kern w:val="0"/>
          <w:sz w:val="21"/>
          <w:szCs w:val="20"/>
          <w:lang w:val="en-US" w:eastAsia="zh-CN" w:bidi="ar-SA"/>
        </w:rPr>
        <w:t>—海明1622标准溶液标定四苯硼钠标准溶液的体积，单位为毫升（mL）；</w:t>
      </w:r>
    </w:p>
    <w:p w14:paraId="388801E8">
      <w:pPr>
        <w:spacing w:line="360" w:lineRule="auto"/>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5.2.3.2.5防腐木材中季铵盐的测定方法</w:t>
      </w:r>
    </w:p>
    <w:p w14:paraId="36D84333">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420" w:firstLineChars="2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称取约1.25g木粉（精确至0.0001g），转移至萃取瓶中。移取50mL 0.1mol/L的HCl萃取液，密封。将萃取瓶放入温度在（23±2）℃的超声波水浴中，每隔30min将小萃取瓶取出晃动约10秒钟。3小时后将萃取瓶取出，常温下冷却。待木粉沉降后，移取萃取液进行分析。将0.002mol/L的四苯硼钠标准溶液装入滴定瓶中，启动仪器，使标准溶液充满滴定管。取4个烧杯，分别移取5mL样品萃取液，并加入磁子和70mL蒸馏水。将电极和滴定管底部浸入液面以下至少2cm处。启动搅拌，开始滴定，至等当点停止</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计算防腐木材中季铵盐含量按公式（9）计算：</w:t>
      </w:r>
    </w:p>
    <w:p w14:paraId="20749075">
      <w:pPr>
        <w:pStyle w:val="43"/>
        <w:numPr>
          <w:ilvl w:val="1"/>
          <w:numId w:val="0"/>
        </w:numPr>
        <w:ind w:left="420" w:leftChars="0"/>
        <w:rPr>
          <w:rFonts w:ascii="Times New Roman"/>
        </w:rPr>
      </w:pPr>
      <w:r>
        <w:drawing>
          <wp:anchor distT="0" distB="0" distL="114300" distR="114300" simplePos="0" relativeHeight="251667456" behindDoc="0" locked="0" layoutInCell="1" allowOverlap="1">
            <wp:simplePos x="0" y="0"/>
            <wp:positionH relativeFrom="column">
              <wp:posOffset>1602105</wp:posOffset>
            </wp:positionH>
            <wp:positionV relativeFrom="paragraph">
              <wp:posOffset>104775</wp:posOffset>
            </wp:positionV>
            <wp:extent cx="1888490" cy="329565"/>
            <wp:effectExtent l="0" t="0" r="16510" b="13970"/>
            <wp:wrapNone/>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21"/>
                    <a:stretch>
                      <a:fillRect/>
                    </a:stretch>
                  </pic:blipFill>
                  <pic:spPr>
                    <a:xfrm>
                      <a:off x="0" y="0"/>
                      <a:ext cx="1888490" cy="329565"/>
                    </a:xfrm>
                    <a:prstGeom prst="rect">
                      <a:avLst/>
                    </a:prstGeom>
                    <a:noFill/>
                    <a:ln>
                      <a:noFill/>
                    </a:ln>
                  </pic:spPr>
                </pic:pic>
              </a:graphicData>
            </a:graphic>
          </wp:anchor>
        </w:drawing>
      </w:r>
    </w:p>
    <w:p w14:paraId="251A708E">
      <w:pPr>
        <w:pStyle w:val="43"/>
        <w:numPr>
          <w:ilvl w:val="1"/>
          <w:numId w:val="0"/>
        </w:numPr>
        <w:ind w:leftChars="3000"/>
        <w:rPr>
          <w:rFonts w:ascii="Times New Roman"/>
        </w:rPr>
      </w:pPr>
      <w:r>
        <w:rPr>
          <w:rFonts w:hint="eastAsia"/>
        </w:rPr>
        <w:t xml:space="preserve"> ……………………（</w:t>
      </w:r>
      <w:r>
        <w:rPr>
          <w:rFonts w:hint="eastAsia" w:ascii="Times New Roman"/>
          <w:lang w:val="en-US" w:eastAsia="zh-CN"/>
        </w:rPr>
        <w:t>9</w:t>
      </w:r>
      <w:r>
        <w:rPr>
          <w:rFonts w:hint="eastAsia"/>
        </w:rPr>
        <w:t>）</w:t>
      </w:r>
    </w:p>
    <w:p w14:paraId="3421861D">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420" w:firstLineChars="2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式中：</w:t>
      </w:r>
    </w:p>
    <w:p w14:paraId="667C6622">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W—季铵盐含量；</w:t>
      </w:r>
    </w:p>
    <w:p w14:paraId="2760C7DA">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V—四苯硼钠溶液滴定样品所需的体积，单位为毫升（mL）；</w:t>
      </w:r>
    </w:p>
    <w:p w14:paraId="0BD9B2B4">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C—四苯硼钠溶液的浓度，单位为摩尔每升（mol/L）；</w:t>
      </w:r>
    </w:p>
    <w:p w14:paraId="5E635086">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Mw—季铵盐的摩尔质量，单位为克每摩尔（g/moL），十二烷基苄基二甲基氯化铵（BAC）按354g/moL计算；双癸基二甲基氯化铵（DDAC）按362g/moL计算；</w:t>
      </w:r>
    </w:p>
    <w:p w14:paraId="09DA1821">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m—萃取的木粉质量，单位为克（g）；</w:t>
      </w:r>
    </w:p>
    <w:p w14:paraId="4BD8FCA8">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VE—用于萃取木材的萃取液体积，单位为毫升（mL）；</w:t>
      </w:r>
    </w:p>
    <w:p w14:paraId="2B1E8D1E">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VA—用于滴定的萃取液体积，单位为毫升（mL）；</w:t>
      </w:r>
    </w:p>
    <w:p w14:paraId="7560AEB2">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drawing>
          <wp:anchor distT="0" distB="0" distL="114300" distR="114300" simplePos="0" relativeHeight="251666432" behindDoc="1" locked="0" layoutInCell="1" allowOverlap="1">
            <wp:simplePos x="0" y="0"/>
            <wp:positionH relativeFrom="column">
              <wp:posOffset>476250</wp:posOffset>
            </wp:positionH>
            <wp:positionV relativeFrom="paragraph">
              <wp:posOffset>100965</wp:posOffset>
            </wp:positionV>
            <wp:extent cx="290830" cy="322580"/>
            <wp:effectExtent l="0" t="0" r="13970" b="1270"/>
            <wp:wrapNone/>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2"/>
                    <a:stretch>
                      <a:fillRect/>
                    </a:stretch>
                  </pic:blipFill>
                  <pic:spPr>
                    <a:xfrm>
                      <a:off x="0" y="0"/>
                      <a:ext cx="290830" cy="322580"/>
                    </a:xfrm>
                    <a:prstGeom prst="rect">
                      <a:avLst/>
                    </a:prstGeom>
                    <a:noFill/>
                    <a:ln>
                      <a:noFill/>
                    </a:ln>
                  </pic:spPr>
                </pic:pic>
              </a:graphicData>
            </a:graphic>
          </wp:anchor>
        </w:drawing>
      </w:r>
    </w:p>
    <w:p w14:paraId="78A72C18">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1260" w:firstLineChars="6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—单位转换因子</w:t>
      </w:r>
    </w:p>
    <w:p w14:paraId="30CEA415">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p>
    <w:p w14:paraId="3C02E275">
      <w:pPr>
        <w:spacing w:line="360" w:lineRule="auto"/>
        <w:ind w:left="0" w:leftChars="0" w:firstLine="0" w:firstLineChars="0"/>
        <w:rPr>
          <w:rFonts w:hint="eastAsia" w:ascii="Times New Roman" w:hAnsi="Times New Roman" w:cs="Times New Roman"/>
          <w:b/>
          <w:bCs/>
          <w:sz w:val="24"/>
          <w:szCs w:val="32"/>
          <w:lang w:val="en-US" w:eastAsia="zh-CN"/>
        </w:rPr>
      </w:pPr>
      <w:r>
        <w:rPr>
          <w:rFonts w:hint="eastAsia" w:ascii="黑体" w:hAnsi="Times New Roman" w:eastAsia="黑体" w:cs="黑体"/>
          <w:kern w:val="0"/>
          <w:sz w:val="21"/>
          <w:szCs w:val="21"/>
          <w:lang w:val="en-US" w:eastAsia="zh-CN" w:bidi="ar-SA"/>
        </w:rPr>
        <w:t>5.2.3.2.6木材防腐剂中季铵盐的测定方法</w:t>
      </w:r>
    </w:p>
    <w:p w14:paraId="5878490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称取约0.5g木材防腐剂样品（可根据预估浓度变化称取试样的质量，精确至0.0001g）于100mL容量瓶（</w:t>
      </w:r>
      <w:r>
        <w:rPr>
          <w:rFonts w:hint="default" w:ascii="Times New Roman" w:hAnsi="Times New Roman" w:eastAsia="宋体" w:cs="Times New Roman"/>
          <w:kern w:val="0"/>
          <w:sz w:val="21"/>
          <w:szCs w:val="20"/>
          <w:lang w:val="en-US" w:eastAsia="zh-CN" w:bidi="ar-SA"/>
        </w:rPr>
        <w:t>可根据药剂浓度适当调整稀释比例</w:t>
      </w:r>
      <w:r>
        <w:rPr>
          <w:rFonts w:hint="eastAsia" w:ascii="Times New Roman" w:hAnsi="Times New Roman" w:eastAsia="宋体" w:cs="Times New Roman"/>
          <w:kern w:val="0"/>
          <w:sz w:val="21"/>
          <w:szCs w:val="20"/>
          <w:lang w:val="en-US" w:eastAsia="zh-CN" w:bidi="ar-SA"/>
        </w:rPr>
        <w:t>），用蒸馏水定容。将0.002mol/L的四苯硼钠标准溶液装入滴定瓶中，启动仪器，使标准溶液充满滴定管。取4个烧杯，分别移取1mL木材防腐剂样品溶液，并加入磁子和70mL蒸馏水。电极和滴定管底部浸入液面以下至少2cm处。启动搅拌，开始滴定，至等当点停止。计算防腐剂中季铵盐含量按公式（10）计算：</w:t>
      </w:r>
    </w:p>
    <w:p w14:paraId="002739A3">
      <w:pPr>
        <w:pStyle w:val="43"/>
        <w:numPr>
          <w:ilvl w:val="1"/>
          <w:numId w:val="0"/>
        </w:numPr>
        <w:ind w:left="420" w:leftChars="0"/>
        <w:rPr>
          <w:rFonts w:ascii="Times New Roman"/>
        </w:rPr>
      </w:pPr>
      <w:r>
        <w:drawing>
          <wp:anchor distT="0" distB="0" distL="114300" distR="114300" simplePos="0" relativeHeight="251668480" behindDoc="0" locked="0" layoutInCell="1" allowOverlap="1">
            <wp:simplePos x="0" y="0"/>
            <wp:positionH relativeFrom="column">
              <wp:posOffset>1452245</wp:posOffset>
            </wp:positionH>
            <wp:positionV relativeFrom="paragraph">
              <wp:posOffset>45085</wp:posOffset>
            </wp:positionV>
            <wp:extent cx="1793875" cy="313055"/>
            <wp:effectExtent l="0" t="0" r="0" b="12065"/>
            <wp:wrapNone/>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21"/>
                    <a:stretch>
                      <a:fillRect/>
                    </a:stretch>
                  </pic:blipFill>
                  <pic:spPr>
                    <a:xfrm>
                      <a:off x="0" y="0"/>
                      <a:ext cx="1793875" cy="313055"/>
                    </a:xfrm>
                    <a:prstGeom prst="rect">
                      <a:avLst/>
                    </a:prstGeom>
                    <a:noFill/>
                    <a:ln>
                      <a:noFill/>
                    </a:ln>
                  </pic:spPr>
                </pic:pic>
              </a:graphicData>
            </a:graphic>
          </wp:anchor>
        </w:drawing>
      </w:r>
      <w:r>
        <w:rPr>
          <w:rFonts w:hint="eastAsia"/>
          <w:lang w:val="en-US" w:eastAsia="zh-CN"/>
        </w:rPr>
        <w:t xml:space="preserve">                                                       </w:t>
      </w:r>
      <w:r>
        <w:rPr>
          <w:rFonts w:hint="eastAsia"/>
        </w:rPr>
        <w:t xml:space="preserve"> ……………………（</w:t>
      </w:r>
      <w:r>
        <w:rPr>
          <w:rFonts w:ascii="Times New Roman"/>
        </w:rPr>
        <w:t>1</w:t>
      </w:r>
      <w:r>
        <w:rPr>
          <w:rFonts w:hint="eastAsia" w:ascii="Times New Roman"/>
          <w:lang w:val="en-US" w:eastAsia="zh-CN"/>
        </w:rPr>
        <w:t>0</w:t>
      </w:r>
      <w:r>
        <w:rPr>
          <w:rFonts w:hint="eastAsia"/>
        </w:rPr>
        <w:t>）</w:t>
      </w:r>
    </w:p>
    <w:p w14:paraId="1DA5D572">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420" w:firstLineChars="2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式中：</w:t>
      </w:r>
    </w:p>
    <w:p w14:paraId="5DD73A5A">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W—季铵盐含量；</w:t>
      </w:r>
    </w:p>
    <w:p w14:paraId="42303300">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V—四苯硼钠溶液滴定样品所需的体积，单位为毫升（mL）；</w:t>
      </w:r>
    </w:p>
    <w:p w14:paraId="1DA7D0DD">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C—四苯硼钠溶液的浓度，单位为摩尔每升（mol/L）；</w:t>
      </w:r>
    </w:p>
    <w:p w14:paraId="7D534235">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Mw—季铵盐的摩尔质量，单位为克每摩尔（g/moL），十二烷基苄基二甲基氯化铵（BAC）按354g/moL计算；双癸基二甲基氯化铵（DDAC）按362g/moL计算；</w:t>
      </w:r>
    </w:p>
    <w:p w14:paraId="3E37D3A6">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m—称取的防腐剂试样质量，单位为克（g）；</w:t>
      </w:r>
    </w:p>
    <w:p w14:paraId="48EBACFA">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VE—木材防腐剂试样溶液体积，单位为毫升（mL）；</w:t>
      </w:r>
    </w:p>
    <w:p w14:paraId="3B006EF7">
      <w:pPr>
        <w:pStyle w:val="82"/>
        <w:keepNext w:val="0"/>
        <w:keepLines w:val="0"/>
        <w:pageBreakBefore w:val="0"/>
        <w:widowControl w:val="0"/>
        <w:numPr>
          <w:ilvl w:val="0"/>
          <w:numId w:val="0"/>
        </w:numPr>
        <w:tabs>
          <w:tab w:val="left" w:pos="1140"/>
          <w:tab w:val="clear" w:pos="854"/>
        </w:tabs>
        <w:kinsoku/>
        <w:wordWrap/>
        <w:overflowPunct/>
        <w:topLinePunct w:val="0"/>
        <w:autoSpaceDE/>
        <w:autoSpaceDN/>
        <w:bidi w:val="0"/>
        <w:adjustRightInd/>
        <w:snapToGrid/>
        <w:spacing w:line="240" w:lineRule="auto"/>
        <w:ind w:firstLine="840" w:firstLineChars="4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VA—用于滴定的试样液体积，单位为毫升（mL）；</w:t>
      </w:r>
    </w:p>
    <w:p w14:paraId="3EEAFD2E">
      <w:pPr>
        <w:pStyle w:val="47"/>
        <w:numPr>
          <w:ilvl w:val="0"/>
          <w:numId w:val="0"/>
        </w:numPr>
        <w:tabs>
          <w:tab w:val="clear" w:pos="0"/>
        </w:tabs>
        <w:spacing w:before="312" w:after="312"/>
        <w:ind w:left="0" w:leftChars="0" w:firstLine="0" w:firstLineChars="0"/>
        <w:rPr>
          <w:rFonts w:eastAsia="宋体"/>
        </w:rPr>
      </w:pPr>
      <w:bookmarkStart w:id="20" w:name="_Toc164148087"/>
      <w:bookmarkStart w:id="21" w:name="_Toc166464099"/>
      <w:bookmarkStart w:id="22" w:name="_Toc164148123"/>
      <w:bookmarkStart w:id="23" w:name="_Toc166464253"/>
      <w:bookmarkStart w:id="24" w:name="_Toc164148564"/>
      <w:r>
        <w:rPr>
          <w:rFonts w:hint="eastAsia" w:ascii="黑体" w:hAnsi="Times New Roman" w:eastAsia="黑体" w:cs="Times New Roman"/>
          <w:b w:val="0"/>
          <w:i w:val="0"/>
          <w:sz w:val="21"/>
          <w:szCs w:val="21"/>
          <w:lang w:val="en-US" w:eastAsia="zh-CN" w:bidi="ar-SA"/>
        </w:rPr>
        <w:t>6　</w:t>
      </w:r>
      <w:r>
        <w:rPr>
          <w:rFonts w:hint="eastAsia" w:cs="Times New Roman"/>
          <w:lang w:eastAsia="zh-CN"/>
        </w:rPr>
        <w:t>标</w:t>
      </w:r>
      <w:r>
        <w:rPr>
          <w:rFonts w:hint="eastAsia" w:cs="Times New Roman"/>
          <w:lang w:val="en-US" w:eastAsia="zh-CN"/>
        </w:rPr>
        <w:t>识</w:t>
      </w:r>
      <w:r>
        <w:rPr>
          <w:rFonts w:hint="eastAsia" w:cs="Times New Roman"/>
          <w:lang w:eastAsia="zh-CN"/>
        </w:rPr>
        <w:t>、包装、运输和贮存</w:t>
      </w:r>
      <w:bookmarkEnd w:id="20"/>
      <w:bookmarkEnd w:id="21"/>
      <w:bookmarkEnd w:id="22"/>
      <w:bookmarkEnd w:id="23"/>
      <w:bookmarkEnd w:id="24"/>
    </w:p>
    <w:p w14:paraId="3E69DEE7">
      <w:pPr>
        <w:pStyle w:val="43"/>
        <w:numPr>
          <w:ilvl w:val="1"/>
          <w:numId w:val="0"/>
        </w:numPr>
        <w:bidi w:val="0"/>
        <w:ind w:left="0" w:leftChars="0" w:firstLine="0" w:firstLineChars="0"/>
        <w:rPr>
          <w:rFonts w:hint="eastAsia" w:ascii="宋体" w:hAnsi="宋体" w:eastAsia="宋体" w:cs="Times New Roman"/>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6.1　</w:t>
      </w:r>
      <w:r>
        <w:rPr>
          <w:rFonts w:hint="eastAsia" w:ascii="宋体" w:hAnsi="宋体" w:eastAsia="宋体" w:cs="Times New Roman"/>
        </w:rPr>
        <w:t>ACQ木材防腐剂包装桶上标签应清楚地标明：生产厂名、厂址、产品名称、型号、有效成分含量、注册商标、净重、生产日期、生产批号、产品标准号和产品简要说明。</w:t>
      </w:r>
    </w:p>
    <w:p w14:paraId="2505F987">
      <w:pPr>
        <w:pStyle w:val="43"/>
        <w:numPr>
          <w:ilvl w:val="1"/>
          <w:numId w:val="0"/>
        </w:numPr>
        <w:bidi w:val="0"/>
        <w:ind w:left="0" w:leftChars="0" w:firstLine="0" w:firstLineChars="0"/>
        <w:rPr>
          <w:rFonts w:hint="eastAsia" w:ascii="宋体" w:hAnsi="宋体" w:eastAsia="宋体" w:cs="Times New Roman"/>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6.2　</w:t>
      </w:r>
      <w:r>
        <w:rPr>
          <w:rFonts w:hint="eastAsia" w:ascii="宋体" w:hAnsi="宋体" w:eastAsia="宋体" w:cs="Times New Roman"/>
        </w:rPr>
        <w:t>ACQ木材防腐剂用塑料桶或其它符合相应标准要求的材料包装。</w:t>
      </w:r>
    </w:p>
    <w:p w14:paraId="5344DD18">
      <w:pPr>
        <w:pStyle w:val="43"/>
        <w:numPr>
          <w:ilvl w:val="1"/>
          <w:numId w:val="0"/>
        </w:numPr>
        <w:bidi w:val="0"/>
        <w:ind w:left="0" w:leftChars="0" w:firstLine="0" w:firstLineChars="0"/>
        <w:rPr>
          <w:rFonts w:hint="eastAsia" w:ascii="宋体" w:hAnsi="宋体" w:eastAsia="宋体"/>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6.3　</w:t>
      </w:r>
      <w:r>
        <w:rPr>
          <w:rFonts w:hint="eastAsia" w:ascii="宋体" w:hAnsi="宋体" w:eastAsia="宋体"/>
        </w:rPr>
        <w:t>运输过程中应防漏、防火、防潮，不得与食物、饲料等混合装运。</w:t>
      </w:r>
    </w:p>
    <w:p w14:paraId="4A2147E0">
      <w:pPr>
        <w:pStyle w:val="43"/>
        <w:numPr>
          <w:ilvl w:val="1"/>
          <w:numId w:val="0"/>
        </w:numPr>
        <w:bidi w:val="0"/>
        <w:ind w:left="0" w:leftChars="0" w:firstLine="0" w:firstLineChars="0"/>
        <w:rPr>
          <w:rFonts w:hint="eastAsia" w:ascii="宋体" w:hAnsi="宋体" w:eastAsia="宋体"/>
        </w:rPr>
      </w:pPr>
      <w: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lang w:val="en-US" w:eastAsia="zh-CN" w:bidi="ar-SA"/>
        </w:rPr>
        <w:t>6.4　</w:t>
      </w:r>
      <w:r>
        <w:rPr>
          <w:rFonts w:hint="eastAsia" w:ascii="宋体" w:hAnsi="宋体" w:eastAsia="宋体"/>
        </w:rPr>
        <w:t>贮存在清洁、阴凉、干燥和通风的仓库中，不得与食物、饲料等混合存放。</w:t>
      </w:r>
    </w:p>
    <w:p w14:paraId="12B269C9">
      <w:pPr>
        <w:pStyle w:val="43"/>
        <w:numPr>
          <w:ilvl w:val="1"/>
          <w:numId w:val="0"/>
        </w:numPr>
        <w:bidi w:val="0"/>
        <w:ind w:left="0" w:leftChars="0" w:firstLine="0" w:firstLineChars="0"/>
        <w:rPr>
          <w:rFonts w:hint="eastAsia" w:ascii="宋体" w:hAnsi="宋体" w:eastAsia="宋体"/>
        </w:rPr>
      </w:pPr>
    </w:p>
    <w:bookmarkEnd w:id="19"/>
    <w:p w14:paraId="29422094">
      <w:pPr>
        <w:autoSpaceDE/>
        <w:autoSpaceDN/>
        <w:ind w:left="0" w:leftChars="0" w:firstLine="0" w:firstLineChars="0"/>
      </w:pPr>
      <w:r>
        <w:rPr>
          <w:rFonts w:hint="eastAsia"/>
        </w:rPr>
        <mc:AlternateContent>
          <mc:Choice Requires="wps">
            <w:drawing>
              <wp:anchor distT="0" distB="0" distL="114300" distR="114300" simplePos="0" relativeHeight="251665408" behindDoc="0" locked="0" layoutInCell="1" allowOverlap="1">
                <wp:simplePos x="0" y="0"/>
                <wp:positionH relativeFrom="column">
                  <wp:posOffset>1485900</wp:posOffset>
                </wp:positionH>
                <wp:positionV relativeFrom="paragraph">
                  <wp:posOffset>354965</wp:posOffset>
                </wp:positionV>
                <wp:extent cx="2085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17pt;margin-top:27.95pt;height:0pt;width:164.25pt;z-index:251665408;mso-width-relative:page;mso-height-relative:page;" filled="f" stroked="t" coordsize="21600,21600" o:gfxdata="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ICHJ2tcAAAAJ&#10;AQAADwAAAAAAAAABACAAAAAiAAAAZHJzL2Rvd25yZXYueG1sUEsBAhQAFAAAAAgAh07iQP169Y3k&#10;AQAAsQMAAA4AAAAAAAAAAQAgAAAAJgEAAGRycy9lMm9Eb2MueG1sUEsFBgAAAAAGAAYAWQEAAHwF&#10;AAAAAA==&#10;">
                <v:fill on="f" focussize="0,0"/>
                <v:stroke weight="0.5pt" color="#000000 [3200]" miterlimit="8" joinstyle="miter"/>
                <v:imagedata o:title=""/>
                <o:lock v:ext="edit" aspectratio="f"/>
              </v:line>
            </w:pict>
          </mc:Fallback>
        </mc:AlternateContent>
      </w:r>
    </w:p>
    <w:sectPr>
      <w:footerReference r:id="rId13" w:type="default"/>
      <w:footerReference r:id="rId14" w:type="even"/>
      <w:pgSz w:w="11906" w:h="16838"/>
      <w:pgMar w:top="1701" w:right="1134" w:bottom="1134" w:left="1418" w:header="1361" w:footer="1134" w:gutter="0"/>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swiss"/>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MS Gothic">
    <w:altName w:val="Hiragino Sans"/>
    <w:panose1 w:val="020B0609070205080204"/>
    <w:charset w:val="80"/>
    <w:family w:val="modern"/>
    <w:pitch w:val="default"/>
    <w:sig w:usb0="00000000" w:usb1="00000000" w:usb2="08000012" w:usb3="00000000" w:csb0="4002009F" w:csb1="DFD7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儷宋 Pro">
    <w:panose1 w:val="02020300000000000000"/>
    <w:charset w:val="88"/>
    <w:family w:val="auto"/>
    <w:pitch w:val="default"/>
    <w:sig w:usb0="80000001" w:usb1="28091800" w:usb2="00000016" w:usb3="00000000" w:csb0="00100000" w:csb1="00000000"/>
  </w:font>
  <w:font w:name="Kingsoft Sign">
    <w:panose1 w:val="05050102010706020507"/>
    <w:charset w:val="00"/>
    <w:family w:val="auto"/>
    <w:pitch w:val="default"/>
    <w:sig w:usb0="00000000" w:usb1="10000000" w:usb2="00000000" w:usb3="00000000" w:csb0="00000001" w:csb1="00000000"/>
  </w:font>
  <w:font w:name="汉仪旗黑">
    <w:panose1 w:val="00020600040101010101"/>
    <w:charset w:val="86"/>
    <w:family w:val="auto"/>
    <w:pitch w:val="default"/>
    <w:sig w:usb0="A00002BF" w:usb1="1ACF7CFA" w:usb2="00000016" w:usb3="00000000" w:csb0="0004009F" w:csb1="DFD70000"/>
  </w:font>
  <w:font w:name="宋体-简">
    <w:panose1 w:val="02010800040101010101"/>
    <w:charset w:val="86"/>
    <w:family w:val="auto"/>
    <w:pitch w:val="default"/>
    <w:sig w:usb0="00000001" w:usb1="080F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黑体">
    <w:altName w:val="汉仪中黑K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EE3F6">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05714">
    <w:pPr>
      <w:pStyle w:val="11"/>
      <w:ind w:firstLine="360"/>
    </w:pPr>
  </w:p>
  <w:p w14:paraId="784D5E8A">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7380A">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1FEC6">
    <w:pPr>
      <w:pStyle w:val="61"/>
    </w:pPr>
    <w:r>
      <w:fldChar w:fldCharType="begin"/>
    </w:r>
    <w:r>
      <w:instrText xml:space="preserve"> PAGE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F1452">
    <w:pPr>
      <w:pStyle w:val="61"/>
    </w:pPr>
    <w:r>
      <w:fldChar w:fldCharType="begin"/>
    </w:r>
    <w:r>
      <w:instrText xml:space="preserve"> PAGE  \* MERGEFORMAT </w:instrText>
    </w:r>
    <w:r>
      <w:fldChar w:fldCharType="separate"/>
    </w:r>
    <w:r>
      <w:t>7</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517A6">
    <w:pPr>
      <w:pStyle w:val="11"/>
      <w:ind w:firstLine="360"/>
    </w:pPr>
    <w:r>
      <w:fldChar w:fldCharType="begin"/>
    </w:r>
    <w:r>
      <w:instrText xml:space="preserve">PAGE   \* MERGEFORMAT</w:instrText>
    </w:r>
    <w:r>
      <w:fldChar w:fldCharType="separate"/>
    </w:r>
    <w:r>
      <w:rPr>
        <w:lang w:val="zh-CN"/>
      </w:rPr>
      <w:t>6</w:t>
    </w:r>
    <w:r>
      <w:fldChar w:fldCharType="end"/>
    </w:r>
  </w:p>
  <w:p w14:paraId="7F5D7CDC">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F9956">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DDEBB">
    <w:r>
      <w:t>JC/T XXXXX—20XX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964B7">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434B5">
    <w:pPr>
      <w:pStyle w:val="62"/>
      <w:spacing w:after="284"/>
    </w:pPr>
    <w:r>
      <w:t>JC/T XXXXX—20XX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trike w:val="0"/>
        <w:sz w:val="21"/>
      </w:rPr>
    </w:lvl>
    <w:lvl w:ilvl="3" w:tentative="0">
      <w:start w:val="1"/>
      <w:numFmt w:val="decimal"/>
      <w:suff w:val="nothing"/>
      <w:lvlText w:val="%1.%2.%3.%4　"/>
      <w:lvlJc w:val="left"/>
      <w:pPr>
        <w:ind w:left="1134"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9DD6F04"/>
    <w:multiLevelType w:val="multilevel"/>
    <w:tmpl w:val="49DD6F04"/>
    <w:lvl w:ilvl="0" w:tentative="0">
      <w:start w:val="1"/>
      <w:numFmt w:val="decimal"/>
      <w:pStyle w:val="71"/>
      <w:suff w:val="nothing"/>
      <w:lvlText w:val="%1  "/>
      <w:lvlJc w:val="left"/>
      <w:pPr>
        <w:ind w:left="3260" w:firstLine="0"/>
      </w:pPr>
      <w:rPr>
        <w:rFonts w:hint="default" w:ascii="Times New Roman" w:hAnsi="Times New Roman" w:eastAsia="黑体" w:cs="Times New Roman"/>
        <w:b/>
        <w:i w:val="0"/>
        <w:caps w:val="0"/>
        <w:smallCaps w:val="0"/>
        <w:strike w:val="0"/>
        <w:dstrike w:val="0"/>
        <w:vanish w:val="0"/>
        <w:color w:val="auto"/>
        <w:spacing w:val="0"/>
        <w:w w:val="100"/>
        <w:kern w:val="21"/>
        <w:position w:val="0"/>
        <w:sz w:val="32"/>
        <w:szCs w:val="32"/>
        <w:u w:val="none"/>
        <w:vertAlign w:val="baseline"/>
        <w14:shadow w14:blurRad="0" w14:dist="0" w14:dir="0" w14:sx="0" w14:sy="0" w14:kx="0" w14:ky="0" w14:algn="none">
          <w14:srgbClr w14:val="000000"/>
        </w14:shadow>
      </w:rPr>
    </w:lvl>
    <w:lvl w:ilvl="1" w:tentative="0">
      <w:start w:val="1"/>
      <w:numFmt w:val="decimal"/>
      <w:suff w:val="nothing"/>
      <w:lvlText w:val="%1.%2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8"/>
        <w:szCs w:val="28"/>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2">
    <w:nsid w:val="6CEA2025"/>
    <w:multiLevelType w:val="multilevel"/>
    <w:tmpl w:val="6CEA2025"/>
    <w:lvl w:ilvl="0" w:tentative="0">
      <w:start w:val="1"/>
      <w:numFmt w:val="none"/>
      <w:pStyle w:val="80"/>
      <w:suff w:val="nothing"/>
      <w:lvlText w:val="%1"/>
      <w:lvlJc w:val="left"/>
      <w:pPr>
        <w:ind w:left="0" w:firstLine="0"/>
      </w:pPr>
      <w:rPr>
        <w:rFonts w:hint="default" w:ascii="Times New Roman" w:hAnsi="Times New Roman"/>
        <w:b/>
        <w:i w:val="0"/>
        <w:sz w:val="21"/>
      </w:rPr>
    </w:lvl>
    <w:lvl w:ilvl="1" w:tentative="0">
      <w:start w:val="1"/>
      <w:numFmt w:val="decimal"/>
      <w:pStyle w:val="59"/>
      <w:suff w:val="nothing"/>
      <w:lvlText w:val="%1%2　"/>
      <w:lvlJc w:val="left"/>
      <w:pPr>
        <w:ind w:left="0" w:firstLine="0"/>
      </w:pPr>
      <w:rPr>
        <w:rFonts w:hint="eastAsia" w:ascii="黑体" w:hAnsi="Times New Roman" w:eastAsia="黑体"/>
        <w:b w:val="0"/>
        <w:i w:val="0"/>
        <w:sz w:val="21"/>
      </w:rPr>
    </w:lvl>
    <w:lvl w:ilvl="2" w:tentative="0">
      <w:start w:val="1"/>
      <w:numFmt w:val="decimal"/>
      <w:pStyle w:val="58"/>
      <w:suff w:val="nothing"/>
      <w:lvlText w:val="%1%2.%3　"/>
      <w:lvlJc w:val="left"/>
      <w:pPr>
        <w:ind w:left="0" w:firstLine="0"/>
      </w:pPr>
      <w:rPr>
        <w:rFonts w:hint="default" w:ascii="宋体" w:hAnsi="宋体" w:eastAsia="宋体" w:cs="宋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76933334"/>
    <w:multiLevelType w:val="multilevel"/>
    <w:tmpl w:val="76933334"/>
    <w:lvl w:ilvl="0" w:tentative="0">
      <w:start w:val="1"/>
      <w:numFmt w:val="none"/>
      <w:pStyle w:val="82"/>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4"/>
  <w:embedSystemFonts/>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2NmM3MGVmMmRjMGRhZDI3OGZhM2M0NTM5ODJiMDEifQ=="/>
  </w:docVars>
  <w:rsids>
    <w:rsidRoot w:val="33F36BFE"/>
    <w:rsid w:val="00005CDD"/>
    <w:rsid w:val="00007EBF"/>
    <w:rsid w:val="000117DB"/>
    <w:rsid w:val="00012C06"/>
    <w:rsid w:val="00015A41"/>
    <w:rsid w:val="0001687D"/>
    <w:rsid w:val="000211BF"/>
    <w:rsid w:val="00021D81"/>
    <w:rsid w:val="00021E4A"/>
    <w:rsid w:val="00026E7A"/>
    <w:rsid w:val="00033664"/>
    <w:rsid w:val="0003488E"/>
    <w:rsid w:val="000422C7"/>
    <w:rsid w:val="00043208"/>
    <w:rsid w:val="00047012"/>
    <w:rsid w:val="00050908"/>
    <w:rsid w:val="0005209D"/>
    <w:rsid w:val="00055ED8"/>
    <w:rsid w:val="00056E79"/>
    <w:rsid w:val="00061080"/>
    <w:rsid w:val="00062BE7"/>
    <w:rsid w:val="00065639"/>
    <w:rsid w:val="00066CEB"/>
    <w:rsid w:val="0007172C"/>
    <w:rsid w:val="00071EA1"/>
    <w:rsid w:val="00075B5C"/>
    <w:rsid w:val="00080109"/>
    <w:rsid w:val="0008187B"/>
    <w:rsid w:val="00083059"/>
    <w:rsid w:val="000938DF"/>
    <w:rsid w:val="000B584E"/>
    <w:rsid w:val="000C515B"/>
    <w:rsid w:val="000C7395"/>
    <w:rsid w:val="000D12CF"/>
    <w:rsid w:val="000D1A76"/>
    <w:rsid w:val="000D4303"/>
    <w:rsid w:val="000D596B"/>
    <w:rsid w:val="000E0312"/>
    <w:rsid w:val="000E58A9"/>
    <w:rsid w:val="000E6F97"/>
    <w:rsid w:val="000F1363"/>
    <w:rsid w:val="000F34A4"/>
    <w:rsid w:val="000F3649"/>
    <w:rsid w:val="000F48CB"/>
    <w:rsid w:val="000F647A"/>
    <w:rsid w:val="000F7B0D"/>
    <w:rsid w:val="00100F25"/>
    <w:rsid w:val="0010276B"/>
    <w:rsid w:val="00106732"/>
    <w:rsid w:val="001109DE"/>
    <w:rsid w:val="00122C72"/>
    <w:rsid w:val="001245E9"/>
    <w:rsid w:val="00124798"/>
    <w:rsid w:val="001260FA"/>
    <w:rsid w:val="00127172"/>
    <w:rsid w:val="00132AFE"/>
    <w:rsid w:val="001401A9"/>
    <w:rsid w:val="0014658E"/>
    <w:rsid w:val="0015010B"/>
    <w:rsid w:val="00150EBE"/>
    <w:rsid w:val="00153421"/>
    <w:rsid w:val="00154E1B"/>
    <w:rsid w:val="00161D76"/>
    <w:rsid w:val="00167DC6"/>
    <w:rsid w:val="00171D7D"/>
    <w:rsid w:val="00173C8F"/>
    <w:rsid w:val="00175719"/>
    <w:rsid w:val="00176003"/>
    <w:rsid w:val="00176C89"/>
    <w:rsid w:val="001804CA"/>
    <w:rsid w:val="00181184"/>
    <w:rsid w:val="001931F6"/>
    <w:rsid w:val="00193D78"/>
    <w:rsid w:val="00193F49"/>
    <w:rsid w:val="001963FA"/>
    <w:rsid w:val="001A3CC5"/>
    <w:rsid w:val="001A4329"/>
    <w:rsid w:val="001B22C7"/>
    <w:rsid w:val="001B2D19"/>
    <w:rsid w:val="001C14B8"/>
    <w:rsid w:val="001C29B6"/>
    <w:rsid w:val="001C62E2"/>
    <w:rsid w:val="001D7404"/>
    <w:rsid w:val="001E6D85"/>
    <w:rsid w:val="001F0333"/>
    <w:rsid w:val="0020521F"/>
    <w:rsid w:val="00206995"/>
    <w:rsid w:val="0021372A"/>
    <w:rsid w:val="00215DC7"/>
    <w:rsid w:val="002209E3"/>
    <w:rsid w:val="0022146D"/>
    <w:rsid w:val="002216FA"/>
    <w:rsid w:val="002239FE"/>
    <w:rsid w:val="00224BFC"/>
    <w:rsid w:val="00230B3D"/>
    <w:rsid w:val="00236555"/>
    <w:rsid w:val="002375EE"/>
    <w:rsid w:val="002411C1"/>
    <w:rsid w:val="00241F4D"/>
    <w:rsid w:val="00247902"/>
    <w:rsid w:val="0025153D"/>
    <w:rsid w:val="002516B0"/>
    <w:rsid w:val="002572D0"/>
    <w:rsid w:val="0026245B"/>
    <w:rsid w:val="002630F9"/>
    <w:rsid w:val="0026774A"/>
    <w:rsid w:val="00282680"/>
    <w:rsid w:val="00285BE3"/>
    <w:rsid w:val="00286042"/>
    <w:rsid w:val="00295AA1"/>
    <w:rsid w:val="00297B66"/>
    <w:rsid w:val="002A44AE"/>
    <w:rsid w:val="002B05C7"/>
    <w:rsid w:val="002B2BED"/>
    <w:rsid w:val="002B30AB"/>
    <w:rsid w:val="002B6101"/>
    <w:rsid w:val="002C20CE"/>
    <w:rsid w:val="002C54D9"/>
    <w:rsid w:val="002D5AC0"/>
    <w:rsid w:val="002E0D83"/>
    <w:rsid w:val="002E3E0C"/>
    <w:rsid w:val="002E5C42"/>
    <w:rsid w:val="002E65B2"/>
    <w:rsid w:val="002E7A00"/>
    <w:rsid w:val="002F0E75"/>
    <w:rsid w:val="002F3996"/>
    <w:rsid w:val="002F5532"/>
    <w:rsid w:val="00300392"/>
    <w:rsid w:val="00304382"/>
    <w:rsid w:val="00305BDE"/>
    <w:rsid w:val="003074F0"/>
    <w:rsid w:val="003110BD"/>
    <w:rsid w:val="00314E8E"/>
    <w:rsid w:val="00315681"/>
    <w:rsid w:val="00320970"/>
    <w:rsid w:val="00324E58"/>
    <w:rsid w:val="00333A6A"/>
    <w:rsid w:val="00333CC6"/>
    <w:rsid w:val="00336636"/>
    <w:rsid w:val="0033776C"/>
    <w:rsid w:val="00342B05"/>
    <w:rsid w:val="00342E45"/>
    <w:rsid w:val="00350796"/>
    <w:rsid w:val="003563E1"/>
    <w:rsid w:val="00362295"/>
    <w:rsid w:val="003646E4"/>
    <w:rsid w:val="00374123"/>
    <w:rsid w:val="00376C18"/>
    <w:rsid w:val="003805EB"/>
    <w:rsid w:val="00380E0D"/>
    <w:rsid w:val="00381103"/>
    <w:rsid w:val="00381467"/>
    <w:rsid w:val="0038598A"/>
    <w:rsid w:val="003867A0"/>
    <w:rsid w:val="0039017E"/>
    <w:rsid w:val="003A00BA"/>
    <w:rsid w:val="003A190F"/>
    <w:rsid w:val="003A61A5"/>
    <w:rsid w:val="003B263C"/>
    <w:rsid w:val="003B359E"/>
    <w:rsid w:val="003B6D03"/>
    <w:rsid w:val="003C0DF6"/>
    <w:rsid w:val="003C2F59"/>
    <w:rsid w:val="003C5A2F"/>
    <w:rsid w:val="003C6889"/>
    <w:rsid w:val="003D1235"/>
    <w:rsid w:val="003D42B7"/>
    <w:rsid w:val="003D4BD8"/>
    <w:rsid w:val="003D576E"/>
    <w:rsid w:val="003D7763"/>
    <w:rsid w:val="003E63B5"/>
    <w:rsid w:val="003E7D4A"/>
    <w:rsid w:val="003F586E"/>
    <w:rsid w:val="00401158"/>
    <w:rsid w:val="00403835"/>
    <w:rsid w:val="00405634"/>
    <w:rsid w:val="00405EBC"/>
    <w:rsid w:val="004114E6"/>
    <w:rsid w:val="00412310"/>
    <w:rsid w:val="004130FF"/>
    <w:rsid w:val="0041485D"/>
    <w:rsid w:val="00414D8E"/>
    <w:rsid w:val="00414FC1"/>
    <w:rsid w:val="00416CDD"/>
    <w:rsid w:val="004171C7"/>
    <w:rsid w:val="00423790"/>
    <w:rsid w:val="004267AF"/>
    <w:rsid w:val="00426CA8"/>
    <w:rsid w:val="004321A0"/>
    <w:rsid w:val="00432220"/>
    <w:rsid w:val="00432718"/>
    <w:rsid w:val="00434DA3"/>
    <w:rsid w:val="004356D3"/>
    <w:rsid w:val="00440B83"/>
    <w:rsid w:val="00447049"/>
    <w:rsid w:val="004504E3"/>
    <w:rsid w:val="0045117C"/>
    <w:rsid w:val="0045416C"/>
    <w:rsid w:val="00454A83"/>
    <w:rsid w:val="00460EC5"/>
    <w:rsid w:val="00461134"/>
    <w:rsid w:val="00463CED"/>
    <w:rsid w:val="00467ADB"/>
    <w:rsid w:val="00482478"/>
    <w:rsid w:val="004824D2"/>
    <w:rsid w:val="004879DB"/>
    <w:rsid w:val="004916C9"/>
    <w:rsid w:val="004A1DDF"/>
    <w:rsid w:val="004A23FF"/>
    <w:rsid w:val="004A4480"/>
    <w:rsid w:val="004A4696"/>
    <w:rsid w:val="004B01A5"/>
    <w:rsid w:val="004B3EA5"/>
    <w:rsid w:val="004C1149"/>
    <w:rsid w:val="004C24A1"/>
    <w:rsid w:val="004C4F73"/>
    <w:rsid w:val="004D0F9A"/>
    <w:rsid w:val="004D1D17"/>
    <w:rsid w:val="004E1BD3"/>
    <w:rsid w:val="004E5C70"/>
    <w:rsid w:val="004E5FA5"/>
    <w:rsid w:val="004F37ED"/>
    <w:rsid w:val="004F489B"/>
    <w:rsid w:val="00503F1A"/>
    <w:rsid w:val="00507665"/>
    <w:rsid w:val="005104FD"/>
    <w:rsid w:val="00512072"/>
    <w:rsid w:val="00516CEE"/>
    <w:rsid w:val="005203B7"/>
    <w:rsid w:val="005215F2"/>
    <w:rsid w:val="00523797"/>
    <w:rsid w:val="00524670"/>
    <w:rsid w:val="00525C77"/>
    <w:rsid w:val="005346A4"/>
    <w:rsid w:val="005368E4"/>
    <w:rsid w:val="0053746E"/>
    <w:rsid w:val="00540F5D"/>
    <w:rsid w:val="00546306"/>
    <w:rsid w:val="0055033F"/>
    <w:rsid w:val="00551EC3"/>
    <w:rsid w:val="005524B5"/>
    <w:rsid w:val="00556912"/>
    <w:rsid w:val="0056456A"/>
    <w:rsid w:val="00571C26"/>
    <w:rsid w:val="005722F6"/>
    <w:rsid w:val="0057663F"/>
    <w:rsid w:val="00580868"/>
    <w:rsid w:val="005833B2"/>
    <w:rsid w:val="005839BF"/>
    <w:rsid w:val="00584EFE"/>
    <w:rsid w:val="005918FA"/>
    <w:rsid w:val="00591A50"/>
    <w:rsid w:val="00592D41"/>
    <w:rsid w:val="00593519"/>
    <w:rsid w:val="00594207"/>
    <w:rsid w:val="00596DA0"/>
    <w:rsid w:val="005A2AE4"/>
    <w:rsid w:val="005A58BB"/>
    <w:rsid w:val="005C1054"/>
    <w:rsid w:val="005C1CAA"/>
    <w:rsid w:val="005D26DC"/>
    <w:rsid w:val="005D2723"/>
    <w:rsid w:val="005D32FC"/>
    <w:rsid w:val="005D4F45"/>
    <w:rsid w:val="005D7FFA"/>
    <w:rsid w:val="005E1FEA"/>
    <w:rsid w:val="005E65BC"/>
    <w:rsid w:val="005F54F1"/>
    <w:rsid w:val="00603778"/>
    <w:rsid w:val="00604425"/>
    <w:rsid w:val="00605BCF"/>
    <w:rsid w:val="006106B8"/>
    <w:rsid w:val="00621FFE"/>
    <w:rsid w:val="0062291D"/>
    <w:rsid w:val="00642DD8"/>
    <w:rsid w:val="00643071"/>
    <w:rsid w:val="00645ED0"/>
    <w:rsid w:val="00654543"/>
    <w:rsid w:val="00657BE5"/>
    <w:rsid w:val="006601B2"/>
    <w:rsid w:val="006619BE"/>
    <w:rsid w:val="00673855"/>
    <w:rsid w:val="006754E0"/>
    <w:rsid w:val="0067579D"/>
    <w:rsid w:val="006817F6"/>
    <w:rsid w:val="00682229"/>
    <w:rsid w:val="00685FFC"/>
    <w:rsid w:val="006871A7"/>
    <w:rsid w:val="006908D1"/>
    <w:rsid w:val="0069212E"/>
    <w:rsid w:val="0069659E"/>
    <w:rsid w:val="006A16B3"/>
    <w:rsid w:val="006A6657"/>
    <w:rsid w:val="006A6DCF"/>
    <w:rsid w:val="006B1512"/>
    <w:rsid w:val="006B4FA1"/>
    <w:rsid w:val="006C3DC3"/>
    <w:rsid w:val="006C4563"/>
    <w:rsid w:val="006D294C"/>
    <w:rsid w:val="006D3A0D"/>
    <w:rsid w:val="006D46FE"/>
    <w:rsid w:val="006D6F1C"/>
    <w:rsid w:val="006E42C9"/>
    <w:rsid w:val="006E5CBC"/>
    <w:rsid w:val="006E68AA"/>
    <w:rsid w:val="006E7922"/>
    <w:rsid w:val="006F21BA"/>
    <w:rsid w:val="006F2411"/>
    <w:rsid w:val="00701D22"/>
    <w:rsid w:val="0070217D"/>
    <w:rsid w:val="00714E27"/>
    <w:rsid w:val="007160D7"/>
    <w:rsid w:val="007216B9"/>
    <w:rsid w:val="00721C72"/>
    <w:rsid w:val="00722C92"/>
    <w:rsid w:val="007243D6"/>
    <w:rsid w:val="00724B0C"/>
    <w:rsid w:val="0072545E"/>
    <w:rsid w:val="007262B9"/>
    <w:rsid w:val="00726C2E"/>
    <w:rsid w:val="00730A82"/>
    <w:rsid w:val="00737AD0"/>
    <w:rsid w:val="00740500"/>
    <w:rsid w:val="00743DF4"/>
    <w:rsid w:val="00747E9D"/>
    <w:rsid w:val="007531EA"/>
    <w:rsid w:val="00753C34"/>
    <w:rsid w:val="007630F9"/>
    <w:rsid w:val="0076359D"/>
    <w:rsid w:val="00764BE9"/>
    <w:rsid w:val="00773A8B"/>
    <w:rsid w:val="00775777"/>
    <w:rsid w:val="007768A3"/>
    <w:rsid w:val="0077751B"/>
    <w:rsid w:val="00781E2F"/>
    <w:rsid w:val="007830F3"/>
    <w:rsid w:val="007872E4"/>
    <w:rsid w:val="007920E2"/>
    <w:rsid w:val="00792937"/>
    <w:rsid w:val="007A13D5"/>
    <w:rsid w:val="007A21D3"/>
    <w:rsid w:val="007A44FD"/>
    <w:rsid w:val="007A5242"/>
    <w:rsid w:val="007A6BDD"/>
    <w:rsid w:val="007B0865"/>
    <w:rsid w:val="007B0FDE"/>
    <w:rsid w:val="007B3181"/>
    <w:rsid w:val="007B6390"/>
    <w:rsid w:val="007B6ECF"/>
    <w:rsid w:val="007C048C"/>
    <w:rsid w:val="007C1148"/>
    <w:rsid w:val="007C1DDE"/>
    <w:rsid w:val="007C748D"/>
    <w:rsid w:val="007D5B8E"/>
    <w:rsid w:val="007E73EA"/>
    <w:rsid w:val="007F2233"/>
    <w:rsid w:val="007F229F"/>
    <w:rsid w:val="007F24C1"/>
    <w:rsid w:val="007F3C8C"/>
    <w:rsid w:val="0080161F"/>
    <w:rsid w:val="008022DF"/>
    <w:rsid w:val="00803AD3"/>
    <w:rsid w:val="008100F2"/>
    <w:rsid w:val="00822B51"/>
    <w:rsid w:val="00824370"/>
    <w:rsid w:val="008245B0"/>
    <w:rsid w:val="00824D75"/>
    <w:rsid w:val="00825672"/>
    <w:rsid w:val="00842CEC"/>
    <w:rsid w:val="00843C18"/>
    <w:rsid w:val="0084476B"/>
    <w:rsid w:val="0084521F"/>
    <w:rsid w:val="00846521"/>
    <w:rsid w:val="0085009C"/>
    <w:rsid w:val="00851BE4"/>
    <w:rsid w:val="0085548B"/>
    <w:rsid w:val="008603A2"/>
    <w:rsid w:val="00865305"/>
    <w:rsid w:val="008725AA"/>
    <w:rsid w:val="008743DE"/>
    <w:rsid w:val="0087651A"/>
    <w:rsid w:val="00883F7C"/>
    <w:rsid w:val="008931F7"/>
    <w:rsid w:val="00893D0E"/>
    <w:rsid w:val="00896D96"/>
    <w:rsid w:val="00897CD3"/>
    <w:rsid w:val="008A668C"/>
    <w:rsid w:val="008B500D"/>
    <w:rsid w:val="008C1C85"/>
    <w:rsid w:val="008C4814"/>
    <w:rsid w:val="008D0B23"/>
    <w:rsid w:val="008D5D8B"/>
    <w:rsid w:val="008E0DB0"/>
    <w:rsid w:val="008E0E1D"/>
    <w:rsid w:val="008E0F0B"/>
    <w:rsid w:val="008E2EE0"/>
    <w:rsid w:val="008E6072"/>
    <w:rsid w:val="008F255D"/>
    <w:rsid w:val="008F26D2"/>
    <w:rsid w:val="00902E12"/>
    <w:rsid w:val="00903056"/>
    <w:rsid w:val="0092314E"/>
    <w:rsid w:val="00930168"/>
    <w:rsid w:val="00937B66"/>
    <w:rsid w:val="009401D8"/>
    <w:rsid w:val="00940AF2"/>
    <w:rsid w:val="00942727"/>
    <w:rsid w:val="00942CC5"/>
    <w:rsid w:val="00950136"/>
    <w:rsid w:val="009538D3"/>
    <w:rsid w:val="009616F8"/>
    <w:rsid w:val="00962ED9"/>
    <w:rsid w:val="00963A3C"/>
    <w:rsid w:val="00963FB0"/>
    <w:rsid w:val="0096492E"/>
    <w:rsid w:val="00967739"/>
    <w:rsid w:val="00976060"/>
    <w:rsid w:val="00981E01"/>
    <w:rsid w:val="00983AAE"/>
    <w:rsid w:val="009841FB"/>
    <w:rsid w:val="00990790"/>
    <w:rsid w:val="009915BF"/>
    <w:rsid w:val="009A3002"/>
    <w:rsid w:val="009A50DA"/>
    <w:rsid w:val="009A59B2"/>
    <w:rsid w:val="009A6B45"/>
    <w:rsid w:val="009B2006"/>
    <w:rsid w:val="009B2095"/>
    <w:rsid w:val="009B35B3"/>
    <w:rsid w:val="009B3F97"/>
    <w:rsid w:val="009B50E6"/>
    <w:rsid w:val="009C308C"/>
    <w:rsid w:val="009C60D7"/>
    <w:rsid w:val="009E6F2B"/>
    <w:rsid w:val="009E7B69"/>
    <w:rsid w:val="009F07EF"/>
    <w:rsid w:val="009F274F"/>
    <w:rsid w:val="00A02FE9"/>
    <w:rsid w:val="00A030D9"/>
    <w:rsid w:val="00A05BB7"/>
    <w:rsid w:val="00A06A53"/>
    <w:rsid w:val="00A108D4"/>
    <w:rsid w:val="00A124FF"/>
    <w:rsid w:val="00A1325E"/>
    <w:rsid w:val="00A168C1"/>
    <w:rsid w:val="00A1736A"/>
    <w:rsid w:val="00A25CC6"/>
    <w:rsid w:val="00A278DD"/>
    <w:rsid w:val="00A30E2A"/>
    <w:rsid w:val="00A31A4A"/>
    <w:rsid w:val="00A3445E"/>
    <w:rsid w:val="00A37AAE"/>
    <w:rsid w:val="00A43FE3"/>
    <w:rsid w:val="00A45D64"/>
    <w:rsid w:val="00A46B3B"/>
    <w:rsid w:val="00A50429"/>
    <w:rsid w:val="00A529A8"/>
    <w:rsid w:val="00A54352"/>
    <w:rsid w:val="00A755BC"/>
    <w:rsid w:val="00A765DC"/>
    <w:rsid w:val="00A8009F"/>
    <w:rsid w:val="00A828CD"/>
    <w:rsid w:val="00AA021F"/>
    <w:rsid w:val="00AA2A81"/>
    <w:rsid w:val="00AA3A77"/>
    <w:rsid w:val="00AB3578"/>
    <w:rsid w:val="00AB473F"/>
    <w:rsid w:val="00AB5D8B"/>
    <w:rsid w:val="00AB6BA7"/>
    <w:rsid w:val="00AB7BDD"/>
    <w:rsid w:val="00AB7D07"/>
    <w:rsid w:val="00AC6757"/>
    <w:rsid w:val="00AD5563"/>
    <w:rsid w:val="00AD7678"/>
    <w:rsid w:val="00AE00A5"/>
    <w:rsid w:val="00AE00C0"/>
    <w:rsid w:val="00AF197F"/>
    <w:rsid w:val="00AF31E5"/>
    <w:rsid w:val="00AF3943"/>
    <w:rsid w:val="00AF5ED2"/>
    <w:rsid w:val="00AF6980"/>
    <w:rsid w:val="00B00555"/>
    <w:rsid w:val="00B0205F"/>
    <w:rsid w:val="00B0410A"/>
    <w:rsid w:val="00B0433A"/>
    <w:rsid w:val="00B118BA"/>
    <w:rsid w:val="00B13B8F"/>
    <w:rsid w:val="00B14A4F"/>
    <w:rsid w:val="00B156BC"/>
    <w:rsid w:val="00B20E16"/>
    <w:rsid w:val="00B22ABA"/>
    <w:rsid w:val="00B27B78"/>
    <w:rsid w:val="00B307FF"/>
    <w:rsid w:val="00B36A04"/>
    <w:rsid w:val="00B4632F"/>
    <w:rsid w:val="00B55716"/>
    <w:rsid w:val="00B56989"/>
    <w:rsid w:val="00B62381"/>
    <w:rsid w:val="00B6446E"/>
    <w:rsid w:val="00B66C58"/>
    <w:rsid w:val="00B66E91"/>
    <w:rsid w:val="00B77EC1"/>
    <w:rsid w:val="00B80205"/>
    <w:rsid w:val="00B806AC"/>
    <w:rsid w:val="00BA18B8"/>
    <w:rsid w:val="00BA2AA0"/>
    <w:rsid w:val="00BA5CAA"/>
    <w:rsid w:val="00BB2247"/>
    <w:rsid w:val="00BB4D55"/>
    <w:rsid w:val="00BC4DAA"/>
    <w:rsid w:val="00BD2656"/>
    <w:rsid w:val="00BD3CB5"/>
    <w:rsid w:val="00BD5F22"/>
    <w:rsid w:val="00BE301D"/>
    <w:rsid w:val="00BE77B4"/>
    <w:rsid w:val="00BF1714"/>
    <w:rsid w:val="00BF3B7B"/>
    <w:rsid w:val="00BF5500"/>
    <w:rsid w:val="00BF7A32"/>
    <w:rsid w:val="00C037AD"/>
    <w:rsid w:val="00C0571A"/>
    <w:rsid w:val="00C1189F"/>
    <w:rsid w:val="00C11931"/>
    <w:rsid w:val="00C13F13"/>
    <w:rsid w:val="00C1555A"/>
    <w:rsid w:val="00C161BE"/>
    <w:rsid w:val="00C30EC1"/>
    <w:rsid w:val="00C317E7"/>
    <w:rsid w:val="00C32D45"/>
    <w:rsid w:val="00C4210E"/>
    <w:rsid w:val="00C42370"/>
    <w:rsid w:val="00C42A5F"/>
    <w:rsid w:val="00C4432C"/>
    <w:rsid w:val="00C46FDB"/>
    <w:rsid w:val="00C55B7B"/>
    <w:rsid w:val="00C5764F"/>
    <w:rsid w:val="00C6627E"/>
    <w:rsid w:val="00C7175F"/>
    <w:rsid w:val="00C737E0"/>
    <w:rsid w:val="00C74744"/>
    <w:rsid w:val="00C758D9"/>
    <w:rsid w:val="00C84C9C"/>
    <w:rsid w:val="00C924CC"/>
    <w:rsid w:val="00C97F29"/>
    <w:rsid w:val="00CA333C"/>
    <w:rsid w:val="00CA36DE"/>
    <w:rsid w:val="00CA3C15"/>
    <w:rsid w:val="00CA6A77"/>
    <w:rsid w:val="00CA76C8"/>
    <w:rsid w:val="00CB1E9D"/>
    <w:rsid w:val="00CB349F"/>
    <w:rsid w:val="00CB772F"/>
    <w:rsid w:val="00CC11C4"/>
    <w:rsid w:val="00CC14A7"/>
    <w:rsid w:val="00CC35DB"/>
    <w:rsid w:val="00CC3EDE"/>
    <w:rsid w:val="00CC5C29"/>
    <w:rsid w:val="00CD0964"/>
    <w:rsid w:val="00CD0E61"/>
    <w:rsid w:val="00CD2467"/>
    <w:rsid w:val="00CE3848"/>
    <w:rsid w:val="00CE7767"/>
    <w:rsid w:val="00CF6682"/>
    <w:rsid w:val="00D018AC"/>
    <w:rsid w:val="00D04B0D"/>
    <w:rsid w:val="00D14C1E"/>
    <w:rsid w:val="00D20EB1"/>
    <w:rsid w:val="00D22C61"/>
    <w:rsid w:val="00D23D7C"/>
    <w:rsid w:val="00D313BF"/>
    <w:rsid w:val="00D324A3"/>
    <w:rsid w:val="00D324CB"/>
    <w:rsid w:val="00D332A3"/>
    <w:rsid w:val="00D33610"/>
    <w:rsid w:val="00D33B36"/>
    <w:rsid w:val="00D33C08"/>
    <w:rsid w:val="00D415B1"/>
    <w:rsid w:val="00D43704"/>
    <w:rsid w:val="00D442D7"/>
    <w:rsid w:val="00D44BDD"/>
    <w:rsid w:val="00D44D32"/>
    <w:rsid w:val="00D46A8A"/>
    <w:rsid w:val="00D54E85"/>
    <w:rsid w:val="00D56418"/>
    <w:rsid w:val="00D60CBD"/>
    <w:rsid w:val="00D67F2E"/>
    <w:rsid w:val="00D71A25"/>
    <w:rsid w:val="00D776CF"/>
    <w:rsid w:val="00D81977"/>
    <w:rsid w:val="00D91FC4"/>
    <w:rsid w:val="00D95751"/>
    <w:rsid w:val="00D96548"/>
    <w:rsid w:val="00D97B13"/>
    <w:rsid w:val="00DA1712"/>
    <w:rsid w:val="00DA4754"/>
    <w:rsid w:val="00DA51A6"/>
    <w:rsid w:val="00DA52BC"/>
    <w:rsid w:val="00DA6FDD"/>
    <w:rsid w:val="00DB172E"/>
    <w:rsid w:val="00DB3632"/>
    <w:rsid w:val="00DB6A02"/>
    <w:rsid w:val="00DC0341"/>
    <w:rsid w:val="00DC0B0C"/>
    <w:rsid w:val="00DC71D5"/>
    <w:rsid w:val="00DD040A"/>
    <w:rsid w:val="00DD121E"/>
    <w:rsid w:val="00DD39BD"/>
    <w:rsid w:val="00DD7372"/>
    <w:rsid w:val="00DE2F04"/>
    <w:rsid w:val="00DE3652"/>
    <w:rsid w:val="00DE3815"/>
    <w:rsid w:val="00DF1C33"/>
    <w:rsid w:val="00DF392C"/>
    <w:rsid w:val="00DF535B"/>
    <w:rsid w:val="00DF5512"/>
    <w:rsid w:val="00DF67DD"/>
    <w:rsid w:val="00E005F4"/>
    <w:rsid w:val="00E218B7"/>
    <w:rsid w:val="00E27526"/>
    <w:rsid w:val="00E33886"/>
    <w:rsid w:val="00E36260"/>
    <w:rsid w:val="00E3750D"/>
    <w:rsid w:val="00E37A2F"/>
    <w:rsid w:val="00E37E37"/>
    <w:rsid w:val="00E50481"/>
    <w:rsid w:val="00E52419"/>
    <w:rsid w:val="00E53C6F"/>
    <w:rsid w:val="00E54799"/>
    <w:rsid w:val="00E562F9"/>
    <w:rsid w:val="00E606EC"/>
    <w:rsid w:val="00E60B96"/>
    <w:rsid w:val="00E62952"/>
    <w:rsid w:val="00E62F42"/>
    <w:rsid w:val="00E66641"/>
    <w:rsid w:val="00E77C0A"/>
    <w:rsid w:val="00E8165F"/>
    <w:rsid w:val="00E831E0"/>
    <w:rsid w:val="00E853D7"/>
    <w:rsid w:val="00E87485"/>
    <w:rsid w:val="00E90DAB"/>
    <w:rsid w:val="00E951C1"/>
    <w:rsid w:val="00EA2ED9"/>
    <w:rsid w:val="00EB26B8"/>
    <w:rsid w:val="00EB4883"/>
    <w:rsid w:val="00EC06DA"/>
    <w:rsid w:val="00EC28CD"/>
    <w:rsid w:val="00EC3431"/>
    <w:rsid w:val="00EC6510"/>
    <w:rsid w:val="00ED4491"/>
    <w:rsid w:val="00ED65D2"/>
    <w:rsid w:val="00EE0BC0"/>
    <w:rsid w:val="00EE2C33"/>
    <w:rsid w:val="00EF0980"/>
    <w:rsid w:val="00EF1D52"/>
    <w:rsid w:val="00EF301B"/>
    <w:rsid w:val="00EF5B8B"/>
    <w:rsid w:val="00F003A7"/>
    <w:rsid w:val="00F019A7"/>
    <w:rsid w:val="00F06EFB"/>
    <w:rsid w:val="00F1061E"/>
    <w:rsid w:val="00F13125"/>
    <w:rsid w:val="00F15106"/>
    <w:rsid w:val="00F16577"/>
    <w:rsid w:val="00F20320"/>
    <w:rsid w:val="00F228CB"/>
    <w:rsid w:val="00F27F7C"/>
    <w:rsid w:val="00F3424F"/>
    <w:rsid w:val="00F354C8"/>
    <w:rsid w:val="00F3573D"/>
    <w:rsid w:val="00F36A28"/>
    <w:rsid w:val="00F3776E"/>
    <w:rsid w:val="00F42AD3"/>
    <w:rsid w:val="00F42BF7"/>
    <w:rsid w:val="00F43AFE"/>
    <w:rsid w:val="00F5385B"/>
    <w:rsid w:val="00F53A04"/>
    <w:rsid w:val="00F53EAB"/>
    <w:rsid w:val="00F55D32"/>
    <w:rsid w:val="00F568BE"/>
    <w:rsid w:val="00F56FB6"/>
    <w:rsid w:val="00F61BF3"/>
    <w:rsid w:val="00F6231B"/>
    <w:rsid w:val="00F641B7"/>
    <w:rsid w:val="00F6670B"/>
    <w:rsid w:val="00F67C8A"/>
    <w:rsid w:val="00F723AD"/>
    <w:rsid w:val="00F76665"/>
    <w:rsid w:val="00F77274"/>
    <w:rsid w:val="00F82910"/>
    <w:rsid w:val="00F90BC4"/>
    <w:rsid w:val="00F946EE"/>
    <w:rsid w:val="00F96523"/>
    <w:rsid w:val="00FA10DC"/>
    <w:rsid w:val="00FA4FA6"/>
    <w:rsid w:val="00FA6DFA"/>
    <w:rsid w:val="00FC1AEA"/>
    <w:rsid w:val="00FC1D3E"/>
    <w:rsid w:val="00FC48BA"/>
    <w:rsid w:val="00FC6918"/>
    <w:rsid w:val="00FD08B5"/>
    <w:rsid w:val="00FD27CF"/>
    <w:rsid w:val="00FD3586"/>
    <w:rsid w:val="00FF1833"/>
    <w:rsid w:val="00FF4808"/>
    <w:rsid w:val="00FF6ABF"/>
    <w:rsid w:val="00FF6CDB"/>
    <w:rsid w:val="00FF6E6E"/>
    <w:rsid w:val="00FF75ED"/>
    <w:rsid w:val="01BA178B"/>
    <w:rsid w:val="026A4959"/>
    <w:rsid w:val="029C290B"/>
    <w:rsid w:val="030329BA"/>
    <w:rsid w:val="032076CE"/>
    <w:rsid w:val="036A374F"/>
    <w:rsid w:val="03B47DC1"/>
    <w:rsid w:val="043B10A6"/>
    <w:rsid w:val="04F57CED"/>
    <w:rsid w:val="056A1D11"/>
    <w:rsid w:val="058B60C2"/>
    <w:rsid w:val="06686C72"/>
    <w:rsid w:val="067547B1"/>
    <w:rsid w:val="072256E2"/>
    <w:rsid w:val="073443D9"/>
    <w:rsid w:val="07CD53CA"/>
    <w:rsid w:val="07FD21B0"/>
    <w:rsid w:val="086E5263"/>
    <w:rsid w:val="08AD31FB"/>
    <w:rsid w:val="0A365262"/>
    <w:rsid w:val="0A4A0725"/>
    <w:rsid w:val="0AD91528"/>
    <w:rsid w:val="0B1E0C43"/>
    <w:rsid w:val="0CD7158E"/>
    <w:rsid w:val="11202301"/>
    <w:rsid w:val="117C00ED"/>
    <w:rsid w:val="11D90D02"/>
    <w:rsid w:val="176D0592"/>
    <w:rsid w:val="194C4AAD"/>
    <w:rsid w:val="1B555E6B"/>
    <w:rsid w:val="1C295179"/>
    <w:rsid w:val="1CB52B35"/>
    <w:rsid w:val="1E005FA5"/>
    <w:rsid w:val="1E4C2C3B"/>
    <w:rsid w:val="1E544886"/>
    <w:rsid w:val="1EE04EB1"/>
    <w:rsid w:val="20CD1E0F"/>
    <w:rsid w:val="21E47925"/>
    <w:rsid w:val="22A2772B"/>
    <w:rsid w:val="25332346"/>
    <w:rsid w:val="260D76B9"/>
    <w:rsid w:val="267E2238"/>
    <w:rsid w:val="274C5429"/>
    <w:rsid w:val="294008AF"/>
    <w:rsid w:val="29CF1658"/>
    <w:rsid w:val="2C9E5875"/>
    <w:rsid w:val="2DA763C8"/>
    <w:rsid w:val="2FA73189"/>
    <w:rsid w:val="2FAF4C07"/>
    <w:rsid w:val="30F67906"/>
    <w:rsid w:val="314D0EE2"/>
    <w:rsid w:val="32043FBE"/>
    <w:rsid w:val="32233830"/>
    <w:rsid w:val="32E90F84"/>
    <w:rsid w:val="33663940"/>
    <w:rsid w:val="33F36BFE"/>
    <w:rsid w:val="35625557"/>
    <w:rsid w:val="384A186B"/>
    <w:rsid w:val="3A2B1F54"/>
    <w:rsid w:val="3A38784C"/>
    <w:rsid w:val="3A5B1046"/>
    <w:rsid w:val="3B38142F"/>
    <w:rsid w:val="3B5C2526"/>
    <w:rsid w:val="3BA478A4"/>
    <w:rsid w:val="3C5E5B29"/>
    <w:rsid w:val="3C933C0E"/>
    <w:rsid w:val="3CE47B2E"/>
    <w:rsid w:val="3CF01CC5"/>
    <w:rsid w:val="3CFA5E5C"/>
    <w:rsid w:val="3E9D72A2"/>
    <w:rsid w:val="3EA811A8"/>
    <w:rsid w:val="3EB640DE"/>
    <w:rsid w:val="415D16B6"/>
    <w:rsid w:val="447B74B4"/>
    <w:rsid w:val="44ED4117"/>
    <w:rsid w:val="44F63F7F"/>
    <w:rsid w:val="45DB6BD5"/>
    <w:rsid w:val="460A0EAE"/>
    <w:rsid w:val="4820224D"/>
    <w:rsid w:val="49137B1B"/>
    <w:rsid w:val="49A90486"/>
    <w:rsid w:val="4ABF7A2E"/>
    <w:rsid w:val="4B386D45"/>
    <w:rsid w:val="4CD337E9"/>
    <w:rsid w:val="4DC30244"/>
    <w:rsid w:val="4E4B4EA9"/>
    <w:rsid w:val="4EB44311"/>
    <w:rsid w:val="4EBB7C58"/>
    <w:rsid w:val="501972E0"/>
    <w:rsid w:val="506015E4"/>
    <w:rsid w:val="524C30E6"/>
    <w:rsid w:val="52607EE4"/>
    <w:rsid w:val="54890F5A"/>
    <w:rsid w:val="55300172"/>
    <w:rsid w:val="553B7BF2"/>
    <w:rsid w:val="55A24DEF"/>
    <w:rsid w:val="56786D59"/>
    <w:rsid w:val="568B7EE3"/>
    <w:rsid w:val="580C7B94"/>
    <w:rsid w:val="58B11C11"/>
    <w:rsid w:val="5A0F3C17"/>
    <w:rsid w:val="5B19333A"/>
    <w:rsid w:val="5B5D4FDD"/>
    <w:rsid w:val="5B676294"/>
    <w:rsid w:val="5BF1015F"/>
    <w:rsid w:val="5CB13BA9"/>
    <w:rsid w:val="5E19638D"/>
    <w:rsid w:val="5F373FBF"/>
    <w:rsid w:val="5FA559DE"/>
    <w:rsid w:val="60AD60FE"/>
    <w:rsid w:val="60AE671D"/>
    <w:rsid w:val="626266E7"/>
    <w:rsid w:val="62A87EE4"/>
    <w:rsid w:val="63051A3D"/>
    <w:rsid w:val="644454F5"/>
    <w:rsid w:val="65970E49"/>
    <w:rsid w:val="662305C2"/>
    <w:rsid w:val="67FDED82"/>
    <w:rsid w:val="67FE6E91"/>
    <w:rsid w:val="68807A41"/>
    <w:rsid w:val="69191871"/>
    <w:rsid w:val="69A23E61"/>
    <w:rsid w:val="6D5F728E"/>
    <w:rsid w:val="6EF230AA"/>
    <w:rsid w:val="6F25667C"/>
    <w:rsid w:val="70A1532D"/>
    <w:rsid w:val="7263752C"/>
    <w:rsid w:val="73935206"/>
    <w:rsid w:val="77BE5CAD"/>
    <w:rsid w:val="7828682C"/>
    <w:rsid w:val="7981729A"/>
    <w:rsid w:val="7B327CBF"/>
    <w:rsid w:val="7BD7640F"/>
    <w:rsid w:val="7E3A23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center" w:pos="4201"/>
        <w:tab w:val="right" w:leader="dot" w:pos="9298"/>
      </w:tabs>
      <w:autoSpaceDE w:val="0"/>
      <w:autoSpaceDN w:val="0"/>
      <w:ind w:firstLine="420" w:firstLineChars="200"/>
      <w:jc w:val="both"/>
    </w:pPr>
    <w:rPr>
      <w:rFonts w:cs="Times New Roman" w:asciiTheme="minorEastAsia" w:hAnsiTheme="minorEastAsia" w:eastAsiaTheme="minorEastAsia"/>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b/>
      <w:kern w:val="44"/>
      <w:sz w:val="44"/>
    </w:rPr>
  </w:style>
  <w:style w:type="paragraph" w:styleId="3">
    <w:name w:val="heading 2"/>
    <w:basedOn w:val="1"/>
    <w:next w:val="1"/>
    <w:link w:val="72"/>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5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tabs>
        <w:tab w:val="left" w:pos="560"/>
        <w:tab w:val="left" w:pos="1120"/>
      </w:tabs>
      <w:spacing w:line="480" w:lineRule="atLeast"/>
      <w:ind w:firstLine="460"/>
    </w:pPr>
    <w:rPr>
      <w:rFonts w:ascii="Arial" w:hAnsi="Arial"/>
      <w:sz w:val="24"/>
      <w:szCs w:val="20"/>
    </w:rPr>
  </w:style>
  <w:style w:type="paragraph" w:styleId="7">
    <w:name w:val="toc 3"/>
    <w:basedOn w:val="1"/>
    <w:next w:val="1"/>
    <w:unhideWhenUsed/>
    <w:qFormat/>
    <w:uiPriority w:val="39"/>
    <w:pPr>
      <w:ind w:left="840" w:leftChars="400"/>
    </w:pPr>
  </w:style>
  <w:style w:type="paragraph" w:styleId="8">
    <w:name w:val="Plain Text"/>
    <w:basedOn w:val="1"/>
    <w:link w:val="67"/>
    <w:qFormat/>
    <w:uiPriority w:val="0"/>
    <w:rPr>
      <w:rFonts w:ascii="宋体" w:hAnsi="Courier New" w:cs="Courier New"/>
      <w:szCs w:val="21"/>
    </w:rPr>
  </w:style>
  <w:style w:type="paragraph" w:styleId="9">
    <w:name w:val="Date"/>
    <w:basedOn w:val="1"/>
    <w:next w:val="1"/>
    <w:link w:val="79"/>
    <w:qFormat/>
    <w:uiPriority w:val="0"/>
    <w:pPr>
      <w:ind w:left="100" w:leftChars="2500"/>
    </w:pPr>
  </w:style>
  <w:style w:type="paragraph" w:styleId="10">
    <w:name w:val="Balloon Text"/>
    <w:basedOn w:val="1"/>
    <w:link w:val="54"/>
    <w:qFormat/>
    <w:uiPriority w:val="0"/>
    <w:rPr>
      <w:sz w:val="18"/>
      <w:szCs w:val="18"/>
    </w:rPr>
  </w:style>
  <w:style w:type="paragraph" w:styleId="11">
    <w:name w:val="footer"/>
    <w:basedOn w:val="1"/>
    <w:link w:val="56"/>
    <w:qFormat/>
    <w:uiPriority w:val="99"/>
    <w:pPr>
      <w:tabs>
        <w:tab w:val="center" w:pos="4153"/>
        <w:tab w:val="right" w:pos="8306"/>
      </w:tabs>
      <w:snapToGrid w:val="0"/>
      <w:jc w:val="left"/>
    </w:pPr>
    <w:rPr>
      <w:sz w:val="18"/>
    </w:rPr>
  </w:style>
  <w:style w:type="paragraph" w:styleId="12">
    <w:name w:val="header"/>
    <w:basedOn w:val="1"/>
    <w:link w:val="49"/>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Body Text Indent 3"/>
    <w:basedOn w:val="1"/>
    <w:qFormat/>
    <w:uiPriority w:val="0"/>
    <w:pPr>
      <w:spacing w:after="120"/>
      <w:ind w:left="420" w:leftChars="200"/>
    </w:pPr>
    <w:rPr>
      <w:sz w:val="16"/>
      <w:szCs w:val="16"/>
    </w:rPr>
  </w:style>
  <w:style w:type="paragraph" w:styleId="15">
    <w:name w:val="toc 2"/>
    <w:basedOn w:val="1"/>
    <w:next w:val="1"/>
    <w:unhideWhenUsed/>
    <w:qFormat/>
    <w:uiPriority w:val="39"/>
    <w:pPr>
      <w:ind w:left="420" w:leftChars="200"/>
    </w:pPr>
  </w:style>
  <w:style w:type="paragraph" w:styleId="16">
    <w:name w:val="Body Text 2"/>
    <w:basedOn w:val="1"/>
    <w:qFormat/>
    <w:uiPriority w:val="0"/>
    <w:rPr>
      <w:rFonts w:ascii="宋体"/>
      <w:sz w:val="18"/>
      <w:szCs w:val="20"/>
    </w:rPr>
  </w:style>
  <w:style w:type="paragraph" w:styleId="17">
    <w:name w:val="Title"/>
    <w:basedOn w:val="1"/>
    <w:next w:val="1"/>
    <w:link w:val="68"/>
    <w:qFormat/>
    <w:uiPriority w:val="0"/>
    <w:pPr>
      <w:spacing w:before="240" w:after="60"/>
      <w:jc w:val="center"/>
      <w:outlineLvl w:val="0"/>
    </w:pPr>
    <w:rPr>
      <w:rFonts w:ascii="Calibri Light" w:hAnsi="Calibri Light"/>
      <w:b/>
      <w:bCs/>
      <w:sz w:val="32"/>
      <w:szCs w:val="32"/>
    </w:rPr>
  </w:style>
  <w:style w:type="paragraph" w:styleId="18">
    <w:name w:val="annotation subject"/>
    <w:basedOn w:val="4"/>
    <w:next w:val="4"/>
    <w:link w:val="53"/>
    <w:qFormat/>
    <w:uiPriority w:val="0"/>
    <w:rPr>
      <w:b/>
      <w:bCs/>
    </w:rPr>
  </w:style>
  <w:style w:type="paragraph" w:styleId="19">
    <w:name w:val="Body Text First Indent"/>
    <w:basedOn w:val="5"/>
    <w:qFormat/>
    <w:uiPriority w:val="0"/>
    <w:pPr>
      <w:ind w:firstLine="100" w:firstLineChars="100"/>
    </w:p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rPr>
      <w:rFonts w:ascii="Times New Roman" w:hAnsi="Times New Roman" w:eastAsia="宋体"/>
      <w:sz w:val="18"/>
    </w:rPr>
  </w:style>
  <w:style w:type="character" w:styleId="24">
    <w:name w:val="Emphasis"/>
    <w:basedOn w:val="22"/>
    <w:qFormat/>
    <w:uiPriority w:val="20"/>
    <w:rPr>
      <w:i/>
      <w:iCs/>
    </w:rPr>
  </w:style>
  <w:style w:type="character" w:styleId="25">
    <w:name w:val="Hyperlink"/>
    <w:basedOn w:val="22"/>
    <w:unhideWhenUsed/>
    <w:qFormat/>
    <w:uiPriority w:val="99"/>
    <w:rPr>
      <w:color w:val="0000FF"/>
      <w:u w:val="single"/>
    </w:rPr>
  </w:style>
  <w:style w:type="character" w:styleId="26">
    <w:name w:val="annotation reference"/>
    <w:qFormat/>
    <w:uiPriority w:val="0"/>
    <w:rPr>
      <w:sz w:val="21"/>
      <w:szCs w:val="21"/>
    </w:rPr>
  </w:style>
  <w:style w:type="paragraph" w:customStyle="1" w:styleId="27">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2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2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0">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31">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3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szCs w:val="22"/>
      <w:lang w:val="en-US" w:eastAsia="zh-CN" w:bidi="ar-SA"/>
    </w:rPr>
  </w:style>
  <w:style w:type="paragraph" w:customStyle="1" w:styleId="33">
    <w:name w:val="封面标准英文名称"/>
    <w:basedOn w:val="32"/>
    <w:qFormat/>
    <w:uiPriority w:val="0"/>
    <w:pPr>
      <w:framePr w:wrap="around"/>
      <w:spacing w:before="370" w:line="400" w:lineRule="exact"/>
    </w:pPr>
    <w:rPr>
      <w:rFonts w:ascii="Times New Roman"/>
      <w:sz w:val="28"/>
      <w:szCs w:val="28"/>
    </w:rPr>
  </w:style>
  <w:style w:type="paragraph" w:customStyle="1" w:styleId="34">
    <w:name w:val="封面一致性程度标识"/>
    <w:basedOn w:val="33"/>
    <w:qFormat/>
    <w:uiPriority w:val="0"/>
    <w:pPr>
      <w:framePr w:wrap="around"/>
      <w:spacing w:before="440"/>
    </w:pPr>
    <w:rPr>
      <w:rFonts w:ascii="宋体" w:eastAsia="宋体"/>
    </w:rPr>
  </w:style>
  <w:style w:type="paragraph" w:customStyle="1" w:styleId="35">
    <w:name w:val="封面标准文稿类别"/>
    <w:basedOn w:val="34"/>
    <w:qFormat/>
    <w:uiPriority w:val="0"/>
    <w:pPr>
      <w:framePr w:wrap="around"/>
      <w:spacing w:after="160" w:line="240" w:lineRule="auto"/>
    </w:pPr>
    <w:rPr>
      <w:sz w:val="24"/>
    </w:rPr>
  </w:style>
  <w:style w:type="paragraph" w:customStyle="1" w:styleId="36">
    <w:name w:val="封面标准文稿编辑信息"/>
    <w:basedOn w:val="35"/>
    <w:qFormat/>
    <w:uiPriority w:val="0"/>
    <w:pPr>
      <w:framePr w:wrap="around"/>
      <w:spacing w:before="180" w:line="180" w:lineRule="exact"/>
    </w:pPr>
    <w:rPr>
      <w:sz w:val="21"/>
    </w:rPr>
  </w:style>
  <w:style w:type="paragraph" w:customStyle="1" w:styleId="37">
    <w:name w:val="其他发布日期"/>
    <w:basedOn w:val="38"/>
    <w:qFormat/>
    <w:uiPriority w:val="0"/>
    <w:pPr>
      <w:framePr w:wrap="around" w:vAnchor="page" w:hAnchor="text" w:x="1419"/>
    </w:pPr>
  </w:style>
  <w:style w:type="paragraph" w:customStyle="1" w:styleId="38">
    <w:name w:val="发布日期"/>
    <w:qFormat/>
    <w:uiPriority w:val="0"/>
    <w:pPr>
      <w:framePr w:w="3997" w:h="471" w:hRule="exact" w:vSpace="181" w:wrap="around" w:vAnchor="margin" w:hAnchor="page" w:x="7089" w:y="14097" w:anchorLock="1"/>
    </w:pPr>
    <w:rPr>
      <w:rFonts w:ascii="Calibri" w:hAnsi="Calibri" w:eastAsia="黑体" w:cs="Times New Roman"/>
      <w:sz w:val="28"/>
      <w:szCs w:val="22"/>
      <w:lang w:val="en-US" w:eastAsia="zh-CN" w:bidi="ar-SA"/>
    </w:rPr>
  </w:style>
  <w:style w:type="paragraph" w:customStyle="1" w:styleId="39">
    <w:name w:val="其他实施日期"/>
    <w:basedOn w:val="40"/>
    <w:qFormat/>
    <w:uiPriority w:val="0"/>
    <w:pPr>
      <w:framePr w:wrap="around"/>
    </w:pPr>
  </w:style>
  <w:style w:type="paragraph" w:customStyle="1" w:styleId="40">
    <w:name w:val="实施日期"/>
    <w:basedOn w:val="38"/>
    <w:qFormat/>
    <w:uiPriority w:val="0"/>
    <w:pPr>
      <w:framePr w:wrap="around" w:vAnchor="page" w:hAnchor="text"/>
      <w:jc w:val="right"/>
    </w:pPr>
  </w:style>
  <w:style w:type="paragraph" w:customStyle="1" w:styleId="41">
    <w:name w:val="其他发布部门"/>
    <w:basedOn w:val="42"/>
    <w:qFormat/>
    <w:uiPriority w:val="0"/>
    <w:pPr>
      <w:framePr w:wrap="around" w:y="15310"/>
      <w:spacing w:line="0" w:lineRule="atLeast"/>
    </w:pPr>
    <w:rPr>
      <w:rFonts w:ascii="黑体" w:eastAsia="黑体"/>
      <w:b w:val="0"/>
    </w:rPr>
  </w:style>
  <w:style w:type="paragraph" w:customStyle="1" w:styleId="42">
    <w:name w:val="发布部门"/>
    <w:next w:val="43"/>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szCs w:val="22"/>
      <w:lang w:val="en-US" w:eastAsia="zh-CN" w:bidi="ar-SA"/>
    </w:rPr>
  </w:style>
  <w:style w:type="paragraph" w:customStyle="1" w:styleId="43">
    <w:name w:val="段"/>
    <w:link w:val="51"/>
    <w:qFormat/>
    <w:uiPriority w:val="0"/>
    <w:pPr>
      <w:numPr>
        <w:ilvl w:val="1"/>
        <w:numId w:val="1"/>
      </w:numPr>
      <w:tabs>
        <w:tab w:val="center" w:pos="4201"/>
        <w:tab w:val="right" w:leader="dot" w:pos="9298"/>
      </w:tabs>
      <w:autoSpaceDE w:val="0"/>
      <w:autoSpaceDN w:val="0"/>
      <w:spacing w:before="156" w:beforeLines="50" w:after="156" w:afterLines="50"/>
      <w:jc w:val="both"/>
    </w:pPr>
    <w:rPr>
      <w:rFonts w:ascii="黑体" w:hAnsi="黑体" w:eastAsia="黑体" w:cs="Times New Roman"/>
      <w:sz w:val="21"/>
      <w:szCs w:val="22"/>
      <w:lang w:val="en-US" w:eastAsia="zh-CN" w:bidi="ar-SA"/>
    </w:rPr>
  </w:style>
  <w:style w:type="character" w:customStyle="1" w:styleId="44">
    <w:name w:val="发布"/>
    <w:qFormat/>
    <w:uiPriority w:val="0"/>
    <w:rPr>
      <w:rFonts w:ascii="黑体" w:eastAsia="黑体"/>
      <w:spacing w:val="85"/>
      <w:w w:val="100"/>
      <w:position w:val="3"/>
      <w:sz w:val="28"/>
      <w:szCs w:val="28"/>
    </w:rPr>
  </w:style>
  <w:style w:type="paragraph" w:customStyle="1" w:styleId="45">
    <w:name w:val="前言、引言标题"/>
    <w:next w:val="1"/>
    <w:qFormat/>
    <w:uiPriority w:val="0"/>
    <w:pPr>
      <w:keepNext/>
      <w:pageBreakBefore/>
      <w:shd w:val="clear" w:color="FFFFFF" w:fill="FFFFFF"/>
      <w:spacing w:before="640" w:after="560"/>
      <w:jc w:val="center"/>
      <w:outlineLvl w:val="0"/>
    </w:pPr>
    <w:rPr>
      <w:rFonts w:ascii="黑体" w:hAnsi="Calibri" w:eastAsia="黑体" w:cs="Times New Roman"/>
      <w:sz w:val="32"/>
      <w:szCs w:val="22"/>
      <w:lang w:val="en-US" w:eastAsia="zh-CN" w:bidi="ar-SA"/>
    </w:rPr>
  </w:style>
  <w:style w:type="paragraph" w:customStyle="1" w:styleId="46">
    <w:name w:val="目次、标准名称标题"/>
    <w:basedOn w:val="45"/>
    <w:next w:val="43"/>
    <w:qFormat/>
    <w:uiPriority w:val="0"/>
    <w:pPr>
      <w:keepNext/>
      <w:pageBreakBefore/>
      <w:shd w:val="clear" w:color="FFFFFF" w:fill="FFFFFF"/>
      <w:tabs>
        <w:tab w:val="center" w:pos="4201"/>
        <w:tab w:val="right" w:leader="dot" w:pos="9298"/>
      </w:tabs>
      <w:spacing w:before="640" w:after="560" w:line="460" w:lineRule="exact"/>
      <w:jc w:val="center"/>
      <w:outlineLvl w:val="0"/>
    </w:pPr>
    <w:rPr>
      <w:rFonts w:ascii="黑体" w:eastAsia="黑体"/>
      <w:sz w:val="32"/>
      <w:szCs w:val="20"/>
    </w:rPr>
  </w:style>
  <w:style w:type="paragraph" w:customStyle="1" w:styleId="47">
    <w:name w:val="章标题"/>
    <w:next w:val="43"/>
    <w:qFormat/>
    <w:uiPriority w:val="0"/>
    <w:pPr>
      <w:tabs>
        <w:tab w:val="left" w:pos="0"/>
      </w:tabs>
      <w:spacing w:beforeLines="100" w:afterLines="100"/>
      <w:jc w:val="both"/>
      <w:outlineLvl w:val="1"/>
    </w:pPr>
    <w:rPr>
      <w:rFonts w:ascii="黑体" w:hAnsi="Calibri" w:eastAsia="黑体" w:cs="Times New Roman"/>
      <w:sz w:val="21"/>
      <w:szCs w:val="22"/>
      <w:lang w:val="en-US" w:eastAsia="zh-CN" w:bidi="ar-SA"/>
    </w:rPr>
  </w:style>
  <w:style w:type="paragraph" w:customStyle="1" w:styleId="48">
    <w:name w:val="终结线"/>
    <w:basedOn w:val="1"/>
    <w:qFormat/>
    <w:uiPriority w:val="0"/>
    <w:pPr>
      <w:framePr w:hSpace="181" w:vSpace="181" w:wrap="around" w:vAnchor="text" w:hAnchor="margin" w:xAlign="center" w:y="285"/>
    </w:pPr>
  </w:style>
  <w:style w:type="character" w:customStyle="1" w:styleId="49">
    <w:name w:val="页眉 Char"/>
    <w:link w:val="12"/>
    <w:qFormat/>
    <w:uiPriority w:val="99"/>
    <w:rPr>
      <w:kern w:val="2"/>
      <w:sz w:val="18"/>
      <w:szCs w:val="18"/>
    </w:rPr>
  </w:style>
  <w:style w:type="paragraph" w:customStyle="1" w:styleId="50">
    <w:name w:val="修订1"/>
    <w:hidden/>
    <w:unhideWhenUsed/>
    <w:qFormat/>
    <w:uiPriority w:val="99"/>
    <w:rPr>
      <w:rFonts w:ascii="Calibri" w:hAnsi="Calibri" w:eastAsia="宋体" w:cs="Times New Roman"/>
      <w:kern w:val="2"/>
      <w:sz w:val="21"/>
      <w:szCs w:val="24"/>
      <w:lang w:val="en-US" w:eastAsia="zh-CN" w:bidi="ar-SA"/>
    </w:rPr>
  </w:style>
  <w:style w:type="character" w:customStyle="1" w:styleId="51">
    <w:name w:val="段 Char"/>
    <w:link w:val="43"/>
    <w:qFormat/>
    <w:uiPriority w:val="0"/>
    <w:rPr>
      <w:rFonts w:ascii="黑体" w:hAnsi="黑体" w:eastAsia="黑体"/>
      <w:sz w:val="21"/>
      <w:szCs w:val="22"/>
    </w:rPr>
  </w:style>
  <w:style w:type="character" w:customStyle="1" w:styleId="52">
    <w:name w:val="批注文字 Char"/>
    <w:link w:val="4"/>
    <w:qFormat/>
    <w:uiPriority w:val="0"/>
    <w:rPr>
      <w:kern w:val="2"/>
      <w:sz w:val="21"/>
      <w:szCs w:val="24"/>
    </w:rPr>
  </w:style>
  <w:style w:type="character" w:customStyle="1" w:styleId="53">
    <w:name w:val="批注主题 Char"/>
    <w:link w:val="18"/>
    <w:qFormat/>
    <w:uiPriority w:val="0"/>
    <w:rPr>
      <w:b/>
      <w:bCs/>
      <w:kern w:val="2"/>
      <w:sz w:val="21"/>
      <w:szCs w:val="24"/>
    </w:rPr>
  </w:style>
  <w:style w:type="character" w:customStyle="1" w:styleId="54">
    <w:name w:val="批注框文本 Char"/>
    <w:link w:val="10"/>
    <w:qFormat/>
    <w:uiPriority w:val="0"/>
    <w:rPr>
      <w:kern w:val="2"/>
      <w:sz w:val="18"/>
      <w:szCs w:val="18"/>
    </w:rPr>
  </w:style>
  <w:style w:type="paragraph" w:styleId="55">
    <w:name w:val="List Paragraph"/>
    <w:basedOn w:val="1"/>
    <w:qFormat/>
    <w:uiPriority w:val="99"/>
  </w:style>
  <w:style w:type="character" w:customStyle="1" w:styleId="56">
    <w:name w:val="页脚 Char"/>
    <w:link w:val="11"/>
    <w:qFormat/>
    <w:uiPriority w:val="99"/>
    <w:rPr>
      <w:rFonts w:ascii="Calibri" w:hAnsi="Calibri" w:eastAsia="宋体" w:cs="Times New Roman"/>
      <w:kern w:val="2"/>
      <w:sz w:val="18"/>
      <w:szCs w:val="24"/>
    </w:rPr>
  </w:style>
  <w:style w:type="paragraph" w:customStyle="1" w:styleId="57">
    <w:name w:val="一级条标题"/>
    <w:basedOn w:val="58"/>
    <w:next w:val="43"/>
    <w:qFormat/>
    <w:uiPriority w:val="0"/>
    <w:pPr>
      <w:spacing w:beforeLines="50" w:afterLines="50"/>
      <w:ind w:left="142"/>
      <w:outlineLvl w:val="2"/>
    </w:pPr>
    <w:rPr>
      <w:rFonts w:ascii="黑体" w:hAnsi="Times New Roman" w:eastAsia="黑体" w:cs="Times New Roman"/>
      <w:sz w:val="21"/>
      <w:szCs w:val="21"/>
      <w:lang w:val="en-US" w:eastAsia="zh-CN" w:bidi="ar-SA"/>
    </w:rPr>
  </w:style>
  <w:style w:type="paragraph" w:customStyle="1" w:styleId="58">
    <w:name w:val="标准文件_一级条标题"/>
    <w:basedOn w:val="59"/>
    <w:next w:val="60"/>
    <w:qFormat/>
    <w:uiPriority w:val="99"/>
    <w:pPr>
      <w:numPr>
        <w:ilvl w:val="2"/>
      </w:numPr>
      <w:spacing w:beforeLines="0" w:afterLines="0"/>
      <w:outlineLvl w:val="1"/>
    </w:pPr>
  </w:style>
  <w:style w:type="paragraph" w:customStyle="1" w:styleId="59">
    <w:name w:val="1章标题"/>
    <w:next w:val="60"/>
    <w:qFormat/>
    <w:uiPriority w:val="99"/>
    <w:pPr>
      <w:numPr>
        <w:ilvl w:val="1"/>
        <w:numId w:val="2"/>
      </w:numPr>
      <w:spacing w:beforeLines="50" w:afterLines="50"/>
      <w:jc w:val="both"/>
      <w:outlineLvl w:val="0"/>
    </w:pPr>
    <w:rPr>
      <w:rFonts w:ascii="黑体" w:hAnsi="Times New Roman" w:eastAsia="黑体" w:cs="黑体"/>
      <w:sz w:val="21"/>
      <w:szCs w:val="21"/>
      <w:lang w:val="en-US" w:eastAsia="zh-CN" w:bidi="ar-SA"/>
    </w:rPr>
  </w:style>
  <w:style w:type="paragraph" w:customStyle="1" w:styleId="60">
    <w:name w:val="标准文件_段"/>
    <w:qFormat/>
    <w:uiPriority w:val="99"/>
    <w:pPr>
      <w:widowControl w:val="0"/>
      <w:ind w:firstLine="198" w:firstLineChars="200"/>
      <w:jc w:val="both"/>
    </w:pPr>
    <w:rPr>
      <w:rFonts w:ascii="宋体" w:hAnsi="宋体" w:eastAsia="宋体" w:cs="宋体"/>
      <w:kern w:val="2"/>
      <w:sz w:val="21"/>
      <w:szCs w:val="21"/>
      <w:lang w:val="en-US" w:eastAsia="zh-CN" w:bidi="ar-SA"/>
    </w:rPr>
  </w:style>
  <w:style w:type="paragraph" w:customStyle="1" w:styleId="6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3">
    <w:name w:val="二级条标题"/>
    <w:basedOn w:val="57"/>
    <w:next w:val="43"/>
    <w:qFormat/>
    <w:uiPriority w:val="0"/>
    <w:pPr>
      <w:spacing w:before="50" w:after="50"/>
      <w:ind w:left="0"/>
      <w:outlineLvl w:val="3"/>
    </w:pPr>
  </w:style>
  <w:style w:type="paragraph" w:customStyle="1" w:styleId="64">
    <w:name w:val="三级条标题"/>
    <w:basedOn w:val="63"/>
    <w:next w:val="43"/>
    <w:qFormat/>
    <w:uiPriority w:val="0"/>
    <w:pPr>
      <w:ind w:left="1134"/>
      <w:outlineLvl w:val="4"/>
    </w:pPr>
  </w:style>
  <w:style w:type="paragraph" w:customStyle="1" w:styleId="65">
    <w:name w:val="四级条标题"/>
    <w:basedOn w:val="64"/>
    <w:next w:val="43"/>
    <w:qFormat/>
    <w:uiPriority w:val="0"/>
    <w:pPr>
      <w:ind w:left="0"/>
      <w:outlineLvl w:val="5"/>
    </w:pPr>
  </w:style>
  <w:style w:type="paragraph" w:customStyle="1" w:styleId="66">
    <w:name w:val="五级条标题"/>
    <w:basedOn w:val="65"/>
    <w:next w:val="43"/>
    <w:qFormat/>
    <w:uiPriority w:val="0"/>
    <w:pPr>
      <w:outlineLvl w:val="6"/>
    </w:pPr>
  </w:style>
  <w:style w:type="character" w:customStyle="1" w:styleId="67">
    <w:name w:val="纯文本 Char"/>
    <w:link w:val="8"/>
    <w:qFormat/>
    <w:uiPriority w:val="0"/>
    <w:rPr>
      <w:rFonts w:ascii="宋体" w:hAnsi="Courier New" w:eastAsia="宋体" w:cs="Courier New"/>
      <w:kern w:val="2"/>
      <w:sz w:val="21"/>
      <w:szCs w:val="21"/>
    </w:rPr>
  </w:style>
  <w:style w:type="character" w:customStyle="1" w:styleId="68">
    <w:name w:val="标题 Char"/>
    <w:link w:val="17"/>
    <w:qFormat/>
    <w:uiPriority w:val="0"/>
    <w:rPr>
      <w:rFonts w:ascii="Calibri Light" w:hAnsi="Calibri Light" w:cs="Times New Roman"/>
      <w:b/>
      <w:bCs/>
      <w:kern w:val="2"/>
      <w:sz w:val="32"/>
      <w:szCs w:val="32"/>
    </w:rPr>
  </w:style>
  <w:style w:type="character" w:styleId="69">
    <w:name w:val="Placeholder Text"/>
    <w:basedOn w:val="22"/>
    <w:semiHidden/>
    <w:qFormat/>
    <w:uiPriority w:val="99"/>
    <w:rPr>
      <w:color w:val="808080"/>
    </w:rPr>
  </w:style>
  <w:style w:type="paragraph" w:customStyle="1" w:styleId="70">
    <w:name w:val="TOC 标题1"/>
    <w:basedOn w:val="2"/>
    <w:next w:val="1"/>
    <w:unhideWhenUsed/>
    <w:qFormat/>
    <w:uiPriority w:val="39"/>
    <w:pPr>
      <w:spacing w:before="240" w:after="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paragraph" w:customStyle="1" w:styleId="71">
    <w:name w:val="章"/>
    <w:basedOn w:val="1"/>
    <w:next w:val="43"/>
    <w:qFormat/>
    <w:uiPriority w:val="0"/>
    <w:pPr>
      <w:numPr>
        <w:ilvl w:val="0"/>
        <w:numId w:val="3"/>
      </w:numPr>
      <w:adjustRightInd w:val="0"/>
      <w:spacing w:before="156" w:beforeLines="50" w:after="156" w:afterLines="50"/>
      <w:ind w:left="0"/>
      <w:jc w:val="center"/>
      <w:outlineLvl w:val="0"/>
    </w:pPr>
    <w:rPr>
      <w:b/>
      <w:kern w:val="21"/>
      <w:sz w:val="32"/>
      <w:szCs w:val="32"/>
    </w:rPr>
  </w:style>
  <w:style w:type="character" w:customStyle="1" w:styleId="72">
    <w:name w:val="标题 2 Char"/>
    <w:basedOn w:val="22"/>
    <w:link w:val="3"/>
    <w:qFormat/>
    <w:uiPriority w:val="0"/>
    <w:rPr>
      <w:rFonts w:asciiTheme="majorHAnsi" w:hAnsiTheme="majorHAnsi" w:eastAsiaTheme="majorEastAsia" w:cstheme="majorBidi"/>
      <w:b/>
      <w:bCs/>
      <w:kern w:val="2"/>
      <w:sz w:val="32"/>
      <w:szCs w:val="32"/>
    </w:rPr>
  </w:style>
  <w:style w:type="paragraph" w:customStyle="1" w:styleId="73">
    <w:name w:val="附录A列表"/>
    <w:basedOn w:val="1"/>
    <w:qFormat/>
    <w:uiPriority w:val="0"/>
    <w:pPr>
      <w:keepNext/>
      <w:spacing w:line="300" w:lineRule="auto"/>
      <w:jc w:val="center"/>
    </w:pPr>
  </w:style>
  <w:style w:type="paragraph" w:customStyle="1" w:styleId="74">
    <w:name w:val="xl26"/>
    <w:basedOn w:val="1"/>
    <w:qFormat/>
    <w:uiPriority w:val="0"/>
    <w:pPr>
      <w:pBdr>
        <w:bottom w:val="single" w:color="auto" w:sz="4" w:space="0"/>
        <w:right w:val="single" w:color="auto" w:sz="4" w:space="0"/>
      </w:pBdr>
      <w:spacing w:before="100" w:beforeAutospacing="1" w:after="100" w:afterAutospacing="1"/>
      <w:jc w:val="center"/>
      <w:textAlignment w:val="center"/>
    </w:pPr>
    <w:rPr>
      <w:szCs w:val="21"/>
    </w:rPr>
  </w:style>
  <w:style w:type="paragraph" w:customStyle="1" w:styleId="75">
    <w:name w:val="正文1"/>
    <w:qFormat/>
    <w:uiPriority w:val="0"/>
    <w:pPr>
      <w:spacing w:line="360" w:lineRule="auto"/>
      <w:ind w:firstLine="200" w:firstLineChars="200"/>
    </w:pPr>
    <w:rPr>
      <w:rFonts w:ascii="Calibri" w:hAnsi="Calibri" w:eastAsia="宋体" w:cs="Times New Roman"/>
      <w:sz w:val="24"/>
      <w:lang w:val="en-US" w:eastAsia="zh-CN" w:bidi="ar-SA"/>
    </w:rPr>
  </w:style>
  <w:style w:type="paragraph" w:customStyle="1" w:styleId="76">
    <w:name w:val="Char1"/>
    <w:basedOn w:val="1"/>
    <w:qFormat/>
    <w:uiPriority w:val="0"/>
    <w:pPr>
      <w:spacing w:before="78" w:beforeLines="25" w:after="78" w:afterLines="25" w:line="360" w:lineRule="auto"/>
      <w:jc w:val="left"/>
    </w:pPr>
    <w:rPr>
      <w:rFonts w:ascii="宋体" w:hAnsi="宋体" w:cs="宋体"/>
      <w:bCs/>
      <w:sz w:val="24"/>
    </w:rPr>
  </w:style>
  <w:style w:type="table" w:customStyle="1" w:styleId="77">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78">
    <w:name w:val="TOC Heading"/>
    <w:basedOn w:val="2"/>
    <w:next w:val="1"/>
    <w:unhideWhenUsed/>
    <w:qFormat/>
    <w:uiPriority w:val="39"/>
    <w:pPr>
      <w:tabs>
        <w:tab w:val="clear" w:pos="4201"/>
        <w:tab w:val="clear" w:pos="9298"/>
      </w:tabs>
      <w:autoSpaceDE/>
      <w:autoSpaceDN/>
      <w:spacing w:before="240" w:after="0" w:line="259" w:lineRule="auto"/>
      <w:ind w:firstLine="0" w:firstLineChars="0"/>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79">
    <w:name w:val="日期 Char"/>
    <w:basedOn w:val="22"/>
    <w:link w:val="9"/>
    <w:qFormat/>
    <w:uiPriority w:val="0"/>
    <w:rPr>
      <w:rFonts w:asciiTheme="minorEastAsia" w:hAnsiTheme="minorEastAsia" w:eastAsiaTheme="minorEastAsia"/>
      <w:sz w:val="21"/>
      <w:szCs w:val="22"/>
    </w:rPr>
  </w:style>
  <w:style w:type="paragraph" w:customStyle="1" w:styleId="80">
    <w:name w:val="注："/>
    <w:next w:val="43"/>
    <w:qFormat/>
    <w:uiPriority w:val="0"/>
    <w:pPr>
      <w:widowControl w:val="0"/>
      <w:numPr>
        <w:ilvl w:val="0"/>
        <w:numId w:val="2"/>
      </w:numPr>
      <w:autoSpaceDE w:val="0"/>
      <w:autoSpaceDN w:val="0"/>
      <w:jc w:val="both"/>
    </w:pPr>
    <w:rPr>
      <w:rFonts w:ascii="宋体" w:hAnsi="Times New Roman" w:eastAsia="宋体" w:cs="Times New Roman"/>
      <w:sz w:val="18"/>
      <w:lang w:val="en-US" w:eastAsia="zh-CN" w:bidi="ar-SA"/>
    </w:rPr>
  </w:style>
  <w:style w:type="character" w:customStyle="1" w:styleId="81">
    <w:name w:val="编号列项（三级） Char"/>
    <w:basedOn w:val="22"/>
    <w:qFormat/>
    <w:uiPriority w:val="0"/>
    <w:rPr>
      <w:rFonts w:ascii="宋体" w:eastAsia="宋体"/>
      <w:sz w:val="21"/>
      <w:lang w:val="en-US" w:eastAsia="zh-CN" w:bidi="ar-SA"/>
    </w:rPr>
  </w:style>
  <w:style w:type="paragraph" w:customStyle="1" w:styleId="82">
    <w:name w:val="列项——（一级）"/>
    <w:qFormat/>
    <w:uiPriority w:val="0"/>
    <w:pPr>
      <w:widowControl w:val="0"/>
      <w:numPr>
        <w:ilvl w:val="0"/>
        <w:numId w:val="4"/>
      </w:numPr>
      <w:tabs>
        <w:tab w:val="left" w:pos="854"/>
        <w:tab w:val="clear" w:pos="1140"/>
      </w:tabs>
      <w:ind w:leftChars="200" w:hangingChars="200"/>
      <w:jc w:val="both"/>
    </w:pPr>
    <w:rPr>
      <w:rFonts w:ascii="宋体" w:hAnsi="Times New Roman" w:eastAsia="宋体" w:cs="Times New Roman"/>
      <w:sz w:val="21"/>
      <w:lang w:val="en-US" w:eastAsia="zh-CN" w:bidi="ar-SA"/>
    </w:rPr>
  </w:style>
  <w:style w:type="paragraph" w:customStyle="1" w:styleId="83">
    <w:name w:val="正文样式"/>
    <w:basedOn w:val="1"/>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5.wmf"/><Relationship Id="rId21" Type="http://schemas.openxmlformats.org/officeDocument/2006/relationships/image" Target="media/image4.wmf"/><Relationship Id="rId20" Type="http://schemas.openxmlformats.org/officeDocument/2006/relationships/image" Target="media/image3.wmf"/><Relationship Id="rId2" Type="http://schemas.openxmlformats.org/officeDocument/2006/relationships/settings" Target="settings.xml"/><Relationship Id="rId19" Type="http://schemas.openxmlformats.org/officeDocument/2006/relationships/image" Target="media/image2.wmf"/><Relationship Id="rId18" Type="http://schemas.openxmlformats.org/officeDocument/2006/relationships/oleObject" Target="embeddings/oleObject2.bin"/><Relationship Id="rId17" Type="http://schemas.openxmlformats.org/officeDocument/2006/relationships/image" Target="media/image1.wmf"/><Relationship Id="rId16" Type="http://schemas.openxmlformats.org/officeDocument/2006/relationships/oleObject" Target="embeddings/oleObject1.bin"/><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E421BE-BF48-44D9-BAA3-8C1D04BBD316}">
  <ds:schemaRefs/>
</ds:datastoreItem>
</file>

<file path=docProps/app.xml><?xml version="1.0" encoding="utf-8"?>
<Properties xmlns="http://schemas.openxmlformats.org/officeDocument/2006/extended-properties" xmlns:vt="http://schemas.openxmlformats.org/officeDocument/2006/docPropsVTypes">
  <Template>Normal</Template>
  <Pages>10</Pages>
  <Words>3544</Words>
  <Characters>4609</Characters>
  <Lines>46</Lines>
  <Paragraphs>13</Paragraphs>
  <TotalTime>0</TotalTime>
  <ScaleCrop>false</ScaleCrop>
  <LinksUpToDate>false</LinksUpToDate>
  <CharactersWithSpaces>4853</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2022-06-16T14:02:00Z</dcterms:created>
  <dc:creator>梵高先生 </dc:creator>
  <cp:lastModifiedBy>白乙含</cp:lastModifiedBy>
  <cp:lastPrinted>2022-05-11T11:12:00Z</cp:lastPrinted>
  <dcterms:modified xsi:type="dcterms:W3CDTF">2025-09-09T10:49:49Z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058DF36D92C245AFBDCCBA4EF2590446_13</vt:lpwstr>
  </property>
  <property fmtid="{D5CDD505-2E9C-101B-9397-08002B2CF9AE}" pid="4" name="KSOTemplateDocerSaveRecord">
    <vt:lpwstr>eyJoZGlkIjoiNDU2NmM3MGVmMmRjMGRhZDI3OGZhM2M0NTM5ODJiMDEiLCJ1c2VySWQiOiIxNDQ3NzcxMDU4In0=</vt:lpwstr>
  </property>
</Properties>
</file>