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3A7A57">
      <w:pPr>
        <w:rPr>
          <w:b/>
          <w:color w:val="000000" w:themeColor="text1"/>
          <w:sz w:val="36"/>
          <w:szCs w:val="36"/>
          <w14:textFill>
            <w14:solidFill>
              <w14:schemeClr w14:val="tx1"/>
            </w14:solidFill>
          </w14:textFill>
        </w:rPr>
      </w:pPr>
    </w:p>
    <w:p w14:paraId="0A742869">
      <w:pPr>
        <w:rPr>
          <w:b/>
          <w:color w:val="000000" w:themeColor="text1"/>
          <w:sz w:val="36"/>
          <w:szCs w:val="36"/>
          <w14:textFill>
            <w14:solidFill>
              <w14:schemeClr w14:val="tx1"/>
            </w14:solidFill>
          </w14:textFill>
        </w:rPr>
      </w:pPr>
    </w:p>
    <w:p w14:paraId="253EFE97">
      <w:pPr>
        <w:rPr>
          <w:b/>
          <w:color w:val="000000" w:themeColor="text1"/>
          <w:sz w:val="36"/>
          <w:szCs w:val="36"/>
          <w14:textFill>
            <w14:solidFill>
              <w14:schemeClr w14:val="tx1"/>
            </w14:solidFill>
          </w14:textFill>
        </w:rPr>
      </w:pPr>
    </w:p>
    <w:p w14:paraId="7CB9B467">
      <w:pPr>
        <w:rPr>
          <w:b/>
          <w:color w:val="000000" w:themeColor="text1"/>
          <w:sz w:val="52"/>
          <w:szCs w:val="52"/>
          <w14:textFill>
            <w14:solidFill>
              <w14:schemeClr w14:val="tx1"/>
            </w14:solidFill>
          </w14:textFill>
        </w:rPr>
      </w:pPr>
    </w:p>
    <w:p w14:paraId="2F839075">
      <w:pPr>
        <w:ind w:firstLine="260" w:firstLineChars="50"/>
        <w:jc w:val="center"/>
        <w:rPr>
          <w:rFonts w:hint="eastAsia" w:ascii="黑体" w:hAnsi="黑体" w:eastAsia="黑体" w:cs="黑体"/>
          <w:bCs/>
          <w:color w:val="000000" w:themeColor="text1"/>
          <w:sz w:val="52"/>
          <w:szCs w:val="52"/>
          <w14:textFill>
            <w14:solidFill>
              <w14:schemeClr w14:val="tx1"/>
            </w14:solidFill>
          </w14:textFill>
        </w:rPr>
      </w:pPr>
      <w:r>
        <w:rPr>
          <w:rFonts w:hint="eastAsia" w:ascii="黑体" w:hAnsi="黑体" w:eastAsia="黑体" w:cs="黑体"/>
          <w:bCs/>
          <w:color w:val="000000" w:themeColor="text1"/>
          <w:sz w:val="52"/>
          <w:szCs w:val="52"/>
          <w14:textFill>
            <w14:solidFill>
              <w14:schemeClr w14:val="tx1"/>
            </w14:solidFill>
          </w14:textFill>
        </w:rPr>
        <w:t>《</w:t>
      </w:r>
      <w:r>
        <w:rPr>
          <w:rFonts w:hint="eastAsia" w:ascii="黑体" w:hAnsi="黑体" w:eastAsia="黑体" w:cs="黑体"/>
          <w:bCs/>
          <w:color w:val="000000" w:themeColor="text1"/>
          <w:sz w:val="52"/>
          <w:szCs w:val="52"/>
          <w:lang w:val="en-US" w:eastAsia="zh-CN"/>
          <w14:textFill>
            <w14:solidFill>
              <w14:schemeClr w14:val="tx1"/>
            </w14:solidFill>
          </w14:textFill>
        </w:rPr>
        <w:t>装饰装修用软膜天花</w:t>
      </w:r>
      <w:r>
        <w:rPr>
          <w:rFonts w:hint="eastAsia" w:ascii="黑体" w:hAnsi="黑体" w:eastAsia="黑体" w:cs="黑体"/>
          <w:bCs/>
          <w:color w:val="000000" w:themeColor="text1"/>
          <w:sz w:val="52"/>
          <w:szCs w:val="52"/>
          <w14:textFill>
            <w14:solidFill>
              <w14:schemeClr w14:val="tx1"/>
            </w14:solidFill>
          </w14:textFill>
        </w:rPr>
        <w:t>》</w:t>
      </w:r>
    </w:p>
    <w:p w14:paraId="00A26CB8">
      <w:pPr>
        <w:ind w:firstLine="260" w:firstLineChars="50"/>
        <w:jc w:val="center"/>
        <w:rPr>
          <w:rFonts w:hint="eastAsia" w:ascii="黑体" w:hAnsi="黑体" w:eastAsia="黑体" w:cs="黑体"/>
          <w:bCs/>
          <w:color w:val="000000" w:themeColor="text1"/>
          <w:sz w:val="52"/>
          <w:szCs w:val="52"/>
          <w14:textFill>
            <w14:solidFill>
              <w14:schemeClr w14:val="tx1"/>
            </w14:solidFill>
          </w14:textFill>
        </w:rPr>
      </w:pPr>
      <w:r>
        <w:rPr>
          <w:rFonts w:hint="eastAsia" w:ascii="黑体" w:hAnsi="黑体" w:eastAsia="黑体" w:cs="黑体"/>
          <w:bCs/>
          <w:color w:val="000000" w:themeColor="text1"/>
          <w:sz w:val="52"/>
          <w:szCs w:val="52"/>
          <w14:textFill>
            <w14:solidFill>
              <w14:schemeClr w14:val="tx1"/>
            </w14:solidFill>
          </w14:textFill>
        </w:rPr>
        <w:t>行业标准编制说明</w:t>
      </w:r>
    </w:p>
    <w:p w14:paraId="72316DA3">
      <w:pPr>
        <w:jc w:val="center"/>
        <w:rPr>
          <w:b/>
          <w:color w:val="000000" w:themeColor="text1"/>
          <w:sz w:val="44"/>
          <w:szCs w:val="44"/>
          <w14:textFill>
            <w14:solidFill>
              <w14:schemeClr w14:val="tx1"/>
            </w14:solidFill>
          </w14:textFill>
        </w:rPr>
      </w:pPr>
    </w:p>
    <w:p w14:paraId="6D47F927">
      <w:pPr>
        <w:jc w:val="center"/>
        <w:rPr>
          <w:b/>
          <w:color w:val="000000" w:themeColor="text1"/>
          <w:sz w:val="44"/>
          <w:szCs w:val="44"/>
          <w14:textFill>
            <w14:solidFill>
              <w14:schemeClr w14:val="tx1"/>
            </w14:solidFill>
          </w14:textFill>
        </w:rPr>
      </w:pPr>
      <w:r>
        <w:rPr>
          <w:rFonts w:hint="eastAsia"/>
          <w:b/>
          <w:color w:val="000000" w:themeColor="text1"/>
          <w:sz w:val="44"/>
          <w:szCs w:val="44"/>
          <w14:textFill>
            <w14:solidFill>
              <w14:schemeClr w14:val="tx1"/>
            </w14:solidFill>
          </w14:textFill>
        </w:rPr>
        <w:t>（征求意见稿）</w:t>
      </w:r>
    </w:p>
    <w:p w14:paraId="7D2E4AF8">
      <w:pPr>
        <w:jc w:val="center"/>
        <w:rPr>
          <w:b/>
          <w:color w:val="000000" w:themeColor="text1"/>
          <w:sz w:val="44"/>
          <w:szCs w:val="44"/>
          <w14:textFill>
            <w14:solidFill>
              <w14:schemeClr w14:val="tx1"/>
            </w14:solidFill>
          </w14:textFill>
        </w:rPr>
      </w:pPr>
    </w:p>
    <w:p w14:paraId="73FF0B65">
      <w:pPr>
        <w:jc w:val="center"/>
        <w:rPr>
          <w:b/>
          <w:color w:val="000000" w:themeColor="text1"/>
          <w:sz w:val="44"/>
          <w:szCs w:val="44"/>
          <w14:textFill>
            <w14:solidFill>
              <w14:schemeClr w14:val="tx1"/>
            </w14:solidFill>
          </w14:textFill>
        </w:rPr>
      </w:pPr>
    </w:p>
    <w:p w14:paraId="1A6512E9">
      <w:pPr>
        <w:rPr>
          <w:b/>
          <w:color w:val="000000" w:themeColor="text1"/>
          <w:sz w:val="44"/>
          <w:szCs w:val="44"/>
          <w14:textFill>
            <w14:solidFill>
              <w14:schemeClr w14:val="tx1"/>
            </w14:solidFill>
          </w14:textFill>
        </w:rPr>
      </w:pPr>
    </w:p>
    <w:p w14:paraId="329339CE">
      <w:pPr>
        <w:rPr>
          <w:b/>
          <w:color w:val="000000" w:themeColor="text1"/>
          <w:sz w:val="44"/>
          <w:szCs w:val="44"/>
          <w14:textFill>
            <w14:solidFill>
              <w14:schemeClr w14:val="tx1"/>
            </w14:solidFill>
          </w14:textFill>
        </w:rPr>
      </w:pPr>
    </w:p>
    <w:p w14:paraId="551D6069">
      <w:pPr>
        <w:rPr>
          <w:b/>
          <w:color w:val="000000" w:themeColor="text1"/>
          <w:sz w:val="44"/>
          <w:szCs w:val="44"/>
          <w14:textFill>
            <w14:solidFill>
              <w14:schemeClr w14:val="tx1"/>
            </w14:solidFill>
          </w14:textFill>
        </w:rPr>
      </w:pPr>
    </w:p>
    <w:p w14:paraId="63088E69">
      <w:pPr>
        <w:jc w:val="center"/>
        <w:rPr>
          <w:b/>
          <w:color w:val="000000" w:themeColor="text1"/>
          <w:sz w:val="44"/>
          <w:szCs w:val="44"/>
          <w14:textFill>
            <w14:solidFill>
              <w14:schemeClr w14:val="tx1"/>
            </w14:solidFill>
          </w14:textFill>
        </w:rPr>
      </w:pPr>
    </w:p>
    <w:p w14:paraId="5A4C2C0F">
      <w:pPr>
        <w:jc w:val="center"/>
        <w:rPr>
          <w:b/>
          <w:color w:val="000000" w:themeColor="text1"/>
          <w:sz w:val="44"/>
          <w:szCs w:val="44"/>
          <w14:textFill>
            <w14:solidFill>
              <w14:schemeClr w14:val="tx1"/>
            </w14:solidFill>
          </w14:textFill>
        </w:rPr>
      </w:pPr>
    </w:p>
    <w:p w14:paraId="37431417">
      <w:pPr>
        <w:jc w:val="center"/>
        <w:rPr>
          <w:b/>
          <w:color w:val="000000" w:themeColor="text1"/>
          <w:sz w:val="44"/>
          <w:szCs w:val="44"/>
          <w14:textFill>
            <w14:solidFill>
              <w14:schemeClr w14:val="tx1"/>
            </w14:solidFill>
          </w14:textFill>
        </w:rPr>
      </w:pPr>
    </w:p>
    <w:p w14:paraId="23668BA0">
      <w:pPr>
        <w:jc w:val="center"/>
        <w:rPr>
          <w:rFonts w:eastAsiaTheme="minorEastAsia"/>
          <w:b/>
          <w:color w:val="000000" w:themeColor="text1"/>
          <w:sz w:val="36"/>
          <w:szCs w:val="36"/>
          <w14:textFill>
            <w14:solidFill>
              <w14:schemeClr w14:val="tx1"/>
            </w14:solidFill>
          </w14:textFill>
        </w:rPr>
      </w:pPr>
      <w:r>
        <w:rPr>
          <w:rFonts w:hint="eastAsia" w:eastAsiaTheme="minorEastAsia"/>
          <w:b/>
          <w:color w:val="000000" w:themeColor="text1"/>
          <w:sz w:val="36"/>
          <w:szCs w:val="36"/>
          <w14:textFill>
            <w14:solidFill>
              <w14:schemeClr w14:val="tx1"/>
            </w14:solidFill>
          </w14:textFill>
        </w:rPr>
        <w:t>2</w:t>
      </w:r>
      <w:r>
        <w:rPr>
          <w:rFonts w:eastAsiaTheme="minorEastAsia"/>
          <w:b/>
          <w:color w:val="000000" w:themeColor="text1"/>
          <w:sz w:val="36"/>
          <w:szCs w:val="36"/>
          <w14:textFill>
            <w14:solidFill>
              <w14:schemeClr w14:val="tx1"/>
            </w14:solidFill>
          </w14:textFill>
        </w:rPr>
        <w:t>02</w:t>
      </w:r>
      <w:r>
        <w:rPr>
          <w:rFonts w:hint="eastAsia" w:eastAsiaTheme="minorEastAsia"/>
          <w:b/>
          <w:color w:val="000000" w:themeColor="text1"/>
          <w:sz w:val="36"/>
          <w:szCs w:val="36"/>
          <w:lang w:val="en-US" w:eastAsia="zh-CN"/>
          <w14:textFill>
            <w14:solidFill>
              <w14:schemeClr w14:val="tx1"/>
            </w14:solidFill>
          </w14:textFill>
        </w:rPr>
        <w:t>5</w:t>
      </w:r>
      <w:r>
        <w:rPr>
          <w:rFonts w:eastAsiaTheme="minorEastAsia"/>
          <w:b/>
          <w:color w:val="000000" w:themeColor="text1"/>
          <w:sz w:val="36"/>
          <w:szCs w:val="36"/>
          <w14:textFill>
            <w14:solidFill>
              <w14:schemeClr w14:val="tx1"/>
            </w14:solidFill>
          </w14:textFill>
        </w:rPr>
        <w:t>年</w:t>
      </w:r>
      <w:r>
        <w:rPr>
          <w:rFonts w:hint="eastAsia" w:eastAsiaTheme="minorEastAsia"/>
          <w:b/>
          <w:color w:val="000000" w:themeColor="text1"/>
          <w:sz w:val="36"/>
          <w:szCs w:val="36"/>
          <w:lang w:val="en-US" w:eastAsia="zh-CN"/>
          <w14:textFill>
            <w14:solidFill>
              <w14:schemeClr w14:val="tx1"/>
            </w14:solidFill>
          </w14:textFill>
        </w:rPr>
        <w:t>9</w:t>
      </w:r>
      <w:r>
        <w:rPr>
          <w:rFonts w:eastAsiaTheme="minorEastAsia"/>
          <w:b/>
          <w:color w:val="000000" w:themeColor="text1"/>
          <w:sz w:val="36"/>
          <w:szCs w:val="36"/>
          <w14:textFill>
            <w14:solidFill>
              <w14:schemeClr w14:val="tx1"/>
            </w14:solidFill>
          </w14:textFill>
        </w:rPr>
        <w:t>月</w:t>
      </w:r>
    </w:p>
    <w:p w14:paraId="300747BA">
      <w:pPr>
        <w:pStyle w:val="25"/>
        <w:framePr w:w="0" w:hRule="auto" w:wrap="auto" w:vAnchor="margin" w:hAnchor="text" w:xAlign="left" w:yAlign="inline"/>
        <w:spacing w:line="360" w:lineRule="auto"/>
        <w:rPr>
          <w:rFonts w:ascii="Times New Roman" w:eastAsia="宋体"/>
          <w:color w:val="000000" w:themeColor="text1"/>
          <w:sz w:val="32"/>
          <w:szCs w:val="32"/>
          <w14:textFill>
            <w14:solidFill>
              <w14:schemeClr w14:val="tx1"/>
            </w14:solidFill>
          </w14:textFill>
        </w:rPr>
      </w:pPr>
      <w:r>
        <w:rPr>
          <w:rFonts w:ascii="Times New Roman" w:eastAsia="宋体"/>
          <w:color w:val="000000" w:themeColor="text1"/>
          <w:sz w:val="32"/>
          <w:szCs w:val="32"/>
          <w14:textFill>
            <w14:solidFill>
              <w14:schemeClr w14:val="tx1"/>
            </w14:solidFill>
          </w14:textFill>
        </w:rPr>
        <w:br w:type="page"/>
      </w:r>
    </w:p>
    <w:sdt>
      <w:sdtPr>
        <w:rPr>
          <w:rFonts w:ascii="Times New Roman" w:hAnsi="Times New Roman" w:eastAsia="宋体" w:cs="Times New Roman"/>
          <w:color w:val="000000" w:themeColor="text1"/>
          <w:kern w:val="2"/>
          <w:sz w:val="21"/>
          <w:szCs w:val="24"/>
          <w:lang w:val="zh-CN"/>
          <w14:textFill>
            <w14:solidFill>
              <w14:schemeClr w14:val="tx1"/>
            </w14:solidFill>
          </w14:textFill>
        </w:rPr>
        <w:id w:val="207385740"/>
        <w:docPartObj>
          <w:docPartGallery w:val="Table of Contents"/>
          <w:docPartUnique/>
        </w:docPartObj>
      </w:sdtPr>
      <w:sdtEndPr>
        <w:rPr>
          <w:rFonts w:ascii="宋体" w:hAnsi="宋体" w:eastAsia="宋体" w:cs="宋体"/>
          <w:b/>
          <w:bCs/>
          <w:color w:val="000000" w:themeColor="text1"/>
          <w:kern w:val="0"/>
          <w:sz w:val="24"/>
          <w:szCs w:val="24"/>
          <w:lang w:val="zh-CN"/>
          <w14:textFill>
            <w14:solidFill>
              <w14:schemeClr w14:val="tx1"/>
            </w14:solidFill>
          </w14:textFill>
        </w:rPr>
      </w:sdtEndPr>
      <w:sdtContent>
        <w:p w14:paraId="225772CE">
          <w:pPr>
            <w:pStyle w:val="59"/>
            <w:spacing w:before="0" w:line="360" w:lineRule="auto"/>
            <w:jc w:val="both"/>
            <w:rPr>
              <w:rFonts w:ascii="Times New Roman" w:hAnsi="Times New Roman" w:eastAsia="宋体" w:cs="Times New Roman"/>
              <w:color w:val="000000" w:themeColor="text1"/>
              <w:kern w:val="2"/>
              <w:sz w:val="21"/>
              <w:szCs w:val="24"/>
              <w:lang w:val="zh-CN"/>
              <w14:textFill>
                <w14:solidFill>
                  <w14:schemeClr w14:val="tx1"/>
                </w14:solidFill>
              </w14:textFill>
            </w:rPr>
          </w:pPr>
        </w:p>
        <w:p w14:paraId="0FDC0036">
          <w:pPr>
            <w:pStyle w:val="59"/>
            <w:spacing w:before="0" w:line="360" w:lineRule="auto"/>
            <w:jc w:val="center"/>
            <w:rPr>
              <w:rFonts w:ascii="Times New Roman" w:hAnsi="Times New Roman" w:eastAsia="黑体" w:cs="Times New Roman"/>
              <w:b/>
              <w:color w:val="000000" w:themeColor="text1"/>
              <w:lang w:val="zh-CN"/>
              <w14:textFill>
                <w14:solidFill>
                  <w14:schemeClr w14:val="tx1"/>
                </w14:solidFill>
              </w14:textFill>
            </w:rPr>
          </w:pPr>
          <w:r>
            <w:rPr>
              <w:rFonts w:ascii="Times New Roman" w:hAnsi="Times New Roman" w:eastAsia="黑体" w:cs="Times New Roman"/>
              <w:b/>
              <w:color w:val="000000" w:themeColor="text1"/>
              <w:lang w:val="zh-CN"/>
              <w14:textFill>
                <w14:solidFill>
                  <w14:schemeClr w14:val="tx1"/>
                </w14:solidFill>
              </w14:textFill>
            </w:rPr>
            <w:t>目  录</w:t>
          </w:r>
        </w:p>
        <w:p w14:paraId="0600D403">
          <w:pPr>
            <w:jc w:val="both"/>
            <w:rPr>
              <w:color w:val="000000" w:themeColor="text1"/>
              <w:lang w:val="zh-CN"/>
              <w14:textFill>
                <w14:solidFill>
                  <w14:schemeClr w14:val="tx1"/>
                </w14:solidFill>
              </w14:textFill>
            </w:rPr>
          </w:pPr>
        </w:p>
        <w:p w14:paraId="3019BF46">
          <w:pPr>
            <w:pStyle w:val="15"/>
            <w:tabs>
              <w:tab w:val="right" w:leader="dot" w:pos="9458"/>
            </w:tabs>
            <w:spacing w:line="360" w:lineRule="auto"/>
            <w:ind w:left="480"/>
            <w:jc w:val="both"/>
            <w:rPr>
              <w:rFonts w:asciiTheme="minorEastAsia" w:hAnsiTheme="minorEastAsia" w:eastAsiaTheme="minorEastAsia" w:cstheme="minorBidi"/>
              <w:bCs/>
              <w:color w:val="000000" w:themeColor="text1"/>
              <w:kern w:val="2"/>
              <w:sz w:val="21"/>
              <w:szCs w:val="22"/>
              <w14:textFill>
                <w14:solidFill>
                  <w14:schemeClr w14:val="tx1"/>
                </w14:solidFill>
              </w14:textFill>
            </w:rPr>
          </w:pPr>
          <w:r>
            <w:rPr>
              <w:rFonts w:asciiTheme="minorEastAsia" w:hAnsiTheme="minorEastAsia" w:eastAsiaTheme="minorEastAsia"/>
              <w:bCs/>
              <w:color w:val="000000" w:themeColor="text1"/>
              <w:sz w:val="28"/>
              <w14:textFill>
                <w14:solidFill>
                  <w14:schemeClr w14:val="tx1"/>
                </w14:solidFill>
              </w14:textFill>
            </w:rPr>
            <w:fldChar w:fldCharType="begin"/>
          </w:r>
          <w:r>
            <w:rPr>
              <w:rFonts w:asciiTheme="minorEastAsia" w:hAnsiTheme="minorEastAsia" w:eastAsiaTheme="minorEastAsia"/>
              <w:bCs/>
              <w:color w:val="000000" w:themeColor="text1"/>
              <w:sz w:val="28"/>
              <w14:textFill>
                <w14:solidFill>
                  <w14:schemeClr w14:val="tx1"/>
                </w14:solidFill>
              </w14:textFill>
            </w:rPr>
            <w:instrText xml:space="preserve"> TOC \o "1-3" \h \z \u </w:instrText>
          </w:r>
          <w:r>
            <w:rPr>
              <w:rFonts w:asciiTheme="minorEastAsia" w:hAnsiTheme="minorEastAsia" w:eastAsiaTheme="minorEastAsia"/>
              <w:bCs/>
              <w:color w:val="000000" w:themeColor="text1"/>
              <w:sz w:val="28"/>
              <w14:textFill>
                <w14:solidFill>
                  <w14:schemeClr w14:val="tx1"/>
                </w14:solidFill>
              </w14:textFill>
            </w:rPr>
            <w:fldChar w:fldCharType="separate"/>
          </w:r>
          <w:r>
            <w:fldChar w:fldCharType="begin"/>
          </w:r>
          <w:r>
            <w:instrText xml:space="preserve"> HYPERLINK \l "_Toc108389245" </w:instrText>
          </w:r>
          <w:r>
            <w:fldChar w:fldCharType="separate"/>
          </w:r>
          <w:r>
            <w:rPr>
              <w:rStyle w:val="23"/>
              <w:rFonts w:asciiTheme="minorEastAsia" w:hAnsiTheme="minorEastAsia" w:eastAsiaTheme="minorEastAsia"/>
              <w:bCs/>
              <w:color w:val="000000" w:themeColor="text1"/>
              <w14:textFill>
                <w14:solidFill>
                  <w14:schemeClr w14:val="tx1"/>
                </w14:solidFill>
              </w14:textFill>
            </w:rPr>
            <w:t>1 标准编制工作简况</w:t>
          </w:r>
          <w:r>
            <w:rPr>
              <w:rFonts w:asciiTheme="minorEastAsia" w:hAnsiTheme="minorEastAsia" w:eastAsiaTheme="minorEastAsia"/>
              <w:bCs/>
              <w:color w:val="000000" w:themeColor="text1"/>
              <w14:textFill>
                <w14:solidFill>
                  <w14:schemeClr w14:val="tx1"/>
                </w14:solidFill>
              </w14:textFill>
            </w:rPr>
            <w:tab/>
          </w:r>
          <w:r>
            <w:rPr>
              <w:rFonts w:asciiTheme="minorEastAsia" w:hAnsiTheme="minorEastAsia" w:eastAsiaTheme="minorEastAsia"/>
              <w:bCs/>
              <w:color w:val="000000" w:themeColor="text1"/>
              <w14:textFill>
                <w14:solidFill>
                  <w14:schemeClr w14:val="tx1"/>
                </w14:solidFill>
              </w14:textFill>
            </w:rPr>
            <w:fldChar w:fldCharType="begin"/>
          </w:r>
          <w:r>
            <w:rPr>
              <w:rFonts w:asciiTheme="minorEastAsia" w:hAnsiTheme="minorEastAsia" w:eastAsiaTheme="minorEastAsia"/>
              <w:bCs/>
              <w:color w:val="000000" w:themeColor="text1"/>
              <w14:textFill>
                <w14:solidFill>
                  <w14:schemeClr w14:val="tx1"/>
                </w14:solidFill>
              </w14:textFill>
            </w:rPr>
            <w:instrText xml:space="preserve"> PAGEREF _Toc108389245 \h </w:instrText>
          </w:r>
          <w:r>
            <w:rPr>
              <w:rFonts w:asciiTheme="minorEastAsia" w:hAnsiTheme="minorEastAsia" w:eastAsiaTheme="minorEastAsia"/>
              <w:bCs/>
              <w:color w:val="000000" w:themeColor="text1"/>
              <w14:textFill>
                <w14:solidFill>
                  <w14:schemeClr w14:val="tx1"/>
                </w14:solidFill>
              </w14:textFill>
            </w:rPr>
            <w:fldChar w:fldCharType="separate"/>
          </w:r>
          <w:r>
            <w:rPr>
              <w:rFonts w:asciiTheme="minorEastAsia" w:hAnsiTheme="minorEastAsia" w:eastAsiaTheme="minorEastAsia"/>
              <w:bCs/>
              <w:color w:val="000000" w:themeColor="text1"/>
              <w14:textFill>
                <w14:solidFill>
                  <w14:schemeClr w14:val="tx1"/>
                </w14:solidFill>
              </w14:textFill>
            </w:rPr>
            <w:t>3</w:t>
          </w:r>
          <w:r>
            <w:rPr>
              <w:rFonts w:asciiTheme="minorEastAsia" w:hAnsiTheme="minorEastAsia" w:eastAsiaTheme="minorEastAsia"/>
              <w:bCs/>
              <w:color w:val="000000" w:themeColor="text1"/>
              <w14:textFill>
                <w14:solidFill>
                  <w14:schemeClr w14:val="tx1"/>
                </w14:solidFill>
              </w14:textFill>
            </w:rPr>
            <w:fldChar w:fldCharType="end"/>
          </w:r>
          <w:r>
            <w:rPr>
              <w:rFonts w:asciiTheme="minorEastAsia" w:hAnsiTheme="minorEastAsia" w:eastAsiaTheme="minorEastAsia"/>
              <w:bCs/>
              <w:color w:val="000000" w:themeColor="text1"/>
              <w14:textFill>
                <w14:solidFill>
                  <w14:schemeClr w14:val="tx1"/>
                </w14:solidFill>
              </w14:textFill>
            </w:rPr>
            <w:fldChar w:fldCharType="end"/>
          </w:r>
        </w:p>
        <w:p w14:paraId="66CB9F11">
          <w:pPr>
            <w:pStyle w:val="9"/>
            <w:tabs>
              <w:tab w:val="right" w:leader="dot" w:pos="9458"/>
            </w:tabs>
            <w:spacing w:line="360" w:lineRule="auto"/>
            <w:ind w:left="960"/>
            <w:jc w:val="both"/>
            <w:rPr>
              <w:rFonts w:asciiTheme="minorEastAsia" w:hAnsiTheme="minorEastAsia" w:eastAsiaTheme="minorEastAsia" w:cstheme="minorBidi"/>
              <w:bCs/>
              <w:color w:val="000000" w:themeColor="text1"/>
              <w:kern w:val="2"/>
              <w:sz w:val="21"/>
              <w:szCs w:val="22"/>
              <w14:textFill>
                <w14:solidFill>
                  <w14:schemeClr w14:val="tx1"/>
                </w14:solidFill>
              </w14:textFill>
            </w:rPr>
          </w:pPr>
          <w:r>
            <w:fldChar w:fldCharType="begin"/>
          </w:r>
          <w:r>
            <w:instrText xml:space="preserve"> HYPERLINK \l "_Toc108389246" </w:instrText>
          </w:r>
          <w:r>
            <w:fldChar w:fldCharType="separate"/>
          </w:r>
          <w:r>
            <w:rPr>
              <w:rStyle w:val="23"/>
              <w:rFonts w:asciiTheme="minorEastAsia" w:hAnsiTheme="minorEastAsia" w:eastAsiaTheme="minorEastAsia"/>
              <w:bCs/>
              <w:color w:val="000000" w:themeColor="text1"/>
              <w14:textFill>
                <w14:solidFill>
                  <w14:schemeClr w14:val="tx1"/>
                </w14:solidFill>
              </w14:textFill>
            </w:rPr>
            <w:t>1.1 任务来源</w:t>
          </w:r>
          <w:r>
            <w:rPr>
              <w:rFonts w:asciiTheme="minorEastAsia" w:hAnsiTheme="minorEastAsia" w:eastAsiaTheme="minorEastAsia"/>
              <w:bCs/>
              <w:color w:val="000000" w:themeColor="text1"/>
              <w14:textFill>
                <w14:solidFill>
                  <w14:schemeClr w14:val="tx1"/>
                </w14:solidFill>
              </w14:textFill>
            </w:rPr>
            <w:tab/>
          </w:r>
          <w:r>
            <w:rPr>
              <w:rFonts w:asciiTheme="minorEastAsia" w:hAnsiTheme="minorEastAsia" w:eastAsiaTheme="minorEastAsia"/>
              <w:bCs/>
              <w:color w:val="000000" w:themeColor="text1"/>
              <w14:textFill>
                <w14:solidFill>
                  <w14:schemeClr w14:val="tx1"/>
                </w14:solidFill>
              </w14:textFill>
            </w:rPr>
            <w:fldChar w:fldCharType="begin"/>
          </w:r>
          <w:r>
            <w:rPr>
              <w:rFonts w:asciiTheme="minorEastAsia" w:hAnsiTheme="minorEastAsia" w:eastAsiaTheme="minorEastAsia"/>
              <w:bCs/>
              <w:color w:val="000000" w:themeColor="text1"/>
              <w14:textFill>
                <w14:solidFill>
                  <w14:schemeClr w14:val="tx1"/>
                </w14:solidFill>
              </w14:textFill>
            </w:rPr>
            <w:instrText xml:space="preserve"> PAGEREF _Toc108389246 \h </w:instrText>
          </w:r>
          <w:r>
            <w:rPr>
              <w:rFonts w:asciiTheme="minorEastAsia" w:hAnsiTheme="minorEastAsia" w:eastAsiaTheme="minorEastAsia"/>
              <w:bCs/>
              <w:color w:val="000000" w:themeColor="text1"/>
              <w14:textFill>
                <w14:solidFill>
                  <w14:schemeClr w14:val="tx1"/>
                </w14:solidFill>
              </w14:textFill>
            </w:rPr>
            <w:fldChar w:fldCharType="separate"/>
          </w:r>
          <w:r>
            <w:rPr>
              <w:rFonts w:asciiTheme="minorEastAsia" w:hAnsiTheme="minorEastAsia" w:eastAsiaTheme="minorEastAsia"/>
              <w:bCs/>
              <w:color w:val="000000" w:themeColor="text1"/>
              <w14:textFill>
                <w14:solidFill>
                  <w14:schemeClr w14:val="tx1"/>
                </w14:solidFill>
              </w14:textFill>
            </w:rPr>
            <w:t>3</w:t>
          </w:r>
          <w:r>
            <w:rPr>
              <w:rFonts w:asciiTheme="minorEastAsia" w:hAnsiTheme="minorEastAsia" w:eastAsiaTheme="minorEastAsia"/>
              <w:bCs/>
              <w:color w:val="000000" w:themeColor="text1"/>
              <w14:textFill>
                <w14:solidFill>
                  <w14:schemeClr w14:val="tx1"/>
                </w14:solidFill>
              </w14:textFill>
            </w:rPr>
            <w:fldChar w:fldCharType="end"/>
          </w:r>
          <w:r>
            <w:rPr>
              <w:rFonts w:asciiTheme="minorEastAsia" w:hAnsiTheme="minorEastAsia" w:eastAsiaTheme="minorEastAsia"/>
              <w:bCs/>
              <w:color w:val="000000" w:themeColor="text1"/>
              <w14:textFill>
                <w14:solidFill>
                  <w14:schemeClr w14:val="tx1"/>
                </w14:solidFill>
              </w14:textFill>
            </w:rPr>
            <w:fldChar w:fldCharType="end"/>
          </w:r>
        </w:p>
        <w:p w14:paraId="2CA249AF">
          <w:pPr>
            <w:pStyle w:val="9"/>
            <w:tabs>
              <w:tab w:val="right" w:leader="dot" w:pos="9458"/>
            </w:tabs>
            <w:spacing w:line="360" w:lineRule="auto"/>
            <w:ind w:left="960"/>
            <w:jc w:val="both"/>
            <w:rPr>
              <w:rFonts w:asciiTheme="minorEastAsia" w:hAnsiTheme="minorEastAsia" w:eastAsiaTheme="minorEastAsia" w:cstheme="minorBidi"/>
              <w:bCs/>
              <w:color w:val="000000" w:themeColor="text1"/>
              <w:kern w:val="2"/>
              <w:sz w:val="21"/>
              <w:szCs w:val="22"/>
              <w14:textFill>
                <w14:solidFill>
                  <w14:schemeClr w14:val="tx1"/>
                </w14:solidFill>
              </w14:textFill>
            </w:rPr>
          </w:pPr>
          <w:r>
            <w:fldChar w:fldCharType="begin"/>
          </w:r>
          <w:r>
            <w:instrText xml:space="preserve"> HYPERLINK \l "_Toc108389247" </w:instrText>
          </w:r>
          <w:r>
            <w:fldChar w:fldCharType="separate"/>
          </w:r>
          <w:r>
            <w:rPr>
              <w:rStyle w:val="23"/>
              <w:rFonts w:asciiTheme="minorEastAsia" w:hAnsiTheme="minorEastAsia" w:eastAsiaTheme="minorEastAsia"/>
              <w:bCs/>
              <w:color w:val="000000" w:themeColor="text1"/>
              <w14:textFill>
                <w14:solidFill>
                  <w14:schemeClr w14:val="tx1"/>
                </w14:solidFill>
              </w14:textFill>
            </w:rPr>
            <w:t>1.2 起草单位</w:t>
          </w:r>
          <w:r>
            <w:rPr>
              <w:rFonts w:asciiTheme="minorEastAsia" w:hAnsiTheme="minorEastAsia" w:eastAsiaTheme="minorEastAsia"/>
              <w:bCs/>
              <w:color w:val="000000" w:themeColor="text1"/>
              <w14:textFill>
                <w14:solidFill>
                  <w14:schemeClr w14:val="tx1"/>
                </w14:solidFill>
              </w14:textFill>
            </w:rPr>
            <w:tab/>
          </w:r>
          <w:r>
            <w:rPr>
              <w:rFonts w:asciiTheme="minorEastAsia" w:hAnsiTheme="minorEastAsia" w:eastAsiaTheme="minorEastAsia"/>
              <w:bCs/>
              <w:color w:val="000000" w:themeColor="text1"/>
              <w14:textFill>
                <w14:solidFill>
                  <w14:schemeClr w14:val="tx1"/>
                </w14:solidFill>
              </w14:textFill>
            </w:rPr>
            <w:fldChar w:fldCharType="begin"/>
          </w:r>
          <w:r>
            <w:rPr>
              <w:rFonts w:asciiTheme="minorEastAsia" w:hAnsiTheme="minorEastAsia" w:eastAsiaTheme="minorEastAsia"/>
              <w:bCs/>
              <w:color w:val="000000" w:themeColor="text1"/>
              <w14:textFill>
                <w14:solidFill>
                  <w14:schemeClr w14:val="tx1"/>
                </w14:solidFill>
              </w14:textFill>
            </w:rPr>
            <w:instrText xml:space="preserve"> PAGEREF _Toc108389247 \h </w:instrText>
          </w:r>
          <w:r>
            <w:rPr>
              <w:rFonts w:asciiTheme="minorEastAsia" w:hAnsiTheme="minorEastAsia" w:eastAsiaTheme="minorEastAsia"/>
              <w:bCs/>
              <w:color w:val="000000" w:themeColor="text1"/>
              <w14:textFill>
                <w14:solidFill>
                  <w14:schemeClr w14:val="tx1"/>
                </w14:solidFill>
              </w14:textFill>
            </w:rPr>
            <w:fldChar w:fldCharType="separate"/>
          </w:r>
          <w:r>
            <w:rPr>
              <w:rFonts w:asciiTheme="minorEastAsia" w:hAnsiTheme="minorEastAsia" w:eastAsiaTheme="minorEastAsia"/>
              <w:bCs/>
              <w:color w:val="000000" w:themeColor="text1"/>
              <w14:textFill>
                <w14:solidFill>
                  <w14:schemeClr w14:val="tx1"/>
                </w14:solidFill>
              </w14:textFill>
            </w:rPr>
            <w:t>3</w:t>
          </w:r>
          <w:r>
            <w:rPr>
              <w:rFonts w:asciiTheme="minorEastAsia" w:hAnsiTheme="minorEastAsia" w:eastAsiaTheme="minorEastAsia"/>
              <w:bCs/>
              <w:color w:val="000000" w:themeColor="text1"/>
              <w14:textFill>
                <w14:solidFill>
                  <w14:schemeClr w14:val="tx1"/>
                </w14:solidFill>
              </w14:textFill>
            </w:rPr>
            <w:fldChar w:fldCharType="end"/>
          </w:r>
          <w:r>
            <w:rPr>
              <w:rFonts w:asciiTheme="minorEastAsia" w:hAnsiTheme="minorEastAsia" w:eastAsiaTheme="minorEastAsia"/>
              <w:bCs/>
              <w:color w:val="000000" w:themeColor="text1"/>
              <w14:textFill>
                <w14:solidFill>
                  <w14:schemeClr w14:val="tx1"/>
                </w14:solidFill>
              </w14:textFill>
            </w:rPr>
            <w:fldChar w:fldCharType="end"/>
          </w:r>
        </w:p>
        <w:p w14:paraId="68F197BD">
          <w:pPr>
            <w:pStyle w:val="9"/>
            <w:tabs>
              <w:tab w:val="right" w:leader="dot" w:pos="9458"/>
            </w:tabs>
            <w:spacing w:line="360" w:lineRule="auto"/>
            <w:ind w:left="960"/>
            <w:jc w:val="both"/>
            <w:rPr>
              <w:rFonts w:asciiTheme="minorEastAsia" w:hAnsiTheme="minorEastAsia" w:eastAsiaTheme="minorEastAsia" w:cstheme="minorBidi"/>
              <w:bCs/>
              <w:color w:val="000000" w:themeColor="text1"/>
              <w:kern w:val="2"/>
              <w:sz w:val="21"/>
              <w:szCs w:val="22"/>
              <w14:textFill>
                <w14:solidFill>
                  <w14:schemeClr w14:val="tx1"/>
                </w14:solidFill>
              </w14:textFill>
            </w:rPr>
          </w:pPr>
          <w:r>
            <w:fldChar w:fldCharType="begin"/>
          </w:r>
          <w:r>
            <w:instrText xml:space="preserve"> HYPERLINK \l "_Toc108389248" </w:instrText>
          </w:r>
          <w:r>
            <w:fldChar w:fldCharType="separate"/>
          </w:r>
          <w:r>
            <w:rPr>
              <w:rStyle w:val="23"/>
              <w:rFonts w:asciiTheme="minorEastAsia" w:hAnsiTheme="minorEastAsia" w:eastAsiaTheme="minorEastAsia"/>
              <w:bCs/>
              <w:color w:val="000000" w:themeColor="text1"/>
              <w14:textFill>
                <w14:solidFill>
                  <w14:schemeClr w14:val="tx1"/>
                </w14:solidFill>
              </w14:textFill>
            </w:rPr>
            <w:t>1.3 标准编制背景及必要性</w:t>
          </w:r>
          <w:r>
            <w:rPr>
              <w:rFonts w:asciiTheme="minorEastAsia" w:hAnsiTheme="minorEastAsia" w:eastAsiaTheme="minorEastAsia"/>
              <w:bCs/>
              <w:color w:val="000000" w:themeColor="text1"/>
              <w14:textFill>
                <w14:solidFill>
                  <w14:schemeClr w14:val="tx1"/>
                </w14:solidFill>
              </w14:textFill>
            </w:rPr>
            <w:tab/>
          </w:r>
          <w:r>
            <w:rPr>
              <w:rFonts w:asciiTheme="minorEastAsia" w:hAnsiTheme="minorEastAsia" w:eastAsiaTheme="minorEastAsia"/>
              <w:bCs/>
              <w:color w:val="000000" w:themeColor="text1"/>
              <w14:textFill>
                <w14:solidFill>
                  <w14:schemeClr w14:val="tx1"/>
                </w14:solidFill>
              </w14:textFill>
            </w:rPr>
            <w:fldChar w:fldCharType="begin"/>
          </w:r>
          <w:r>
            <w:rPr>
              <w:rFonts w:asciiTheme="minorEastAsia" w:hAnsiTheme="minorEastAsia" w:eastAsiaTheme="minorEastAsia"/>
              <w:bCs/>
              <w:color w:val="000000" w:themeColor="text1"/>
              <w14:textFill>
                <w14:solidFill>
                  <w14:schemeClr w14:val="tx1"/>
                </w14:solidFill>
              </w14:textFill>
            </w:rPr>
            <w:instrText xml:space="preserve"> PAGEREF _Toc108389248 \h </w:instrText>
          </w:r>
          <w:r>
            <w:rPr>
              <w:rFonts w:asciiTheme="minorEastAsia" w:hAnsiTheme="minorEastAsia" w:eastAsiaTheme="minorEastAsia"/>
              <w:bCs/>
              <w:color w:val="000000" w:themeColor="text1"/>
              <w14:textFill>
                <w14:solidFill>
                  <w14:schemeClr w14:val="tx1"/>
                </w14:solidFill>
              </w14:textFill>
            </w:rPr>
            <w:fldChar w:fldCharType="separate"/>
          </w:r>
          <w:r>
            <w:rPr>
              <w:rFonts w:asciiTheme="minorEastAsia" w:hAnsiTheme="minorEastAsia" w:eastAsiaTheme="minorEastAsia"/>
              <w:bCs/>
              <w:color w:val="000000" w:themeColor="text1"/>
              <w14:textFill>
                <w14:solidFill>
                  <w14:schemeClr w14:val="tx1"/>
                </w14:solidFill>
              </w14:textFill>
            </w:rPr>
            <w:t>3</w:t>
          </w:r>
          <w:r>
            <w:rPr>
              <w:rFonts w:asciiTheme="minorEastAsia" w:hAnsiTheme="minorEastAsia" w:eastAsiaTheme="minorEastAsia"/>
              <w:bCs/>
              <w:color w:val="000000" w:themeColor="text1"/>
              <w14:textFill>
                <w14:solidFill>
                  <w14:schemeClr w14:val="tx1"/>
                </w14:solidFill>
              </w14:textFill>
            </w:rPr>
            <w:fldChar w:fldCharType="end"/>
          </w:r>
          <w:r>
            <w:rPr>
              <w:rFonts w:asciiTheme="minorEastAsia" w:hAnsiTheme="minorEastAsia" w:eastAsiaTheme="minorEastAsia"/>
              <w:bCs/>
              <w:color w:val="000000" w:themeColor="text1"/>
              <w14:textFill>
                <w14:solidFill>
                  <w14:schemeClr w14:val="tx1"/>
                </w14:solidFill>
              </w14:textFill>
            </w:rPr>
            <w:fldChar w:fldCharType="end"/>
          </w:r>
        </w:p>
        <w:p w14:paraId="17570D59">
          <w:pPr>
            <w:pStyle w:val="15"/>
            <w:tabs>
              <w:tab w:val="right" w:leader="dot" w:pos="9458"/>
            </w:tabs>
            <w:spacing w:line="360" w:lineRule="auto"/>
            <w:ind w:left="480"/>
            <w:jc w:val="both"/>
            <w:rPr>
              <w:rFonts w:asciiTheme="minorEastAsia" w:hAnsiTheme="minorEastAsia" w:eastAsiaTheme="minorEastAsia" w:cstheme="minorBidi"/>
              <w:bCs/>
              <w:color w:val="000000" w:themeColor="text1"/>
              <w:kern w:val="2"/>
              <w:sz w:val="21"/>
              <w:szCs w:val="22"/>
              <w14:textFill>
                <w14:solidFill>
                  <w14:schemeClr w14:val="tx1"/>
                </w14:solidFill>
              </w14:textFill>
            </w:rPr>
          </w:pPr>
          <w:r>
            <w:fldChar w:fldCharType="begin"/>
          </w:r>
          <w:r>
            <w:instrText xml:space="preserve"> HYPERLINK \l "_Toc108389249" </w:instrText>
          </w:r>
          <w:r>
            <w:fldChar w:fldCharType="separate"/>
          </w:r>
          <w:r>
            <w:rPr>
              <w:rStyle w:val="23"/>
              <w:rFonts w:asciiTheme="minorEastAsia" w:hAnsiTheme="minorEastAsia" w:eastAsiaTheme="minorEastAsia"/>
              <w:bCs/>
              <w:color w:val="000000" w:themeColor="text1"/>
              <w14:textFill>
                <w14:solidFill>
                  <w14:schemeClr w14:val="tx1"/>
                </w14:solidFill>
              </w14:textFill>
            </w:rPr>
            <w:t>2 标准编制的原则和主要内容</w:t>
          </w:r>
          <w:r>
            <w:rPr>
              <w:rFonts w:asciiTheme="minorEastAsia" w:hAnsiTheme="minorEastAsia" w:eastAsiaTheme="minorEastAsia"/>
              <w:bCs/>
              <w:color w:val="000000" w:themeColor="text1"/>
              <w14:textFill>
                <w14:solidFill>
                  <w14:schemeClr w14:val="tx1"/>
                </w14:solidFill>
              </w14:textFill>
            </w:rPr>
            <w:tab/>
          </w:r>
          <w:r>
            <w:rPr>
              <w:rFonts w:asciiTheme="minorEastAsia" w:hAnsiTheme="minorEastAsia" w:eastAsiaTheme="minorEastAsia"/>
              <w:bCs/>
              <w:color w:val="000000" w:themeColor="text1"/>
              <w14:textFill>
                <w14:solidFill>
                  <w14:schemeClr w14:val="tx1"/>
                </w14:solidFill>
              </w14:textFill>
            </w:rPr>
            <w:fldChar w:fldCharType="begin"/>
          </w:r>
          <w:r>
            <w:rPr>
              <w:rFonts w:asciiTheme="minorEastAsia" w:hAnsiTheme="minorEastAsia" w:eastAsiaTheme="minorEastAsia"/>
              <w:bCs/>
              <w:color w:val="000000" w:themeColor="text1"/>
              <w14:textFill>
                <w14:solidFill>
                  <w14:schemeClr w14:val="tx1"/>
                </w14:solidFill>
              </w14:textFill>
            </w:rPr>
            <w:instrText xml:space="preserve"> PAGEREF _Toc108389249 \h </w:instrText>
          </w:r>
          <w:r>
            <w:rPr>
              <w:rFonts w:asciiTheme="minorEastAsia" w:hAnsiTheme="minorEastAsia" w:eastAsiaTheme="minorEastAsia"/>
              <w:bCs/>
              <w:color w:val="000000" w:themeColor="text1"/>
              <w14:textFill>
                <w14:solidFill>
                  <w14:schemeClr w14:val="tx1"/>
                </w14:solidFill>
              </w14:textFill>
            </w:rPr>
            <w:fldChar w:fldCharType="separate"/>
          </w:r>
          <w:r>
            <w:rPr>
              <w:rFonts w:asciiTheme="minorEastAsia" w:hAnsiTheme="minorEastAsia" w:eastAsiaTheme="minorEastAsia"/>
              <w:bCs/>
              <w:color w:val="000000" w:themeColor="text1"/>
              <w14:textFill>
                <w14:solidFill>
                  <w14:schemeClr w14:val="tx1"/>
                </w14:solidFill>
              </w14:textFill>
            </w:rPr>
            <w:t>5</w:t>
          </w:r>
          <w:r>
            <w:rPr>
              <w:rFonts w:asciiTheme="minorEastAsia" w:hAnsiTheme="minorEastAsia" w:eastAsiaTheme="minorEastAsia"/>
              <w:bCs/>
              <w:color w:val="000000" w:themeColor="text1"/>
              <w14:textFill>
                <w14:solidFill>
                  <w14:schemeClr w14:val="tx1"/>
                </w14:solidFill>
              </w14:textFill>
            </w:rPr>
            <w:fldChar w:fldCharType="end"/>
          </w:r>
          <w:r>
            <w:rPr>
              <w:rFonts w:asciiTheme="minorEastAsia" w:hAnsiTheme="minorEastAsia" w:eastAsiaTheme="minorEastAsia"/>
              <w:bCs/>
              <w:color w:val="000000" w:themeColor="text1"/>
              <w14:textFill>
                <w14:solidFill>
                  <w14:schemeClr w14:val="tx1"/>
                </w14:solidFill>
              </w14:textFill>
            </w:rPr>
            <w:fldChar w:fldCharType="end"/>
          </w:r>
        </w:p>
        <w:p w14:paraId="01A7C117">
          <w:pPr>
            <w:pStyle w:val="9"/>
            <w:tabs>
              <w:tab w:val="right" w:leader="dot" w:pos="9458"/>
            </w:tabs>
            <w:spacing w:line="360" w:lineRule="auto"/>
            <w:ind w:left="960"/>
            <w:jc w:val="both"/>
            <w:rPr>
              <w:rFonts w:asciiTheme="minorEastAsia" w:hAnsiTheme="minorEastAsia" w:eastAsiaTheme="minorEastAsia" w:cstheme="minorBidi"/>
              <w:bCs/>
              <w:color w:val="000000" w:themeColor="text1"/>
              <w:kern w:val="2"/>
              <w:sz w:val="21"/>
              <w:szCs w:val="22"/>
              <w14:textFill>
                <w14:solidFill>
                  <w14:schemeClr w14:val="tx1"/>
                </w14:solidFill>
              </w14:textFill>
            </w:rPr>
          </w:pPr>
          <w:r>
            <w:fldChar w:fldCharType="begin"/>
          </w:r>
          <w:r>
            <w:instrText xml:space="preserve"> HYPERLINK \l "_Toc108389250" </w:instrText>
          </w:r>
          <w:r>
            <w:fldChar w:fldCharType="separate"/>
          </w:r>
          <w:r>
            <w:rPr>
              <w:rStyle w:val="23"/>
              <w:rFonts w:asciiTheme="minorEastAsia" w:hAnsiTheme="minorEastAsia" w:eastAsiaTheme="minorEastAsia"/>
              <w:bCs/>
              <w:color w:val="000000" w:themeColor="text1"/>
              <w14:textFill>
                <w14:solidFill>
                  <w14:schemeClr w14:val="tx1"/>
                </w14:solidFill>
              </w14:textFill>
            </w:rPr>
            <w:t>2.1 标准制定的原则</w:t>
          </w:r>
          <w:r>
            <w:rPr>
              <w:rFonts w:asciiTheme="minorEastAsia" w:hAnsiTheme="minorEastAsia" w:eastAsiaTheme="minorEastAsia"/>
              <w:bCs/>
              <w:color w:val="000000" w:themeColor="text1"/>
              <w14:textFill>
                <w14:solidFill>
                  <w14:schemeClr w14:val="tx1"/>
                </w14:solidFill>
              </w14:textFill>
            </w:rPr>
            <w:tab/>
          </w:r>
          <w:r>
            <w:rPr>
              <w:rFonts w:asciiTheme="minorEastAsia" w:hAnsiTheme="minorEastAsia" w:eastAsiaTheme="minorEastAsia"/>
              <w:bCs/>
              <w:color w:val="000000" w:themeColor="text1"/>
              <w14:textFill>
                <w14:solidFill>
                  <w14:schemeClr w14:val="tx1"/>
                </w14:solidFill>
              </w14:textFill>
            </w:rPr>
            <w:fldChar w:fldCharType="begin"/>
          </w:r>
          <w:r>
            <w:rPr>
              <w:rFonts w:asciiTheme="minorEastAsia" w:hAnsiTheme="minorEastAsia" w:eastAsiaTheme="minorEastAsia"/>
              <w:bCs/>
              <w:color w:val="000000" w:themeColor="text1"/>
              <w14:textFill>
                <w14:solidFill>
                  <w14:schemeClr w14:val="tx1"/>
                </w14:solidFill>
              </w14:textFill>
            </w:rPr>
            <w:instrText xml:space="preserve"> PAGEREF _Toc108389250 \h </w:instrText>
          </w:r>
          <w:r>
            <w:rPr>
              <w:rFonts w:asciiTheme="minorEastAsia" w:hAnsiTheme="minorEastAsia" w:eastAsiaTheme="minorEastAsia"/>
              <w:bCs/>
              <w:color w:val="000000" w:themeColor="text1"/>
              <w14:textFill>
                <w14:solidFill>
                  <w14:schemeClr w14:val="tx1"/>
                </w14:solidFill>
              </w14:textFill>
            </w:rPr>
            <w:fldChar w:fldCharType="separate"/>
          </w:r>
          <w:r>
            <w:rPr>
              <w:rFonts w:asciiTheme="minorEastAsia" w:hAnsiTheme="minorEastAsia" w:eastAsiaTheme="minorEastAsia"/>
              <w:bCs/>
              <w:color w:val="000000" w:themeColor="text1"/>
              <w14:textFill>
                <w14:solidFill>
                  <w14:schemeClr w14:val="tx1"/>
                </w14:solidFill>
              </w14:textFill>
            </w:rPr>
            <w:t>6</w:t>
          </w:r>
          <w:r>
            <w:rPr>
              <w:rFonts w:asciiTheme="minorEastAsia" w:hAnsiTheme="minorEastAsia" w:eastAsiaTheme="minorEastAsia"/>
              <w:bCs/>
              <w:color w:val="000000" w:themeColor="text1"/>
              <w14:textFill>
                <w14:solidFill>
                  <w14:schemeClr w14:val="tx1"/>
                </w14:solidFill>
              </w14:textFill>
            </w:rPr>
            <w:fldChar w:fldCharType="end"/>
          </w:r>
          <w:r>
            <w:rPr>
              <w:rFonts w:asciiTheme="minorEastAsia" w:hAnsiTheme="minorEastAsia" w:eastAsiaTheme="minorEastAsia"/>
              <w:bCs/>
              <w:color w:val="000000" w:themeColor="text1"/>
              <w14:textFill>
                <w14:solidFill>
                  <w14:schemeClr w14:val="tx1"/>
                </w14:solidFill>
              </w14:textFill>
            </w:rPr>
            <w:fldChar w:fldCharType="end"/>
          </w:r>
        </w:p>
        <w:p w14:paraId="1BA733D9">
          <w:pPr>
            <w:pStyle w:val="9"/>
            <w:tabs>
              <w:tab w:val="right" w:leader="dot" w:pos="9458"/>
            </w:tabs>
            <w:spacing w:line="360" w:lineRule="auto"/>
            <w:ind w:left="960"/>
            <w:jc w:val="both"/>
            <w:rPr>
              <w:rFonts w:asciiTheme="minorEastAsia" w:hAnsiTheme="minorEastAsia" w:eastAsiaTheme="minorEastAsia" w:cstheme="minorBidi"/>
              <w:bCs/>
              <w:color w:val="000000" w:themeColor="text1"/>
              <w:kern w:val="2"/>
              <w:sz w:val="21"/>
              <w:szCs w:val="22"/>
              <w14:textFill>
                <w14:solidFill>
                  <w14:schemeClr w14:val="tx1"/>
                </w14:solidFill>
              </w14:textFill>
            </w:rPr>
          </w:pPr>
          <w:r>
            <w:fldChar w:fldCharType="begin"/>
          </w:r>
          <w:r>
            <w:instrText xml:space="preserve"> HYPERLINK \l "_Toc108389251" </w:instrText>
          </w:r>
          <w:r>
            <w:fldChar w:fldCharType="separate"/>
          </w:r>
          <w:r>
            <w:rPr>
              <w:rStyle w:val="23"/>
              <w:rFonts w:asciiTheme="minorEastAsia" w:hAnsiTheme="minorEastAsia" w:eastAsiaTheme="minorEastAsia"/>
              <w:bCs/>
              <w:color w:val="000000" w:themeColor="text1"/>
              <w14:textFill>
                <w14:solidFill>
                  <w14:schemeClr w14:val="tx1"/>
                </w14:solidFill>
              </w14:textFill>
            </w:rPr>
            <w:t>2.2 标准的主要内容</w:t>
          </w:r>
          <w:r>
            <w:rPr>
              <w:rFonts w:asciiTheme="minorEastAsia" w:hAnsiTheme="minorEastAsia" w:eastAsiaTheme="minorEastAsia"/>
              <w:bCs/>
              <w:color w:val="000000" w:themeColor="text1"/>
              <w14:textFill>
                <w14:solidFill>
                  <w14:schemeClr w14:val="tx1"/>
                </w14:solidFill>
              </w14:textFill>
            </w:rPr>
            <w:tab/>
          </w:r>
          <w:r>
            <w:rPr>
              <w:rFonts w:asciiTheme="minorEastAsia" w:hAnsiTheme="minorEastAsia" w:eastAsiaTheme="minorEastAsia"/>
              <w:bCs/>
              <w:color w:val="000000" w:themeColor="text1"/>
              <w14:textFill>
                <w14:solidFill>
                  <w14:schemeClr w14:val="tx1"/>
                </w14:solidFill>
              </w14:textFill>
            </w:rPr>
            <w:fldChar w:fldCharType="begin"/>
          </w:r>
          <w:r>
            <w:rPr>
              <w:rFonts w:asciiTheme="minorEastAsia" w:hAnsiTheme="minorEastAsia" w:eastAsiaTheme="minorEastAsia"/>
              <w:bCs/>
              <w:color w:val="000000" w:themeColor="text1"/>
              <w14:textFill>
                <w14:solidFill>
                  <w14:schemeClr w14:val="tx1"/>
                </w14:solidFill>
              </w14:textFill>
            </w:rPr>
            <w:instrText xml:space="preserve"> PAGEREF _Toc108389251 \h </w:instrText>
          </w:r>
          <w:r>
            <w:rPr>
              <w:rFonts w:asciiTheme="minorEastAsia" w:hAnsiTheme="minorEastAsia" w:eastAsiaTheme="minorEastAsia"/>
              <w:bCs/>
              <w:color w:val="000000" w:themeColor="text1"/>
              <w14:textFill>
                <w14:solidFill>
                  <w14:schemeClr w14:val="tx1"/>
                </w14:solidFill>
              </w14:textFill>
            </w:rPr>
            <w:fldChar w:fldCharType="separate"/>
          </w:r>
          <w:r>
            <w:rPr>
              <w:rFonts w:asciiTheme="minorEastAsia" w:hAnsiTheme="minorEastAsia" w:eastAsiaTheme="minorEastAsia"/>
              <w:bCs/>
              <w:color w:val="000000" w:themeColor="text1"/>
              <w14:textFill>
                <w14:solidFill>
                  <w14:schemeClr w14:val="tx1"/>
                </w14:solidFill>
              </w14:textFill>
            </w:rPr>
            <w:t>7</w:t>
          </w:r>
          <w:r>
            <w:rPr>
              <w:rFonts w:asciiTheme="minorEastAsia" w:hAnsiTheme="minorEastAsia" w:eastAsiaTheme="minorEastAsia"/>
              <w:bCs/>
              <w:color w:val="000000" w:themeColor="text1"/>
              <w14:textFill>
                <w14:solidFill>
                  <w14:schemeClr w14:val="tx1"/>
                </w14:solidFill>
              </w14:textFill>
            </w:rPr>
            <w:fldChar w:fldCharType="end"/>
          </w:r>
          <w:r>
            <w:rPr>
              <w:rFonts w:asciiTheme="minorEastAsia" w:hAnsiTheme="minorEastAsia" w:eastAsiaTheme="minorEastAsia"/>
              <w:bCs/>
              <w:color w:val="000000" w:themeColor="text1"/>
              <w14:textFill>
                <w14:solidFill>
                  <w14:schemeClr w14:val="tx1"/>
                </w14:solidFill>
              </w14:textFill>
            </w:rPr>
            <w:fldChar w:fldCharType="end"/>
          </w:r>
        </w:p>
        <w:p w14:paraId="787CD0EA">
          <w:pPr>
            <w:pStyle w:val="15"/>
            <w:tabs>
              <w:tab w:val="right" w:leader="dot" w:pos="9458"/>
            </w:tabs>
            <w:spacing w:line="360" w:lineRule="auto"/>
            <w:ind w:left="480"/>
            <w:jc w:val="both"/>
            <w:rPr>
              <w:rFonts w:asciiTheme="minorEastAsia" w:hAnsiTheme="minorEastAsia" w:eastAsiaTheme="minorEastAsia" w:cstheme="minorBidi"/>
              <w:bCs/>
              <w:color w:val="000000" w:themeColor="text1"/>
              <w:kern w:val="2"/>
              <w:sz w:val="21"/>
              <w:szCs w:val="22"/>
              <w14:textFill>
                <w14:solidFill>
                  <w14:schemeClr w14:val="tx1"/>
                </w14:solidFill>
              </w14:textFill>
            </w:rPr>
          </w:pPr>
          <w:r>
            <w:fldChar w:fldCharType="begin"/>
          </w:r>
          <w:r>
            <w:instrText xml:space="preserve"> HYPERLINK \l "_Toc108389252" </w:instrText>
          </w:r>
          <w:r>
            <w:fldChar w:fldCharType="separate"/>
          </w:r>
          <w:r>
            <w:rPr>
              <w:rStyle w:val="23"/>
              <w:rFonts w:asciiTheme="minorEastAsia" w:hAnsiTheme="minorEastAsia" w:eastAsiaTheme="minorEastAsia"/>
              <w:bCs/>
              <w:color w:val="000000" w:themeColor="text1"/>
              <w14:textFill>
                <w14:solidFill>
                  <w14:schemeClr w14:val="tx1"/>
                </w14:solidFill>
              </w14:textFill>
            </w:rPr>
            <w:t>3 标准验证情况</w:t>
          </w:r>
          <w:r>
            <w:rPr>
              <w:rFonts w:asciiTheme="minorEastAsia" w:hAnsiTheme="minorEastAsia" w:eastAsiaTheme="minorEastAsia"/>
              <w:bCs/>
              <w:color w:val="000000" w:themeColor="text1"/>
              <w14:textFill>
                <w14:solidFill>
                  <w14:schemeClr w14:val="tx1"/>
                </w14:solidFill>
              </w14:textFill>
            </w:rPr>
            <w:tab/>
          </w:r>
          <w:r>
            <w:rPr>
              <w:rFonts w:asciiTheme="minorEastAsia" w:hAnsiTheme="minorEastAsia" w:eastAsiaTheme="minorEastAsia"/>
              <w:bCs/>
              <w:color w:val="000000" w:themeColor="text1"/>
              <w14:textFill>
                <w14:solidFill>
                  <w14:schemeClr w14:val="tx1"/>
                </w14:solidFill>
              </w14:textFill>
            </w:rPr>
            <w:fldChar w:fldCharType="begin"/>
          </w:r>
          <w:r>
            <w:rPr>
              <w:rFonts w:asciiTheme="minorEastAsia" w:hAnsiTheme="minorEastAsia" w:eastAsiaTheme="minorEastAsia"/>
              <w:bCs/>
              <w:color w:val="000000" w:themeColor="text1"/>
              <w14:textFill>
                <w14:solidFill>
                  <w14:schemeClr w14:val="tx1"/>
                </w14:solidFill>
              </w14:textFill>
            </w:rPr>
            <w:instrText xml:space="preserve"> PAGEREF _Toc108389252 \h </w:instrText>
          </w:r>
          <w:r>
            <w:rPr>
              <w:rFonts w:asciiTheme="minorEastAsia" w:hAnsiTheme="minorEastAsia" w:eastAsiaTheme="minorEastAsia"/>
              <w:bCs/>
              <w:color w:val="000000" w:themeColor="text1"/>
              <w14:textFill>
                <w14:solidFill>
                  <w14:schemeClr w14:val="tx1"/>
                </w14:solidFill>
              </w14:textFill>
            </w:rPr>
            <w:fldChar w:fldCharType="separate"/>
          </w:r>
          <w:r>
            <w:rPr>
              <w:rFonts w:asciiTheme="minorEastAsia" w:hAnsiTheme="minorEastAsia" w:eastAsiaTheme="minorEastAsia"/>
              <w:bCs/>
              <w:color w:val="000000" w:themeColor="text1"/>
              <w14:textFill>
                <w14:solidFill>
                  <w14:schemeClr w14:val="tx1"/>
                </w14:solidFill>
              </w14:textFill>
            </w:rPr>
            <w:t>20</w:t>
          </w:r>
          <w:r>
            <w:rPr>
              <w:rFonts w:asciiTheme="minorEastAsia" w:hAnsiTheme="minorEastAsia" w:eastAsiaTheme="minorEastAsia"/>
              <w:bCs/>
              <w:color w:val="000000" w:themeColor="text1"/>
              <w14:textFill>
                <w14:solidFill>
                  <w14:schemeClr w14:val="tx1"/>
                </w14:solidFill>
              </w14:textFill>
            </w:rPr>
            <w:fldChar w:fldCharType="end"/>
          </w:r>
          <w:r>
            <w:rPr>
              <w:rFonts w:asciiTheme="minorEastAsia" w:hAnsiTheme="minorEastAsia" w:eastAsiaTheme="minorEastAsia"/>
              <w:bCs/>
              <w:color w:val="000000" w:themeColor="text1"/>
              <w14:textFill>
                <w14:solidFill>
                  <w14:schemeClr w14:val="tx1"/>
                </w14:solidFill>
              </w14:textFill>
            </w:rPr>
            <w:fldChar w:fldCharType="end"/>
          </w:r>
        </w:p>
        <w:p w14:paraId="7BDD2633">
          <w:pPr>
            <w:pStyle w:val="15"/>
            <w:tabs>
              <w:tab w:val="right" w:leader="dot" w:pos="9458"/>
            </w:tabs>
            <w:spacing w:line="360" w:lineRule="auto"/>
            <w:ind w:left="480"/>
            <w:jc w:val="both"/>
            <w:rPr>
              <w:rFonts w:asciiTheme="minorEastAsia" w:hAnsiTheme="minorEastAsia" w:eastAsiaTheme="minorEastAsia" w:cstheme="minorBidi"/>
              <w:bCs/>
              <w:color w:val="000000" w:themeColor="text1"/>
              <w:kern w:val="2"/>
              <w:sz w:val="21"/>
              <w:szCs w:val="22"/>
              <w14:textFill>
                <w14:solidFill>
                  <w14:schemeClr w14:val="tx1"/>
                </w14:solidFill>
              </w14:textFill>
            </w:rPr>
          </w:pPr>
          <w:r>
            <w:fldChar w:fldCharType="begin"/>
          </w:r>
          <w:r>
            <w:instrText xml:space="preserve"> HYPERLINK \l "_Toc108389265" </w:instrText>
          </w:r>
          <w:r>
            <w:fldChar w:fldCharType="separate"/>
          </w:r>
          <w:r>
            <w:rPr>
              <w:rStyle w:val="23"/>
              <w:rFonts w:asciiTheme="minorEastAsia" w:hAnsiTheme="minorEastAsia" w:eastAsiaTheme="minorEastAsia"/>
              <w:bCs/>
              <w:color w:val="000000" w:themeColor="text1"/>
              <w14:textFill>
                <w14:solidFill>
                  <w14:schemeClr w14:val="tx1"/>
                </w14:solidFill>
              </w14:textFill>
            </w:rPr>
            <w:t>4 标准中涉及专利、知识产权情况说明</w:t>
          </w:r>
          <w:r>
            <w:rPr>
              <w:rFonts w:asciiTheme="minorEastAsia" w:hAnsiTheme="minorEastAsia" w:eastAsiaTheme="minorEastAsia"/>
              <w:bCs/>
              <w:color w:val="000000" w:themeColor="text1"/>
              <w14:textFill>
                <w14:solidFill>
                  <w14:schemeClr w14:val="tx1"/>
                </w14:solidFill>
              </w14:textFill>
            </w:rPr>
            <w:tab/>
          </w:r>
          <w:r>
            <w:rPr>
              <w:rFonts w:asciiTheme="minorEastAsia" w:hAnsiTheme="minorEastAsia" w:eastAsiaTheme="minorEastAsia"/>
              <w:bCs/>
              <w:color w:val="000000" w:themeColor="text1"/>
              <w14:textFill>
                <w14:solidFill>
                  <w14:schemeClr w14:val="tx1"/>
                </w14:solidFill>
              </w14:textFill>
            </w:rPr>
            <w:fldChar w:fldCharType="begin"/>
          </w:r>
          <w:r>
            <w:rPr>
              <w:rFonts w:asciiTheme="minorEastAsia" w:hAnsiTheme="minorEastAsia" w:eastAsiaTheme="minorEastAsia"/>
              <w:bCs/>
              <w:color w:val="000000" w:themeColor="text1"/>
              <w14:textFill>
                <w14:solidFill>
                  <w14:schemeClr w14:val="tx1"/>
                </w14:solidFill>
              </w14:textFill>
            </w:rPr>
            <w:instrText xml:space="preserve"> PAGEREF _Toc108389265 \h </w:instrText>
          </w:r>
          <w:r>
            <w:rPr>
              <w:rFonts w:asciiTheme="minorEastAsia" w:hAnsiTheme="minorEastAsia" w:eastAsiaTheme="minorEastAsia"/>
              <w:bCs/>
              <w:color w:val="000000" w:themeColor="text1"/>
              <w14:textFill>
                <w14:solidFill>
                  <w14:schemeClr w14:val="tx1"/>
                </w14:solidFill>
              </w14:textFill>
            </w:rPr>
            <w:fldChar w:fldCharType="separate"/>
          </w:r>
          <w:r>
            <w:rPr>
              <w:rFonts w:asciiTheme="minorEastAsia" w:hAnsiTheme="minorEastAsia" w:eastAsiaTheme="minorEastAsia"/>
              <w:bCs/>
              <w:color w:val="000000" w:themeColor="text1"/>
              <w14:textFill>
                <w14:solidFill>
                  <w14:schemeClr w14:val="tx1"/>
                </w14:solidFill>
              </w14:textFill>
            </w:rPr>
            <w:t>26</w:t>
          </w:r>
          <w:r>
            <w:rPr>
              <w:rFonts w:asciiTheme="minorEastAsia" w:hAnsiTheme="minorEastAsia" w:eastAsiaTheme="minorEastAsia"/>
              <w:bCs/>
              <w:color w:val="000000" w:themeColor="text1"/>
              <w14:textFill>
                <w14:solidFill>
                  <w14:schemeClr w14:val="tx1"/>
                </w14:solidFill>
              </w14:textFill>
            </w:rPr>
            <w:fldChar w:fldCharType="end"/>
          </w:r>
          <w:r>
            <w:rPr>
              <w:rFonts w:asciiTheme="minorEastAsia" w:hAnsiTheme="minorEastAsia" w:eastAsiaTheme="minorEastAsia"/>
              <w:bCs/>
              <w:color w:val="000000" w:themeColor="text1"/>
              <w14:textFill>
                <w14:solidFill>
                  <w14:schemeClr w14:val="tx1"/>
                </w14:solidFill>
              </w14:textFill>
            </w:rPr>
            <w:fldChar w:fldCharType="end"/>
          </w:r>
        </w:p>
        <w:p w14:paraId="6E0F6FA8">
          <w:pPr>
            <w:pStyle w:val="15"/>
            <w:tabs>
              <w:tab w:val="right" w:leader="dot" w:pos="9458"/>
            </w:tabs>
            <w:spacing w:line="360" w:lineRule="auto"/>
            <w:ind w:left="480"/>
            <w:jc w:val="both"/>
            <w:rPr>
              <w:rFonts w:asciiTheme="minorEastAsia" w:hAnsiTheme="minorEastAsia" w:eastAsiaTheme="minorEastAsia" w:cstheme="minorBidi"/>
              <w:bCs/>
              <w:color w:val="000000" w:themeColor="text1"/>
              <w:kern w:val="2"/>
              <w:sz w:val="21"/>
              <w:szCs w:val="22"/>
              <w14:textFill>
                <w14:solidFill>
                  <w14:schemeClr w14:val="tx1"/>
                </w14:solidFill>
              </w14:textFill>
            </w:rPr>
          </w:pPr>
          <w:r>
            <w:fldChar w:fldCharType="begin"/>
          </w:r>
          <w:r>
            <w:instrText xml:space="preserve"> HYPERLINK \l "_Toc108389266" </w:instrText>
          </w:r>
          <w:r>
            <w:fldChar w:fldCharType="separate"/>
          </w:r>
          <w:r>
            <w:rPr>
              <w:rStyle w:val="23"/>
              <w:rFonts w:asciiTheme="minorEastAsia" w:hAnsiTheme="minorEastAsia" w:eastAsiaTheme="minorEastAsia"/>
              <w:bCs/>
              <w:color w:val="000000" w:themeColor="text1"/>
              <w14:textFill>
                <w14:solidFill>
                  <w14:schemeClr w14:val="tx1"/>
                </w14:solidFill>
              </w14:textFill>
            </w:rPr>
            <w:t>5 产业化情况、推广应用论证和预期达到的经济效果等情况；</w:t>
          </w:r>
          <w:r>
            <w:rPr>
              <w:rFonts w:asciiTheme="minorEastAsia" w:hAnsiTheme="minorEastAsia" w:eastAsiaTheme="minorEastAsia"/>
              <w:bCs/>
              <w:color w:val="000000" w:themeColor="text1"/>
              <w14:textFill>
                <w14:solidFill>
                  <w14:schemeClr w14:val="tx1"/>
                </w14:solidFill>
              </w14:textFill>
            </w:rPr>
            <w:tab/>
          </w:r>
          <w:r>
            <w:rPr>
              <w:rFonts w:asciiTheme="minorEastAsia" w:hAnsiTheme="minorEastAsia" w:eastAsiaTheme="minorEastAsia"/>
              <w:bCs/>
              <w:color w:val="000000" w:themeColor="text1"/>
              <w14:textFill>
                <w14:solidFill>
                  <w14:schemeClr w14:val="tx1"/>
                </w14:solidFill>
              </w14:textFill>
            </w:rPr>
            <w:fldChar w:fldCharType="begin"/>
          </w:r>
          <w:r>
            <w:rPr>
              <w:rFonts w:asciiTheme="minorEastAsia" w:hAnsiTheme="minorEastAsia" w:eastAsiaTheme="minorEastAsia"/>
              <w:bCs/>
              <w:color w:val="000000" w:themeColor="text1"/>
              <w14:textFill>
                <w14:solidFill>
                  <w14:schemeClr w14:val="tx1"/>
                </w14:solidFill>
              </w14:textFill>
            </w:rPr>
            <w:instrText xml:space="preserve"> PAGEREF _Toc108389266 \h </w:instrText>
          </w:r>
          <w:r>
            <w:rPr>
              <w:rFonts w:asciiTheme="minorEastAsia" w:hAnsiTheme="minorEastAsia" w:eastAsiaTheme="minorEastAsia"/>
              <w:bCs/>
              <w:color w:val="000000" w:themeColor="text1"/>
              <w14:textFill>
                <w14:solidFill>
                  <w14:schemeClr w14:val="tx1"/>
                </w14:solidFill>
              </w14:textFill>
            </w:rPr>
            <w:fldChar w:fldCharType="separate"/>
          </w:r>
          <w:r>
            <w:rPr>
              <w:rFonts w:asciiTheme="minorEastAsia" w:hAnsiTheme="minorEastAsia" w:eastAsiaTheme="minorEastAsia"/>
              <w:bCs/>
              <w:color w:val="000000" w:themeColor="text1"/>
              <w14:textFill>
                <w14:solidFill>
                  <w14:schemeClr w14:val="tx1"/>
                </w14:solidFill>
              </w14:textFill>
            </w:rPr>
            <w:t>26</w:t>
          </w:r>
          <w:r>
            <w:rPr>
              <w:rFonts w:asciiTheme="minorEastAsia" w:hAnsiTheme="minorEastAsia" w:eastAsiaTheme="minorEastAsia"/>
              <w:bCs/>
              <w:color w:val="000000" w:themeColor="text1"/>
              <w14:textFill>
                <w14:solidFill>
                  <w14:schemeClr w14:val="tx1"/>
                </w14:solidFill>
              </w14:textFill>
            </w:rPr>
            <w:fldChar w:fldCharType="end"/>
          </w:r>
          <w:r>
            <w:rPr>
              <w:rFonts w:asciiTheme="minorEastAsia" w:hAnsiTheme="minorEastAsia" w:eastAsiaTheme="minorEastAsia"/>
              <w:bCs/>
              <w:color w:val="000000" w:themeColor="text1"/>
              <w14:textFill>
                <w14:solidFill>
                  <w14:schemeClr w14:val="tx1"/>
                </w14:solidFill>
              </w14:textFill>
            </w:rPr>
            <w:fldChar w:fldCharType="end"/>
          </w:r>
        </w:p>
        <w:p w14:paraId="613B670E">
          <w:pPr>
            <w:pStyle w:val="15"/>
            <w:tabs>
              <w:tab w:val="right" w:leader="dot" w:pos="9458"/>
            </w:tabs>
            <w:spacing w:line="360" w:lineRule="auto"/>
            <w:ind w:left="480"/>
            <w:jc w:val="both"/>
            <w:rPr>
              <w:rFonts w:asciiTheme="minorEastAsia" w:hAnsiTheme="minorEastAsia" w:eastAsiaTheme="minorEastAsia" w:cstheme="minorBidi"/>
              <w:bCs/>
              <w:color w:val="000000" w:themeColor="text1"/>
              <w:kern w:val="2"/>
              <w:sz w:val="21"/>
              <w:szCs w:val="22"/>
              <w14:textFill>
                <w14:solidFill>
                  <w14:schemeClr w14:val="tx1"/>
                </w14:solidFill>
              </w14:textFill>
            </w:rPr>
          </w:pPr>
          <w:r>
            <w:fldChar w:fldCharType="begin"/>
          </w:r>
          <w:r>
            <w:instrText xml:space="preserve"> HYPERLINK \l "_Toc108389267" </w:instrText>
          </w:r>
          <w:r>
            <w:fldChar w:fldCharType="separate"/>
          </w:r>
          <w:r>
            <w:rPr>
              <w:rStyle w:val="23"/>
              <w:rFonts w:asciiTheme="minorEastAsia" w:hAnsiTheme="minorEastAsia" w:eastAsiaTheme="minorEastAsia"/>
              <w:bCs/>
              <w:color w:val="000000" w:themeColor="text1"/>
              <w14:textFill>
                <w14:solidFill>
                  <w14:schemeClr w14:val="tx1"/>
                </w14:solidFill>
              </w14:textFill>
            </w:rPr>
            <w:t>6 采用国际标准，与国际、国外同类标准水平的对比情况，国内外关键指标对比分析或与测试的国外样品、样机的相关数据对比情况；</w:t>
          </w:r>
          <w:r>
            <w:rPr>
              <w:rFonts w:asciiTheme="minorEastAsia" w:hAnsiTheme="minorEastAsia" w:eastAsiaTheme="minorEastAsia"/>
              <w:bCs/>
              <w:color w:val="000000" w:themeColor="text1"/>
              <w14:textFill>
                <w14:solidFill>
                  <w14:schemeClr w14:val="tx1"/>
                </w14:solidFill>
              </w14:textFill>
            </w:rPr>
            <w:tab/>
          </w:r>
          <w:r>
            <w:rPr>
              <w:rFonts w:asciiTheme="minorEastAsia" w:hAnsiTheme="minorEastAsia" w:eastAsiaTheme="minorEastAsia"/>
              <w:bCs/>
              <w:color w:val="000000" w:themeColor="text1"/>
              <w14:textFill>
                <w14:solidFill>
                  <w14:schemeClr w14:val="tx1"/>
                </w14:solidFill>
              </w14:textFill>
            </w:rPr>
            <w:fldChar w:fldCharType="begin"/>
          </w:r>
          <w:r>
            <w:rPr>
              <w:rFonts w:asciiTheme="minorEastAsia" w:hAnsiTheme="minorEastAsia" w:eastAsiaTheme="minorEastAsia"/>
              <w:bCs/>
              <w:color w:val="000000" w:themeColor="text1"/>
              <w14:textFill>
                <w14:solidFill>
                  <w14:schemeClr w14:val="tx1"/>
                </w14:solidFill>
              </w14:textFill>
            </w:rPr>
            <w:instrText xml:space="preserve"> PAGEREF _Toc108389267 \h </w:instrText>
          </w:r>
          <w:r>
            <w:rPr>
              <w:rFonts w:asciiTheme="minorEastAsia" w:hAnsiTheme="minorEastAsia" w:eastAsiaTheme="minorEastAsia"/>
              <w:bCs/>
              <w:color w:val="000000" w:themeColor="text1"/>
              <w14:textFill>
                <w14:solidFill>
                  <w14:schemeClr w14:val="tx1"/>
                </w14:solidFill>
              </w14:textFill>
            </w:rPr>
            <w:fldChar w:fldCharType="separate"/>
          </w:r>
          <w:r>
            <w:rPr>
              <w:rFonts w:asciiTheme="minorEastAsia" w:hAnsiTheme="minorEastAsia" w:eastAsiaTheme="minorEastAsia"/>
              <w:bCs/>
              <w:color w:val="000000" w:themeColor="text1"/>
              <w14:textFill>
                <w14:solidFill>
                  <w14:schemeClr w14:val="tx1"/>
                </w14:solidFill>
              </w14:textFill>
            </w:rPr>
            <w:t>26</w:t>
          </w:r>
          <w:r>
            <w:rPr>
              <w:rFonts w:asciiTheme="minorEastAsia" w:hAnsiTheme="minorEastAsia" w:eastAsiaTheme="minorEastAsia"/>
              <w:bCs/>
              <w:color w:val="000000" w:themeColor="text1"/>
              <w14:textFill>
                <w14:solidFill>
                  <w14:schemeClr w14:val="tx1"/>
                </w14:solidFill>
              </w14:textFill>
            </w:rPr>
            <w:fldChar w:fldCharType="end"/>
          </w:r>
          <w:r>
            <w:rPr>
              <w:rFonts w:asciiTheme="minorEastAsia" w:hAnsiTheme="minorEastAsia" w:eastAsiaTheme="minorEastAsia"/>
              <w:bCs/>
              <w:color w:val="000000" w:themeColor="text1"/>
              <w14:textFill>
                <w14:solidFill>
                  <w14:schemeClr w14:val="tx1"/>
                </w14:solidFill>
              </w14:textFill>
            </w:rPr>
            <w:fldChar w:fldCharType="end"/>
          </w:r>
        </w:p>
        <w:p w14:paraId="3EED7AFF">
          <w:pPr>
            <w:pStyle w:val="15"/>
            <w:tabs>
              <w:tab w:val="right" w:leader="dot" w:pos="9458"/>
            </w:tabs>
            <w:spacing w:line="360" w:lineRule="auto"/>
            <w:ind w:left="480"/>
            <w:jc w:val="both"/>
            <w:rPr>
              <w:rFonts w:asciiTheme="minorEastAsia" w:hAnsiTheme="minorEastAsia" w:eastAsiaTheme="minorEastAsia" w:cstheme="minorBidi"/>
              <w:bCs/>
              <w:color w:val="000000" w:themeColor="text1"/>
              <w:kern w:val="2"/>
              <w:sz w:val="21"/>
              <w:szCs w:val="22"/>
              <w14:textFill>
                <w14:solidFill>
                  <w14:schemeClr w14:val="tx1"/>
                </w14:solidFill>
              </w14:textFill>
            </w:rPr>
          </w:pPr>
          <w:r>
            <w:fldChar w:fldCharType="begin"/>
          </w:r>
          <w:r>
            <w:instrText xml:space="preserve"> HYPERLINK \l "_Toc108389268" </w:instrText>
          </w:r>
          <w:r>
            <w:fldChar w:fldCharType="separate"/>
          </w:r>
          <w:r>
            <w:rPr>
              <w:rStyle w:val="23"/>
              <w:rFonts w:asciiTheme="minorEastAsia" w:hAnsiTheme="minorEastAsia" w:eastAsiaTheme="minorEastAsia"/>
              <w:bCs/>
              <w:color w:val="000000" w:themeColor="text1"/>
              <w14:textFill>
                <w14:solidFill>
                  <w14:schemeClr w14:val="tx1"/>
                </w14:solidFill>
              </w14:textFill>
            </w:rPr>
            <w:t>7 与现行相关法律、法规、规章及相关标准，特别是强制性标准的协调性</w:t>
          </w:r>
          <w:r>
            <w:rPr>
              <w:rFonts w:asciiTheme="minorEastAsia" w:hAnsiTheme="minorEastAsia" w:eastAsiaTheme="minorEastAsia"/>
              <w:bCs/>
              <w:color w:val="000000" w:themeColor="text1"/>
              <w14:textFill>
                <w14:solidFill>
                  <w14:schemeClr w14:val="tx1"/>
                </w14:solidFill>
              </w14:textFill>
            </w:rPr>
            <w:tab/>
          </w:r>
          <w:r>
            <w:rPr>
              <w:rFonts w:asciiTheme="minorEastAsia" w:hAnsiTheme="minorEastAsia" w:eastAsiaTheme="minorEastAsia"/>
              <w:bCs/>
              <w:color w:val="000000" w:themeColor="text1"/>
              <w14:textFill>
                <w14:solidFill>
                  <w14:schemeClr w14:val="tx1"/>
                </w14:solidFill>
              </w14:textFill>
            </w:rPr>
            <w:fldChar w:fldCharType="begin"/>
          </w:r>
          <w:r>
            <w:rPr>
              <w:rFonts w:asciiTheme="minorEastAsia" w:hAnsiTheme="minorEastAsia" w:eastAsiaTheme="minorEastAsia"/>
              <w:bCs/>
              <w:color w:val="000000" w:themeColor="text1"/>
              <w14:textFill>
                <w14:solidFill>
                  <w14:schemeClr w14:val="tx1"/>
                </w14:solidFill>
              </w14:textFill>
            </w:rPr>
            <w:instrText xml:space="preserve"> PAGEREF _Toc108389268 \h </w:instrText>
          </w:r>
          <w:r>
            <w:rPr>
              <w:rFonts w:asciiTheme="minorEastAsia" w:hAnsiTheme="minorEastAsia" w:eastAsiaTheme="minorEastAsia"/>
              <w:bCs/>
              <w:color w:val="000000" w:themeColor="text1"/>
              <w14:textFill>
                <w14:solidFill>
                  <w14:schemeClr w14:val="tx1"/>
                </w14:solidFill>
              </w14:textFill>
            </w:rPr>
            <w:fldChar w:fldCharType="separate"/>
          </w:r>
          <w:r>
            <w:rPr>
              <w:rFonts w:asciiTheme="minorEastAsia" w:hAnsiTheme="minorEastAsia" w:eastAsiaTheme="minorEastAsia"/>
              <w:bCs/>
              <w:color w:val="000000" w:themeColor="text1"/>
              <w14:textFill>
                <w14:solidFill>
                  <w14:schemeClr w14:val="tx1"/>
                </w14:solidFill>
              </w14:textFill>
            </w:rPr>
            <w:t>26</w:t>
          </w:r>
          <w:r>
            <w:rPr>
              <w:rFonts w:asciiTheme="minorEastAsia" w:hAnsiTheme="minorEastAsia" w:eastAsiaTheme="minorEastAsia"/>
              <w:bCs/>
              <w:color w:val="000000" w:themeColor="text1"/>
              <w14:textFill>
                <w14:solidFill>
                  <w14:schemeClr w14:val="tx1"/>
                </w14:solidFill>
              </w14:textFill>
            </w:rPr>
            <w:fldChar w:fldCharType="end"/>
          </w:r>
          <w:r>
            <w:rPr>
              <w:rFonts w:asciiTheme="minorEastAsia" w:hAnsiTheme="minorEastAsia" w:eastAsiaTheme="minorEastAsia"/>
              <w:bCs/>
              <w:color w:val="000000" w:themeColor="text1"/>
              <w14:textFill>
                <w14:solidFill>
                  <w14:schemeClr w14:val="tx1"/>
                </w14:solidFill>
              </w14:textFill>
            </w:rPr>
            <w:fldChar w:fldCharType="end"/>
          </w:r>
        </w:p>
        <w:p w14:paraId="37946C98">
          <w:pPr>
            <w:pStyle w:val="9"/>
            <w:tabs>
              <w:tab w:val="right" w:leader="dot" w:pos="9458"/>
            </w:tabs>
            <w:spacing w:line="360" w:lineRule="auto"/>
            <w:ind w:left="960"/>
            <w:jc w:val="both"/>
            <w:rPr>
              <w:rFonts w:asciiTheme="minorEastAsia" w:hAnsiTheme="minorEastAsia" w:eastAsiaTheme="minorEastAsia" w:cstheme="minorBidi"/>
              <w:bCs/>
              <w:color w:val="000000" w:themeColor="text1"/>
              <w:kern w:val="2"/>
              <w:sz w:val="21"/>
              <w:szCs w:val="22"/>
              <w14:textFill>
                <w14:solidFill>
                  <w14:schemeClr w14:val="tx1"/>
                </w14:solidFill>
              </w14:textFill>
            </w:rPr>
          </w:pPr>
          <w:r>
            <w:fldChar w:fldCharType="begin"/>
          </w:r>
          <w:r>
            <w:instrText xml:space="preserve"> HYPERLINK \l "_Toc108389269" </w:instrText>
          </w:r>
          <w:r>
            <w:fldChar w:fldCharType="separate"/>
          </w:r>
          <w:r>
            <w:rPr>
              <w:rStyle w:val="23"/>
              <w:rFonts w:asciiTheme="minorEastAsia" w:hAnsiTheme="minorEastAsia" w:eastAsiaTheme="minorEastAsia"/>
              <w:bCs/>
              <w:color w:val="000000" w:themeColor="text1"/>
              <w14:textFill>
                <w14:solidFill>
                  <w14:schemeClr w14:val="tx1"/>
                </w14:solidFill>
              </w14:textFill>
            </w:rPr>
            <w:t>7.1相关法律法规</w:t>
          </w:r>
          <w:r>
            <w:rPr>
              <w:rFonts w:asciiTheme="minorEastAsia" w:hAnsiTheme="minorEastAsia" w:eastAsiaTheme="minorEastAsia"/>
              <w:bCs/>
              <w:color w:val="000000" w:themeColor="text1"/>
              <w14:textFill>
                <w14:solidFill>
                  <w14:schemeClr w14:val="tx1"/>
                </w14:solidFill>
              </w14:textFill>
            </w:rPr>
            <w:tab/>
          </w:r>
          <w:r>
            <w:rPr>
              <w:rFonts w:asciiTheme="minorEastAsia" w:hAnsiTheme="minorEastAsia" w:eastAsiaTheme="minorEastAsia"/>
              <w:bCs/>
              <w:color w:val="000000" w:themeColor="text1"/>
              <w14:textFill>
                <w14:solidFill>
                  <w14:schemeClr w14:val="tx1"/>
                </w14:solidFill>
              </w14:textFill>
            </w:rPr>
            <w:fldChar w:fldCharType="begin"/>
          </w:r>
          <w:r>
            <w:rPr>
              <w:rFonts w:asciiTheme="minorEastAsia" w:hAnsiTheme="minorEastAsia" w:eastAsiaTheme="minorEastAsia"/>
              <w:bCs/>
              <w:color w:val="000000" w:themeColor="text1"/>
              <w14:textFill>
                <w14:solidFill>
                  <w14:schemeClr w14:val="tx1"/>
                </w14:solidFill>
              </w14:textFill>
            </w:rPr>
            <w:instrText xml:space="preserve"> PAGEREF _Toc108389269 \h </w:instrText>
          </w:r>
          <w:r>
            <w:rPr>
              <w:rFonts w:asciiTheme="minorEastAsia" w:hAnsiTheme="minorEastAsia" w:eastAsiaTheme="minorEastAsia"/>
              <w:bCs/>
              <w:color w:val="000000" w:themeColor="text1"/>
              <w14:textFill>
                <w14:solidFill>
                  <w14:schemeClr w14:val="tx1"/>
                </w14:solidFill>
              </w14:textFill>
            </w:rPr>
            <w:fldChar w:fldCharType="separate"/>
          </w:r>
          <w:r>
            <w:rPr>
              <w:rFonts w:asciiTheme="minorEastAsia" w:hAnsiTheme="minorEastAsia" w:eastAsiaTheme="minorEastAsia"/>
              <w:bCs/>
              <w:color w:val="000000" w:themeColor="text1"/>
              <w14:textFill>
                <w14:solidFill>
                  <w14:schemeClr w14:val="tx1"/>
                </w14:solidFill>
              </w14:textFill>
            </w:rPr>
            <w:t>26</w:t>
          </w:r>
          <w:r>
            <w:rPr>
              <w:rFonts w:asciiTheme="minorEastAsia" w:hAnsiTheme="minorEastAsia" w:eastAsiaTheme="minorEastAsia"/>
              <w:bCs/>
              <w:color w:val="000000" w:themeColor="text1"/>
              <w14:textFill>
                <w14:solidFill>
                  <w14:schemeClr w14:val="tx1"/>
                </w14:solidFill>
              </w14:textFill>
            </w:rPr>
            <w:fldChar w:fldCharType="end"/>
          </w:r>
          <w:r>
            <w:rPr>
              <w:rFonts w:asciiTheme="minorEastAsia" w:hAnsiTheme="minorEastAsia" w:eastAsiaTheme="minorEastAsia"/>
              <w:bCs/>
              <w:color w:val="000000" w:themeColor="text1"/>
              <w14:textFill>
                <w14:solidFill>
                  <w14:schemeClr w14:val="tx1"/>
                </w14:solidFill>
              </w14:textFill>
            </w:rPr>
            <w:fldChar w:fldCharType="end"/>
          </w:r>
        </w:p>
        <w:p w14:paraId="5416C288">
          <w:pPr>
            <w:pStyle w:val="9"/>
            <w:tabs>
              <w:tab w:val="right" w:leader="dot" w:pos="9458"/>
            </w:tabs>
            <w:spacing w:line="360" w:lineRule="auto"/>
            <w:ind w:left="960"/>
            <w:jc w:val="both"/>
            <w:rPr>
              <w:rFonts w:asciiTheme="minorEastAsia" w:hAnsiTheme="minorEastAsia" w:eastAsiaTheme="minorEastAsia" w:cstheme="minorBidi"/>
              <w:bCs/>
              <w:color w:val="000000" w:themeColor="text1"/>
              <w:kern w:val="2"/>
              <w:sz w:val="21"/>
              <w:szCs w:val="22"/>
              <w14:textFill>
                <w14:solidFill>
                  <w14:schemeClr w14:val="tx1"/>
                </w14:solidFill>
              </w14:textFill>
            </w:rPr>
          </w:pPr>
          <w:r>
            <w:fldChar w:fldCharType="begin"/>
          </w:r>
          <w:r>
            <w:instrText xml:space="preserve"> HYPERLINK \l "_Toc108389270" </w:instrText>
          </w:r>
          <w:r>
            <w:fldChar w:fldCharType="separate"/>
          </w:r>
          <w:r>
            <w:rPr>
              <w:rStyle w:val="23"/>
              <w:rFonts w:asciiTheme="minorEastAsia" w:hAnsiTheme="minorEastAsia" w:eastAsiaTheme="minorEastAsia"/>
              <w:bCs/>
              <w:color w:val="000000" w:themeColor="text1"/>
              <w14:textFill>
                <w14:solidFill>
                  <w14:schemeClr w14:val="tx1"/>
                </w14:solidFill>
              </w14:textFill>
            </w:rPr>
            <w:t>7.2相关标准</w:t>
          </w:r>
          <w:r>
            <w:rPr>
              <w:rFonts w:asciiTheme="minorEastAsia" w:hAnsiTheme="minorEastAsia" w:eastAsiaTheme="minorEastAsia"/>
              <w:bCs/>
              <w:color w:val="000000" w:themeColor="text1"/>
              <w14:textFill>
                <w14:solidFill>
                  <w14:schemeClr w14:val="tx1"/>
                </w14:solidFill>
              </w14:textFill>
            </w:rPr>
            <w:tab/>
          </w:r>
          <w:r>
            <w:rPr>
              <w:rFonts w:asciiTheme="minorEastAsia" w:hAnsiTheme="minorEastAsia" w:eastAsiaTheme="minorEastAsia"/>
              <w:bCs/>
              <w:color w:val="000000" w:themeColor="text1"/>
              <w14:textFill>
                <w14:solidFill>
                  <w14:schemeClr w14:val="tx1"/>
                </w14:solidFill>
              </w14:textFill>
            </w:rPr>
            <w:fldChar w:fldCharType="begin"/>
          </w:r>
          <w:r>
            <w:rPr>
              <w:rFonts w:asciiTheme="minorEastAsia" w:hAnsiTheme="minorEastAsia" w:eastAsiaTheme="minorEastAsia"/>
              <w:bCs/>
              <w:color w:val="000000" w:themeColor="text1"/>
              <w14:textFill>
                <w14:solidFill>
                  <w14:schemeClr w14:val="tx1"/>
                </w14:solidFill>
              </w14:textFill>
            </w:rPr>
            <w:instrText xml:space="preserve"> PAGEREF _Toc108389270 \h </w:instrText>
          </w:r>
          <w:r>
            <w:rPr>
              <w:rFonts w:asciiTheme="minorEastAsia" w:hAnsiTheme="minorEastAsia" w:eastAsiaTheme="minorEastAsia"/>
              <w:bCs/>
              <w:color w:val="000000" w:themeColor="text1"/>
              <w14:textFill>
                <w14:solidFill>
                  <w14:schemeClr w14:val="tx1"/>
                </w14:solidFill>
              </w14:textFill>
            </w:rPr>
            <w:fldChar w:fldCharType="separate"/>
          </w:r>
          <w:r>
            <w:rPr>
              <w:rFonts w:asciiTheme="minorEastAsia" w:hAnsiTheme="minorEastAsia" w:eastAsiaTheme="minorEastAsia"/>
              <w:bCs/>
              <w:color w:val="000000" w:themeColor="text1"/>
              <w14:textFill>
                <w14:solidFill>
                  <w14:schemeClr w14:val="tx1"/>
                </w14:solidFill>
              </w14:textFill>
            </w:rPr>
            <w:t>30</w:t>
          </w:r>
          <w:r>
            <w:rPr>
              <w:rFonts w:asciiTheme="minorEastAsia" w:hAnsiTheme="minorEastAsia" w:eastAsiaTheme="minorEastAsia"/>
              <w:bCs/>
              <w:color w:val="000000" w:themeColor="text1"/>
              <w14:textFill>
                <w14:solidFill>
                  <w14:schemeClr w14:val="tx1"/>
                </w14:solidFill>
              </w14:textFill>
            </w:rPr>
            <w:fldChar w:fldCharType="end"/>
          </w:r>
          <w:r>
            <w:rPr>
              <w:rFonts w:asciiTheme="minorEastAsia" w:hAnsiTheme="minorEastAsia" w:eastAsiaTheme="minorEastAsia"/>
              <w:bCs/>
              <w:color w:val="000000" w:themeColor="text1"/>
              <w14:textFill>
                <w14:solidFill>
                  <w14:schemeClr w14:val="tx1"/>
                </w14:solidFill>
              </w14:textFill>
            </w:rPr>
            <w:fldChar w:fldCharType="end"/>
          </w:r>
        </w:p>
        <w:p w14:paraId="0831C7E8">
          <w:pPr>
            <w:pStyle w:val="15"/>
            <w:tabs>
              <w:tab w:val="right" w:leader="dot" w:pos="9458"/>
            </w:tabs>
            <w:spacing w:line="360" w:lineRule="auto"/>
            <w:ind w:left="480"/>
            <w:jc w:val="both"/>
            <w:rPr>
              <w:rFonts w:asciiTheme="minorEastAsia" w:hAnsiTheme="minorEastAsia" w:eastAsiaTheme="minorEastAsia" w:cstheme="minorBidi"/>
              <w:bCs/>
              <w:color w:val="000000" w:themeColor="text1"/>
              <w:kern w:val="2"/>
              <w:sz w:val="21"/>
              <w:szCs w:val="22"/>
              <w14:textFill>
                <w14:solidFill>
                  <w14:schemeClr w14:val="tx1"/>
                </w14:solidFill>
              </w14:textFill>
            </w:rPr>
          </w:pPr>
          <w:r>
            <w:fldChar w:fldCharType="begin"/>
          </w:r>
          <w:r>
            <w:instrText xml:space="preserve"> HYPERLINK \l "_Toc108389271" </w:instrText>
          </w:r>
          <w:r>
            <w:fldChar w:fldCharType="separate"/>
          </w:r>
          <w:r>
            <w:rPr>
              <w:rStyle w:val="23"/>
              <w:rFonts w:asciiTheme="minorEastAsia" w:hAnsiTheme="minorEastAsia" w:eastAsiaTheme="minorEastAsia"/>
              <w:bCs/>
              <w:color w:val="000000" w:themeColor="text1"/>
              <w14:textFill>
                <w14:solidFill>
                  <w14:schemeClr w14:val="tx1"/>
                </w14:solidFill>
              </w14:textFill>
            </w:rPr>
            <w:t>8 重大意见分歧的处理依据和结果</w:t>
          </w:r>
          <w:r>
            <w:rPr>
              <w:rFonts w:asciiTheme="minorEastAsia" w:hAnsiTheme="minorEastAsia" w:eastAsiaTheme="minorEastAsia"/>
              <w:bCs/>
              <w:color w:val="000000" w:themeColor="text1"/>
              <w14:textFill>
                <w14:solidFill>
                  <w14:schemeClr w14:val="tx1"/>
                </w14:solidFill>
              </w14:textFill>
            </w:rPr>
            <w:tab/>
          </w:r>
          <w:r>
            <w:rPr>
              <w:rFonts w:asciiTheme="minorEastAsia" w:hAnsiTheme="minorEastAsia" w:eastAsiaTheme="minorEastAsia"/>
              <w:bCs/>
              <w:color w:val="000000" w:themeColor="text1"/>
              <w14:textFill>
                <w14:solidFill>
                  <w14:schemeClr w14:val="tx1"/>
                </w14:solidFill>
              </w14:textFill>
            </w:rPr>
            <w:fldChar w:fldCharType="begin"/>
          </w:r>
          <w:r>
            <w:rPr>
              <w:rFonts w:asciiTheme="minorEastAsia" w:hAnsiTheme="minorEastAsia" w:eastAsiaTheme="minorEastAsia"/>
              <w:bCs/>
              <w:color w:val="000000" w:themeColor="text1"/>
              <w14:textFill>
                <w14:solidFill>
                  <w14:schemeClr w14:val="tx1"/>
                </w14:solidFill>
              </w14:textFill>
            </w:rPr>
            <w:instrText xml:space="preserve"> PAGEREF _Toc108389271 \h </w:instrText>
          </w:r>
          <w:r>
            <w:rPr>
              <w:rFonts w:asciiTheme="minorEastAsia" w:hAnsiTheme="minorEastAsia" w:eastAsiaTheme="minorEastAsia"/>
              <w:bCs/>
              <w:color w:val="000000" w:themeColor="text1"/>
              <w14:textFill>
                <w14:solidFill>
                  <w14:schemeClr w14:val="tx1"/>
                </w14:solidFill>
              </w14:textFill>
            </w:rPr>
            <w:fldChar w:fldCharType="separate"/>
          </w:r>
          <w:r>
            <w:rPr>
              <w:rFonts w:asciiTheme="minorEastAsia" w:hAnsiTheme="minorEastAsia" w:eastAsiaTheme="minorEastAsia"/>
              <w:bCs/>
              <w:color w:val="000000" w:themeColor="text1"/>
              <w14:textFill>
                <w14:solidFill>
                  <w14:schemeClr w14:val="tx1"/>
                </w14:solidFill>
              </w14:textFill>
            </w:rPr>
            <w:t>31</w:t>
          </w:r>
          <w:r>
            <w:rPr>
              <w:rFonts w:asciiTheme="minorEastAsia" w:hAnsiTheme="minorEastAsia" w:eastAsiaTheme="minorEastAsia"/>
              <w:bCs/>
              <w:color w:val="000000" w:themeColor="text1"/>
              <w14:textFill>
                <w14:solidFill>
                  <w14:schemeClr w14:val="tx1"/>
                </w14:solidFill>
              </w14:textFill>
            </w:rPr>
            <w:fldChar w:fldCharType="end"/>
          </w:r>
          <w:r>
            <w:rPr>
              <w:rFonts w:asciiTheme="minorEastAsia" w:hAnsiTheme="minorEastAsia" w:eastAsiaTheme="minorEastAsia"/>
              <w:bCs/>
              <w:color w:val="000000" w:themeColor="text1"/>
              <w14:textFill>
                <w14:solidFill>
                  <w14:schemeClr w14:val="tx1"/>
                </w14:solidFill>
              </w14:textFill>
            </w:rPr>
            <w:fldChar w:fldCharType="end"/>
          </w:r>
        </w:p>
        <w:p w14:paraId="78CEC35A">
          <w:pPr>
            <w:pStyle w:val="15"/>
            <w:tabs>
              <w:tab w:val="right" w:leader="dot" w:pos="9458"/>
            </w:tabs>
            <w:spacing w:line="360" w:lineRule="auto"/>
            <w:ind w:left="480"/>
            <w:jc w:val="both"/>
            <w:rPr>
              <w:rFonts w:asciiTheme="minorEastAsia" w:hAnsiTheme="minorEastAsia" w:eastAsiaTheme="minorEastAsia" w:cstheme="minorBidi"/>
              <w:bCs/>
              <w:color w:val="000000" w:themeColor="text1"/>
              <w:kern w:val="2"/>
              <w:sz w:val="21"/>
              <w:szCs w:val="22"/>
              <w14:textFill>
                <w14:solidFill>
                  <w14:schemeClr w14:val="tx1"/>
                </w14:solidFill>
              </w14:textFill>
            </w:rPr>
          </w:pPr>
          <w:r>
            <w:fldChar w:fldCharType="begin"/>
          </w:r>
          <w:r>
            <w:instrText xml:space="preserve"> HYPERLINK \l "_Toc108389272" </w:instrText>
          </w:r>
          <w:r>
            <w:fldChar w:fldCharType="separate"/>
          </w:r>
          <w:r>
            <w:rPr>
              <w:rStyle w:val="23"/>
              <w:rFonts w:asciiTheme="minorEastAsia" w:hAnsiTheme="minorEastAsia" w:eastAsiaTheme="minorEastAsia"/>
              <w:bCs/>
              <w:color w:val="000000" w:themeColor="text1"/>
              <w14:textFill>
                <w14:solidFill>
                  <w14:schemeClr w14:val="tx1"/>
                </w14:solidFill>
              </w14:textFill>
            </w:rPr>
            <w:t>9 标准性质的建议说明</w:t>
          </w:r>
          <w:r>
            <w:rPr>
              <w:rFonts w:asciiTheme="minorEastAsia" w:hAnsiTheme="minorEastAsia" w:eastAsiaTheme="minorEastAsia"/>
              <w:bCs/>
              <w:color w:val="000000" w:themeColor="text1"/>
              <w14:textFill>
                <w14:solidFill>
                  <w14:schemeClr w14:val="tx1"/>
                </w14:solidFill>
              </w14:textFill>
            </w:rPr>
            <w:tab/>
          </w:r>
          <w:r>
            <w:rPr>
              <w:rFonts w:asciiTheme="minorEastAsia" w:hAnsiTheme="minorEastAsia" w:eastAsiaTheme="minorEastAsia"/>
              <w:bCs/>
              <w:color w:val="000000" w:themeColor="text1"/>
              <w14:textFill>
                <w14:solidFill>
                  <w14:schemeClr w14:val="tx1"/>
                </w14:solidFill>
              </w14:textFill>
            </w:rPr>
            <w:fldChar w:fldCharType="begin"/>
          </w:r>
          <w:r>
            <w:rPr>
              <w:rFonts w:asciiTheme="minorEastAsia" w:hAnsiTheme="minorEastAsia" w:eastAsiaTheme="minorEastAsia"/>
              <w:bCs/>
              <w:color w:val="000000" w:themeColor="text1"/>
              <w14:textFill>
                <w14:solidFill>
                  <w14:schemeClr w14:val="tx1"/>
                </w14:solidFill>
              </w14:textFill>
            </w:rPr>
            <w:instrText xml:space="preserve"> PAGEREF _Toc108389272 \h </w:instrText>
          </w:r>
          <w:r>
            <w:rPr>
              <w:rFonts w:asciiTheme="minorEastAsia" w:hAnsiTheme="minorEastAsia" w:eastAsiaTheme="minorEastAsia"/>
              <w:bCs/>
              <w:color w:val="000000" w:themeColor="text1"/>
              <w14:textFill>
                <w14:solidFill>
                  <w14:schemeClr w14:val="tx1"/>
                </w14:solidFill>
              </w14:textFill>
            </w:rPr>
            <w:fldChar w:fldCharType="separate"/>
          </w:r>
          <w:r>
            <w:rPr>
              <w:rFonts w:asciiTheme="minorEastAsia" w:hAnsiTheme="minorEastAsia" w:eastAsiaTheme="minorEastAsia"/>
              <w:bCs/>
              <w:color w:val="000000" w:themeColor="text1"/>
              <w14:textFill>
                <w14:solidFill>
                  <w14:schemeClr w14:val="tx1"/>
                </w14:solidFill>
              </w14:textFill>
            </w:rPr>
            <w:t>31</w:t>
          </w:r>
          <w:r>
            <w:rPr>
              <w:rFonts w:asciiTheme="minorEastAsia" w:hAnsiTheme="minorEastAsia" w:eastAsiaTheme="minorEastAsia"/>
              <w:bCs/>
              <w:color w:val="000000" w:themeColor="text1"/>
              <w14:textFill>
                <w14:solidFill>
                  <w14:schemeClr w14:val="tx1"/>
                </w14:solidFill>
              </w14:textFill>
            </w:rPr>
            <w:fldChar w:fldCharType="end"/>
          </w:r>
          <w:r>
            <w:rPr>
              <w:rFonts w:asciiTheme="minorEastAsia" w:hAnsiTheme="minorEastAsia" w:eastAsiaTheme="minorEastAsia"/>
              <w:bCs/>
              <w:color w:val="000000" w:themeColor="text1"/>
              <w14:textFill>
                <w14:solidFill>
                  <w14:schemeClr w14:val="tx1"/>
                </w14:solidFill>
              </w14:textFill>
            </w:rPr>
            <w:fldChar w:fldCharType="end"/>
          </w:r>
        </w:p>
        <w:p w14:paraId="2F295D1D">
          <w:pPr>
            <w:pStyle w:val="15"/>
            <w:tabs>
              <w:tab w:val="right" w:leader="dot" w:pos="9458"/>
            </w:tabs>
            <w:spacing w:line="360" w:lineRule="auto"/>
            <w:ind w:left="480"/>
            <w:jc w:val="both"/>
            <w:rPr>
              <w:rFonts w:asciiTheme="minorEastAsia" w:hAnsiTheme="minorEastAsia" w:eastAsiaTheme="minorEastAsia" w:cstheme="minorBidi"/>
              <w:bCs/>
              <w:color w:val="000000" w:themeColor="text1"/>
              <w:kern w:val="2"/>
              <w:sz w:val="21"/>
              <w:szCs w:val="22"/>
              <w14:textFill>
                <w14:solidFill>
                  <w14:schemeClr w14:val="tx1"/>
                </w14:solidFill>
              </w14:textFill>
            </w:rPr>
          </w:pPr>
          <w:r>
            <w:fldChar w:fldCharType="begin"/>
          </w:r>
          <w:r>
            <w:instrText xml:space="preserve"> HYPERLINK \l "_Toc108389273" </w:instrText>
          </w:r>
          <w:r>
            <w:fldChar w:fldCharType="separate"/>
          </w:r>
          <w:r>
            <w:rPr>
              <w:rStyle w:val="23"/>
              <w:rFonts w:asciiTheme="minorEastAsia" w:hAnsiTheme="minorEastAsia" w:eastAsiaTheme="minorEastAsia"/>
              <w:bCs/>
              <w:color w:val="000000" w:themeColor="text1"/>
              <w14:textFill>
                <w14:solidFill>
                  <w14:schemeClr w14:val="tx1"/>
                </w14:solidFill>
              </w14:textFill>
            </w:rPr>
            <w:t>10 贯彻标准的措施建议</w:t>
          </w:r>
          <w:r>
            <w:rPr>
              <w:rFonts w:asciiTheme="minorEastAsia" w:hAnsiTheme="minorEastAsia" w:eastAsiaTheme="minorEastAsia"/>
              <w:bCs/>
              <w:color w:val="000000" w:themeColor="text1"/>
              <w14:textFill>
                <w14:solidFill>
                  <w14:schemeClr w14:val="tx1"/>
                </w14:solidFill>
              </w14:textFill>
            </w:rPr>
            <w:tab/>
          </w:r>
          <w:r>
            <w:rPr>
              <w:rFonts w:asciiTheme="minorEastAsia" w:hAnsiTheme="minorEastAsia" w:eastAsiaTheme="minorEastAsia"/>
              <w:bCs/>
              <w:color w:val="000000" w:themeColor="text1"/>
              <w14:textFill>
                <w14:solidFill>
                  <w14:schemeClr w14:val="tx1"/>
                </w14:solidFill>
              </w14:textFill>
            </w:rPr>
            <w:fldChar w:fldCharType="begin"/>
          </w:r>
          <w:r>
            <w:rPr>
              <w:rFonts w:asciiTheme="minorEastAsia" w:hAnsiTheme="minorEastAsia" w:eastAsiaTheme="minorEastAsia"/>
              <w:bCs/>
              <w:color w:val="000000" w:themeColor="text1"/>
              <w14:textFill>
                <w14:solidFill>
                  <w14:schemeClr w14:val="tx1"/>
                </w14:solidFill>
              </w14:textFill>
            </w:rPr>
            <w:instrText xml:space="preserve"> PAGEREF _Toc108389273 \h </w:instrText>
          </w:r>
          <w:r>
            <w:rPr>
              <w:rFonts w:asciiTheme="minorEastAsia" w:hAnsiTheme="minorEastAsia" w:eastAsiaTheme="minorEastAsia"/>
              <w:bCs/>
              <w:color w:val="000000" w:themeColor="text1"/>
              <w14:textFill>
                <w14:solidFill>
                  <w14:schemeClr w14:val="tx1"/>
                </w14:solidFill>
              </w14:textFill>
            </w:rPr>
            <w:fldChar w:fldCharType="separate"/>
          </w:r>
          <w:r>
            <w:rPr>
              <w:rFonts w:asciiTheme="minorEastAsia" w:hAnsiTheme="minorEastAsia" w:eastAsiaTheme="minorEastAsia"/>
              <w:bCs/>
              <w:color w:val="000000" w:themeColor="text1"/>
              <w14:textFill>
                <w14:solidFill>
                  <w14:schemeClr w14:val="tx1"/>
                </w14:solidFill>
              </w14:textFill>
            </w:rPr>
            <w:t>31</w:t>
          </w:r>
          <w:r>
            <w:rPr>
              <w:rFonts w:asciiTheme="minorEastAsia" w:hAnsiTheme="minorEastAsia" w:eastAsiaTheme="minorEastAsia"/>
              <w:bCs/>
              <w:color w:val="000000" w:themeColor="text1"/>
              <w14:textFill>
                <w14:solidFill>
                  <w14:schemeClr w14:val="tx1"/>
                </w14:solidFill>
              </w14:textFill>
            </w:rPr>
            <w:fldChar w:fldCharType="end"/>
          </w:r>
          <w:r>
            <w:rPr>
              <w:rFonts w:asciiTheme="minorEastAsia" w:hAnsiTheme="minorEastAsia" w:eastAsiaTheme="minorEastAsia"/>
              <w:bCs/>
              <w:color w:val="000000" w:themeColor="text1"/>
              <w14:textFill>
                <w14:solidFill>
                  <w14:schemeClr w14:val="tx1"/>
                </w14:solidFill>
              </w14:textFill>
            </w:rPr>
            <w:fldChar w:fldCharType="end"/>
          </w:r>
        </w:p>
        <w:p w14:paraId="60E60078">
          <w:pPr>
            <w:pStyle w:val="15"/>
            <w:tabs>
              <w:tab w:val="right" w:leader="dot" w:pos="9458"/>
            </w:tabs>
            <w:spacing w:line="360" w:lineRule="auto"/>
            <w:ind w:left="480"/>
            <w:jc w:val="both"/>
            <w:rPr>
              <w:rFonts w:asciiTheme="minorEastAsia" w:hAnsiTheme="minorEastAsia" w:eastAsiaTheme="minorEastAsia" w:cstheme="minorBidi"/>
              <w:bCs/>
              <w:color w:val="000000" w:themeColor="text1"/>
              <w:kern w:val="2"/>
              <w:sz w:val="21"/>
              <w:szCs w:val="22"/>
              <w14:textFill>
                <w14:solidFill>
                  <w14:schemeClr w14:val="tx1"/>
                </w14:solidFill>
              </w14:textFill>
            </w:rPr>
          </w:pPr>
          <w:r>
            <w:fldChar w:fldCharType="begin"/>
          </w:r>
          <w:r>
            <w:instrText xml:space="preserve"> HYPERLINK \l "_Toc108389274" </w:instrText>
          </w:r>
          <w:r>
            <w:fldChar w:fldCharType="separate"/>
          </w:r>
          <w:r>
            <w:rPr>
              <w:rStyle w:val="23"/>
              <w:rFonts w:asciiTheme="minorEastAsia" w:hAnsiTheme="minorEastAsia" w:eastAsiaTheme="minorEastAsia"/>
              <w:bCs/>
              <w:color w:val="000000" w:themeColor="text1"/>
              <w14:textFill>
                <w14:solidFill>
                  <w14:schemeClr w14:val="tx1"/>
                </w14:solidFill>
              </w14:textFill>
            </w:rPr>
            <w:t>11 废止现行有关标准的建议</w:t>
          </w:r>
          <w:r>
            <w:rPr>
              <w:rFonts w:asciiTheme="minorEastAsia" w:hAnsiTheme="minorEastAsia" w:eastAsiaTheme="minorEastAsia"/>
              <w:bCs/>
              <w:color w:val="000000" w:themeColor="text1"/>
              <w14:textFill>
                <w14:solidFill>
                  <w14:schemeClr w14:val="tx1"/>
                </w14:solidFill>
              </w14:textFill>
            </w:rPr>
            <w:tab/>
          </w:r>
          <w:r>
            <w:rPr>
              <w:rFonts w:asciiTheme="minorEastAsia" w:hAnsiTheme="minorEastAsia" w:eastAsiaTheme="minorEastAsia"/>
              <w:bCs/>
              <w:color w:val="000000" w:themeColor="text1"/>
              <w14:textFill>
                <w14:solidFill>
                  <w14:schemeClr w14:val="tx1"/>
                </w14:solidFill>
              </w14:textFill>
            </w:rPr>
            <w:fldChar w:fldCharType="begin"/>
          </w:r>
          <w:r>
            <w:rPr>
              <w:rFonts w:asciiTheme="minorEastAsia" w:hAnsiTheme="minorEastAsia" w:eastAsiaTheme="minorEastAsia"/>
              <w:bCs/>
              <w:color w:val="000000" w:themeColor="text1"/>
              <w14:textFill>
                <w14:solidFill>
                  <w14:schemeClr w14:val="tx1"/>
                </w14:solidFill>
              </w14:textFill>
            </w:rPr>
            <w:instrText xml:space="preserve"> PAGEREF _Toc108389274 \h </w:instrText>
          </w:r>
          <w:r>
            <w:rPr>
              <w:rFonts w:asciiTheme="minorEastAsia" w:hAnsiTheme="minorEastAsia" w:eastAsiaTheme="minorEastAsia"/>
              <w:bCs/>
              <w:color w:val="000000" w:themeColor="text1"/>
              <w14:textFill>
                <w14:solidFill>
                  <w14:schemeClr w14:val="tx1"/>
                </w14:solidFill>
              </w14:textFill>
            </w:rPr>
            <w:fldChar w:fldCharType="separate"/>
          </w:r>
          <w:r>
            <w:rPr>
              <w:rFonts w:asciiTheme="minorEastAsia" w:hAnsiTheme="minorEastAsia" w:eastAsiaTheme="minorEastAsia"/>
              <w:bCs/>
              <w:color w:val="000000" w:themeColor="text1"/>
              <w14:textFill>
                <w14:solidFill>
                  <w14:schemeClr w14:val="tx1"/>
                </w14:solidFill>
              </w14:textFill>
            </w:rPr>
            <w:t>32</w:t>
          </w:r>
          <w:r>
            <w:rPr>
              <w:rFonts w:asciiTheme="minorEastAsia" w:hAnsiTheme="minorEastAsia" w:eastAsiaTheme="minorEastAsia"/>
              <w:bCs/>
              <w:color w:val="000000" w:themeColor="text1"/>
              <w14:textFill>
                <w14:solidFill>
                  <w14:schemeClr w14:val="tx1"/>
                </w14:solidFill>
              </w14:textFill>
            </w:rPr>
            <w:fldChar w:fldCharType="end"/>
          </w:r>
          <w:r>
            <w:rPr>
              <w:rFonts w:asciiTheme="minorEastAsia" w:hAnsiTheme="minorEastAsia" w:eastAsiaTheme="minorEastAsia"/>
              <w:bCs/>
              <w:color w:val="000000" w:themeColor="text1"/>
              <w14:textFill>
                <w14:solidFill>
                  <w14:schemeClr w14:val="tx1"/>
                </w14:solidFill>
              </w14:textFill>
            </w:rPr>
            <w:fldChar w:fldCharType="end"/>
          </w:r>
        </w:p>
        <w:p w14:paraId="72ACDAC0">
          <w:pPr>
            <w:pStyle w:val="15"/>
            <w:tabs>
              <w:tab w:val="right" w:leader="dot" w:pos="9458"/>
            </w:tabs>
            <w:spacing w:line="360" w:lineRule="auto"/>
            <w:ind w:left="480"/>
            <w:jc w:val="both"/>
            <w:rPr>
              <w:rFonts w:asciiTheme="minorEastAsia" w:hAnsiTheme="minorEastAsia" w:eastAsiaTheme="minorEastAsia" w:cstheme="minorBidi"/>
              <w:bCs/>
              <w:color w:val="000000" w:themeColor="text1"/>
              <w:kern w:val="2"/>
              <w:sz w:val="21"/>
              <w:szCs w:val="22"/>
              <w14:textFill>
                <w14:solidFill>
                  <w14:schemeClr w14:val="tx1"/>
                </w14:solidFill>
              </w14:textFill>
            </w:rPr>
          </w:pPr>
          <w:r>
            <w:fldChar w:fldCharType="begin"/>
          </w:r>
          <w:r>
            <w:instrText xml:space="preserve"> HYPERLINK \l "_Toc108389275" </w:instrText>
          </w:r>
          <w:r>
            <w:fldChar w:fldCharType="separate"/>
          </w:r>
          <w:r>
            <w:rPr>
              <w:rStyle w:val="23"/>
              <w:rFonts w:asciiTheme="minorEastAsia" w:hAnsiTheme="minorEastAsia" w:eastAsiaTheme="minorEastAsia"/>
              <w:bCs/>
              <w:color w:val="000000" w:themeColor="text1"/>
              <w14:textFill>
                <w14:solidFill>
                  <w14:schemeClr w14:val="tx1"/>
                </w14:solidFill>
              </w14:textFill>
            </w:rPr>
            <w:t>12 其他应说明的事项</w:t>
          </w:r>
          <w:r>
            <w:rPr>
              <w:rFonts w:asciiTheme="minorEastAsia" w:hAnsiTheme="minorEastAsia" w:eastAsiaTheme="minorEastAsia"/>
              <w:bCs/>
              <w:color w:val="000000" w:themeColor="text1"/>
              <w14:textFill>
                <w14:solidFill>
                  <w14:schemeClr w14:val="tx1"/>
                </w14:solidFill>
              </w14:textFill>
            </w:rPr>
            <w:tab/>
          </w:r>
          <w:r>
            <w:rPr>
              <w:rFonts w:asciiTheme="minorEastAsia" w:hAnsiTheme="minorEastAsia" w:eastAsiaTheme="minorEastAsia"/>
              <w:bCs/>
              <w:color w:val="000000" w:themeColor="text1"/>
              <w14:textFill>
                <w14:solidFill>
                  <w14:schemeClr w14:val="tx1"/>
                </w14:solidFill>
              </w14:textFill>
            </w:rPr>
            <w:fldChar w:fldCharType="begin"/>
          </w:r>
          <w:r>
            <w:rPr>
              <w:rFonts w:asciiTheme="minorEastAsia" w:hAnsiTheme="minorEastAsia" w:eastAsiaTheme="minorEastAsia"/>
              <w:bCs/>
              <w:color w:val="000000" w:themeColor="text1"/>
              <w14:textFill>
                <w14:solidFill>
                  <w14:schemeClr w14:val="tx1"/>
                </w14:solidFill>
              </w14:textFill>
            </w:rPr>
            <w:instrText xml:space="preserve"> PAGEREF _Toc108389275 \h </w:instrText>
          </w:r>
          <w:r>
            <w:rPr>
              <w:rFonts w:asciiTheme="minorEastAsia" w:hAnsiTheme="minorEastAsia" w:eastAsiaTheme="minorEastAsia"/>
              <w:bCs/>
              <w:color w:val="000000" w:themeColor="text1"/>
              <w14:textFill>
                <w14:solidFill>
                  <w14:schemeClr w14:val="tx1"/>
                </w14:solidFill>
              </w14:textFill>
            </w:rPr>
            <w:fldChar w:fldCharType="separate"/>
          </w:r>
          <w:r>
            <w:rPr>
              <w:rFonts w:asciiTheme="minorEastAsia" w:hAnsiTheme="minorEastAsia" w:eastAsiaTheme="minorEastAsia"/>
              <w:bCs/>
              <w:color w:val="000000" w:themeColor="text1"/>
              <w14:textFill>
                <w14:solidFill>
                  <w14:schemeClr w14:val="tx1"/>
                </w14:solidFill>
              </w14:textFill>
            </w:rPr>
            <w:t>32</w:t>
          </w:r>
          <w:r>
            <w:rPr>
              <w:rFonts w:asciiTheme="minorEastAsia" w:hAnsiTheme="minorEastAsia" w:eastAsiaTheme="minorEastAsia"/>
              <w:bCs/>
              <w:color w:val="000000" w:themeColor="text1"/>
              <w14:textFill>
                <w14:solidFill>
                  <w14:schemeClr w14:val="tx1"/>
                </w14:solidFill>
              </w14:textFill>
            </w:rPr>
            <w:fldChar w:fldCharType="end"/>
          </w:r>
          <w:r>
            <w:rPr>
              <w:rFonts w:asciiTheme="minorEastAsia" w:hAnsiTheme="minorEastAsia" w:eastAsiaTheme="minorEastAsia"/>
              <w:bCs/>
              <w:color w:val="000000" w:themeColor="text1"/>
              <w14:textFill>
                <w14:solidFill>
                  <w14:schemeClr w14:val="tx1"/>
                </w14:solidFill>
              </w14:textFill>
            </w:rPr>
            <w:fldChar w:fldCharType="end"/>
          </w:r>
        </w:p>
        <w:p w14:paraId="6C6DCDB8">
          <w:pPr>
            <w:pStyle w:val="14"/>
            <w:tabs>
              <w:tab w:val="right" w:leader="dot" w:pos="9458"/>
            </w:tabs>
            <w:spacing w:line="360" w:lineRule="auto"/>
            <w:jc w:val="both"/>
            <w:rPr>
              <w:color w:val="000000" w:themeColor="text1"/>
              <w14:textFill>
                <w14:solidFill>
                  <w14:schemeClr w14:val="tx1"/>
                </w14:solidFill>
              </w14:textFill>
            </w:rPr>
          </w:pPr>
          <w:r>
            <w:rPr>
              <w:rFonts w:asciiTheme="minorEastAsia" w:hAnsiTheme="minorEastAsia" w:eastAsiaTheme="minorEastAsia"/>
              <w:bCs/>
              <w:color w:val="000000" w:themeColor="text1"/>
              <w:sz w:val="28"/>
              <w:lang w:val="zh-CN"/>
              <w14:textFill>
                <w14:solidFill>
                  <w14:schemeClr w14:val="tx1"/>
                </w14:solidFill>
              </w14:textFill>
            </w:rPr>
            <w:fldChar w:fldCharType="end"/>
          </w:r>
        </w:p>
      </w:sdtContent>
    </w:sdt>
    <w:p w14:paraId="4B79F232">
      <w:pPr>
        <w:pStyle w:val="25"/>
        <w:framePr w:w="0" w:hRule="auto" w:wrap="auto" w:vAnchor="margin" w:hAnchor="text" w:xAlign="left" w:yAlign="inline"/>
        <w:spacing w:line="360" w:lineRule="auto"/>
        <w:rPr>
          <w:rFonts w:ascii="Times New Roman" w:eastAsia="宋体"/>
          <w:color w:val="000000" w:themeColor="text1"/>
          <w:sz w:val="32"/>
          <w:szCs w:val="32"/>
          <w14:textFill>
            <w14:solidFill>
              <w14:schemeClr w14:val="tx1"/>
            </w14:solidFill>
          </w14:textFill>
        </w:rPr>
      </w:pPr>
    </w:p>
    <w:p w14:paraId="204D46CD">
      <w:pPr>
        <w:jc w:val="center"/>
        <w:rPr>
          <w:rFonts w:hint="eastAsia" w:ascii="黑体" w:hAnsi="黑体" w:eastAsia="黑体" w:cs="黑体"/>
          <w:bCs/>
          <w:color w:val="000000" w:themeColor="text1"/>
          <w:sz w:val="48"/>
          <w:szCs w:val="44"/>
          <w14:textFill>
            <w14:solidFill>
              <w14:schemeClr w14:val="tx1"/>
            </w14:solidFill>
          </w14:textFill>
        </w:rPr>
      </w:pPr>
      <w:r>
        <w:rPr>
          <w:color w:val="000000" w:themeColor="text1"/>
          <w:sz w:val="48"/>
          <w:szCs w:val="48"/>
          <w14:textFill>
            <w14:solidFill>
              <w14:schemeClr w14:val="tx1"/>
            </w14:solidFill>
          </w14:textFill>
        </w:rPr>
        <w:br w:type="page"/>
      </w:r>
      <w:r>
        <w:rPr>
          <w:rFonts w:hint="eastAsia" w:ascii="黑体" w:hAnsi="黑体" w:eastAsia="黑体" w:cs="黑体"/>
          <w:bCs/>
          <w:color w:val="000000" w:themeColor="text1"/>
          <w:sz w:val="32"/>
          <w:szCs w:val="32"/>
          <w14:textFill>
            <w14:solidFill>
              <w14:schemeClr w14:val="tx1"/>
            </w14:solidFill>
          </w14:textFill>
        </w:rPr>
        <w:t>JC/T XXXX-20XX《</w:t>
      </w:r>
      <w:r>
        <w:rPr>
          <w:rFonts w:hint="eastAsia" w:ascii="黑体" w:hAnsi="黑体" w:eastAsia="黑体" w:cs="黑体"/>
          <w:bCs/>
          <w:color w:val="000000" w:themeColor="text1"/>
          <w:sz w:val="32"/>
          <w:szCs w:val="32"/>
          <w:lang w:val="en-US" w:eastAsia="zh-CN"/>
          <w14:textFill>
            <w14:solidFill>
              <w14:schemeClr w14:val="tx1"/>
            </w14:solidFill>
          </w14:textFill>
        </w:rPr>
        <w:t>装饰装修用软膜天花</w:t>
      </w:r>
      <w:r>
        <w:rPr>
          <w:rFonts w:hint="eastAsia" w:ascii="黑体" w:hAnsi="黑体" w:eastAsia="黑体" w:cs="黑体"/>
          <w:bCs/>
          <w:color w:val="000000" w:themeColor="text1"/>
          <w:sz w:val="32"/>
          <w:szCs w:val="32"/>
          <w14:textFill>
            <w14:solidFill>
              <w14:schemeClr w14:val="tx1"/>
            </w14:solidFill>
          </w14:textFill>
        </w:rPr>
        <w:t>》</w:t>
      </w:r>
    </w:p>
    <w:p w14:paraId="4FA1E9C2">
      <w:pPr>
        <w:jc w:val="center"/>
        <w:rPr>
          <w:rFonts w:hint="eastAsia" w:ascii="黑体" w:hAnsi="黑体" w:eastAsia="黑体" w:cs="黑体"/>
          <w:bCs/>
          <w:color w:val="000000" w:themeColor="text1"/>
          <w:sz w:val="32"/>
          <w:szCs w:val="32"/>
          <w14:textFill>
            <w14:solidFill>
              <w14:schemeClr w14:val="tx1"/>
            </w14:solidFill>
          </w14:textFill>
        </w:rPr>
      </w:pPr>
      <w:r>
        <w:rPr>
          <w:rFonts w:hint="eastAsia" w:ascii="黑体" w:hAnsi="黑体" w:eastAsia="黑体" w:cs="黑体"/>
          <w:bCs/>
          <w:color w:val="000000" w:themeColor="text1"/>
          <w:sz w:val="32"/>
          <w:szCs w:val="32"/>
          <w14:textFill>
            <w14:solidFill>
              <w14:schemeClr w14:val="tx1"/>
            </w14:solidFill>
          </w14:textFill>
        </w:rPr>
        <w:t>行业标准编制说明</w:t>
      </w:r>
    </w:p>
    <w:p w14:paraId="119195AA">
      <w:pPr>
        <w:pStyle w:val="27"/>
        <w:spacing w:before="326" w:beforeLines="100" w:after="326" w:afterLines="100"/>
        <w:rPr>
          <w:rFonts w:ascii="Times New Roman"/>
          <w:color w:val="000000" w:themeColor="text1"/>
          <w:sz w:val="28"/>
          <w:szCs w:val="28"/>
          <w14:textFill>
            <w14:solidFill>
              <w14:schemeClr w14:val="tx1"/>
            </w14:solidFill>
          </w14:textFill>
        </w:rPr>
      </w:pPr>
      <w:bookmarkStart w:id="0" w:name="_Toc108389245"/>
      <w:r>
        <w:rPr>
          <w:rFonts w:ascii="Times New Roman"/>
          <w:color w:val="000000" w:themeColor="text1"/>
          <w:sz w:val="28"/>
          <w:szCs w:val="28"/>
          <w14:textFill>
            <w14:solidFill>
              <w14:schemeClr w14:val="tx1"/>
            </w14:solidFill>
          </w14:textFill>
        </w:rPr>
        <w:t>1 标准编制工作简况</w:t>
      </w:r>
      <w:bookmarkEnd w:id="0"/>
    </w:p>
    <w:p w14:paraId="19275A99">
      <w:pPr>
        <w:pStyle w:val="28"/>
        <w:numPr>
          <w:ilvl w:val="1"/>
          <w:numId w:val="6"/>
        </w:numPr>
        <w:snapToGrid w:val="0"/>
        <w:spacing w:before="163" w:beforeLines="50" w:after="163" w:afterLines="50" w:line="500" w:lineRule="exact"/>
        <w:ind w:left="0"/>
        <w:rPr>
          <w:color w:val="000000" w:themeColor="text1"/>
          <w:sz w:val="24"/>
          <w:szCs w:val="24"/>
          <w14:textFill>
            <w14:solidFill>
              <w14:schemeClr w14:val="tx1"/>
            </w14:solidFill>
          </w14:textFill>
        </w:rPr>
      </w:pPr>
      <w:bookmarkStart w:id="1" w:name="_Toc108389246"/>
      <w:r>
        <w:rPr>
          <w:color w:val="000000" w:themeColor="text1"/>
          <w:sz w:val="24"/>
          <w:szCs w:val="24"/>
          <w14:textFill>
            <w14:solidFill>
              <w14:schemeClr w14:val="tx1"/>
            </w14:solidFill>
          </w14:textFill>
        </w:rPr>
        <w:t>任务来源</w:t>
      </w:r>
      <w:bookmarkEnd w:id="1"/>
    </w:p>
    <w:p w14:paraId="70F8FAD4">
      <w:pPr>
        <w:spacing w:line="360" w:lineRule="auto"/>
        <w:ind w:firstLine="48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根据《工业和信息化部2022年第三批标准制修订和外文版项目计划》</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建标函</w:t>
      </w:r>
      <w:r>
        <w:rPr>
          <w:rFonts w:hint="eastAsia"/>
          <w:color w:val="000000" w:themeColor="text1"/>
          <w:lang w:eastAsia="zh-CN"/>
          <w14:textFill>
            <w14:solidFill>
              <w14:schemeClr w14:val="tx1"/>
            </w14:solidFill>
          </w14:textFill>
        </w:rPr>
        <w:t>〔2022〕18号）</w:t>
      </w:r>
      <w:r>
        <w:rPr>
          <w:rFonts w:hint="eastAsia"/>
          <w:color w:val="000000" w:themeColor="text1"/>
          <w14:textFill>
            <w14:solidFill>
              <w14:schemeClr w14:val="tx1"/>
            </w14:solidFill>
          </w14:textFill>
        </w:rPr>
        <w:t>的要求，建材行业标准《装饰装修用软膜天花》（2022-1308T-JC）已列入编制计划，</w:t>
      </w:r>
      <w:r>
        <w:rPr>
          <w:color w:val="000000" w:themeColor="text1"/>
          <w14:textFill>
            <w14:solidFill>
              <w14:schemeClr w14:val="tx1"/>
            </w14:solidFill>
          </w14:textFill>
        </w:rPr>
        <w:t>标准技术归口单位为</w:t>
      </w:r>
      <w:r>
        <w:rPr>
          <w:rFonts w:hint="eastAsia"/>
          <w:color w:val="000000" w:themeColor="text1"/>
          <w14:textFill>
            <w14:solidFill>
              <w14:schemeClr w14:val="tx1"/>
            </w14:solidFill>
          </w14:textFill>
        </w:rPr>
        <w:t>建材工业综合标准化技术委员会</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由中国建筑装饰装修材料协会等负责标准的起草工作。</w:t>
      </w:r>
    </w:p>
    <w:p w14:paraId="74B4543A">
      <w:pPr>
        <w:pStyle w:val="28"/>
        <w:numPr>
          <w:ilvl w:val="1"/>
          <w:numId w:val="6"/>
        </w:numPr>
        <w:snapToGrid w:val="0"/>
        <w:spacing w:before="163" w:beforeLines="50" w:after="163" w:afterLines="50" w:line="500" w:lineRule="exact"/>
        <w:ind w:left="0"/>
        <w:rPr>
          <w:color w:val="000000" w:themeColor="text1"/>
          <w:sz w:val="24"/>
          <w:szCs w:val="24"/>
          <w14:textFill>
            <w14:solidFill>
              <w14:schemeClr w14:val="tx1"/>
            </w14:solidFill>
          </w14:textFill>
        </w:rPr>
      </w:pPr>
      <w:bookmarkStart w:id="2" w:name="_Toc44068192"/>
      <w:bookmarkStart w:id="3" w:name="_Toc108389247"/>
      <w:r>
        <w:rPr>
          <w:color w:val="000000" w:themeColor="text1"/>
          <w:sz w:val="24"/>
          <w:szCs w:val="24"/>
          <w14:textFill>
            <w14:solidFill>
              <w14:schemeClr w14:val="tx1"/>
            </w14:solidFill>
          </w14:textFill>
        </w:rPr>
        <w:t>起草单位</w:t>
      </w:r>
      <w:bookmarkEnd w:id="2"/>
      <w:bookmarkEnd w:id="3"/>
    </w:p>
    <w:p w14:paraId="0106820F">
      <w:pPr>
        <w:spacing w:line="360" w:lineRule="auto"/>
        <w:ind w:firstLine="48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本标准起草单位涵盖软膜天花生产企业、检测机构、科研院所及行业协会，具体分工如下：</w:t>
      </w:r>
    </w:p>
    <w:p w14:paraId="0DFDFCF2">
      <w:pPr>
        <w:spacing w:line="360" w:lineRule="auto"/>
        <w:ind w:firstLine="48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牵头单位中国建筑装饰装修材料协会：负责标准框架设计、核心技术内容统筹、意见汇总及文稿修改，协调各参与单位工作进度；</w:t>
      </w:r>
    </w:p>
    <w:p w14:paraId="3F317E82">
      <w:pPr>
        <w:spacing w:line="360" w:lineRule="auto"/>
        <w:ind w:firstLine="48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生产企业上海华喜膜结构工程有限公司</w:t>
      </w:r>
      <w:r>
        <w:rPr>
          <w:rFonts w:hint="eastAsia"/>
          <w:color w:val="000000" w:themeColor="text1"/>
          <w:lang w:eastAsia="zh-CN"/>
          <w14:textFill>
            <w14:solidFill>
              <w14:schemeClr w14:val="tx1"/>
            </w14:solidFill>
          </w14:textFill>
        </w:rPr>
        <w:t>、海宁明创塑胶有限公司、浙江明士达股份有限公司</w:t>
      </w:r>
      <w:r>
        <w:rPr>
          <w:rFonts w:hint="eastAsia"/>
          <w:color w:val="000000" w:themeColor="text1"/>
          <w:lang w:val="en-US" w:eastAsia="zh-CN"/>
          <w14:textFill>
            <w14:solidFill>
              <w14:schemeClr w14:val="tx1"/>
            </w14:solidFill>
          </w14:textFill>
        </w:rPr>
        <w:t>等</w:t>
      </w:r>
      <w:r>
        <w:rPr>
          <w:rFonts w:hint="eastAsia"/>
          <w:color w:val="000000" w:themeColor="text1"/>
          <w14:textFill>
            <w14:solidFill>
              <w14:schemeClr w14:val="tx1"/>
            </w14:solidFill>
          </w14:textFill>
        </w:rPr>
        <w:t>提供实际生产数据、产品样品，反馈市场应用痛点（如材质混杂、性能不达标等），参与性能指标验证；</w:t>
      </w:r>
    </w:p>
    <w:p w14:paraId="104CB662">
      <w:pPr>
        <w:spacing w:line="360" w:lineRule="auto"/>
        <w:ind w:firstLine="48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检测机构</w:t>
      </w:r>
      <w:r>
        <w:rPr>
          <w:rFonts w:hint="eastAsia"/>
          <w:color w:val="000000" w:themeColor="text1"/>
          <w:lang w:val="en-US" w:eastAsia="zh-CN"/>
          <w14:textFill>
            <w14:solidFill>
              <w14:schemeClr w14:val="tx1"/>
            </w14:solidFill>
          </w14:textFill>
        </w:rPr>
        <w:t>中国国检测试控股集团股份有限公司</w:t>
      </w:r>
      <w:r>
        <w:rPr>
          <w:rFonts w:hint="eastAsia"/>
          <w:color w:val="000000" w:themeColor="text1"/>
          <w14:textFill>
            <w14:solidFill>
              <w14:schemeClr w14:val="tx1"/>
            </w14:solidFill>
          </w14:textFill>
        </w:rPr>
        <w:t>制定试验方案，开展样品检测，验证标准中试验方法的可行性与重复性；</w:t>
      </w:r>
    </w:p>
    <w:p w14:paraId="3C86C65A">
      <w:pPr>
        <w:spacing w:line="360" w:lineRule="auto"/>
        <w:ind w:firstLine="48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行业协会中国钢结构协会空间结构分会</w:t>
      </w: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中国塑料加工工业协会</w:t>
      </w:r>
      <w:r>
        <w:rPr>
          <w:rFonts w:hint="eastAsia"/>
          <w:color w:val="000000" w:themeColor="text1"/>
          <w14:textFill>
            <w14:solidFill>
              <w14:schemeClr w14:val="tx1"/>
            </w14:solidFill>
          </w14:textFill>
        </w:rPr>
        <w:t>组织行业调研</w:t>
      </w: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提供产品上游原材料和产品下游工程应用情况反馈</w:t>
      </w:r>
      <w:r>
        <w:rPr>
          <w:rFonts w:hint="eastAsia"/>
          <w:color w:val="000000" w:themeColor="text1"/>
          <w14:textFill>
            <w14:solidFill>
              <w14:schemeClr w14:val="tx1"/>
            </w14:solidFill>
          </w14:textFill>
        </w:rPr>
        <w:t>，收集企业诉求。</w:t>
      </w:r>
    </w:p>
    <w:p w14:paraId="4F01F26A">
      <w:pPr>
        <w:pStyle w:val="28"/>
        <w:numPr>
          <w:ilvl w:val="1"/>
          <w:numId w:val="6"/>
        </w:numPr>
        <w:spacing w:before="163" w:beforeLines="50" w:after="163" w:afterLines="50" w:line="500" w:lineRule="exact"/>
        <w:ind w:left="0"/>
        <w:rPr>
          <w:color w:val="000000" w:themeColor="text1"/>
          <w:sz w:val="24"/>
          <w:szCs w:val="24"/>
          <w14:textFill>
            <w14:solidFill>
              <w14:schemeClr w14:val="tx1"/>
            </w14:solidFill>
          </w14:textFill>
        </w:rPr>
      </w:pPr>
      <w:bookmarkStart w:id="4" w:name="_Toc44068193"/>
      <w:bookmarkStart w:id="5" w:name="_Toc108389248"/>
      <w:r>
        <w:rPr>
          <w:color w:val="000000" w:themeColor="text1"/>
          <w:sz w:val="24"/>
          <w:szCs w:val="24"/>
          <w14:textFill>
            <w14:solidFill>
              <w14:schemeClr w14:val="tx1"/>
            </w14:solidFill>
          </w14:textFill>
        </w:rPr>
        <w:t>标准编制背景及必要性</w:t>
      </w:r>
      <w:bookmarkEnd w:id="4"/>
      <w:bookmarkEnd w:id="5"/>
    </w:p>
    <w:p w14:paraId="18BDB376">
      <w:pPr>
        <w:pStyle w:val="41"/>
        <w:spacing w:line="480" w:lineRule="auto"/>
        <w:ind w:firstLine="0" w:firstLineChars="0"/>
        <w:rPr>
          <w:rFonts w:ascii="Times New Roman" w:eastAsia="黑体"/>
          <w:color w:val="000000" w:themeColor="text1"/>
          <w:sz w:val="24"/>
          <w:szCs w:val="24"/>
          <w14:textFill>
            <w14:solidFill>
              <w14:schemeClr w14:val="tx1"/>
            </w14:solidFill>
          </w14:textFill>
        </w:rPr>
      </w:pPr>
      <w:r>
        <w:rPr>
          <w:rFonts w:ascii="Times New Roman" w:eastAsia="黑体"/>
          <w:color w:val="000000" w:themeColor="text1"/>
          <w:sz w:val="24"/>
          <w:szCs w:val="24"/>
          <w14:textFill>
            <w14:solidFill>
              <w14:schemeClr w14:val="tx1"/>
            </w14:solidFill>
          </w14:textFill>
        </w:rPr>
        <w:t>1.3.1 编制背景</w:t>
      </w:r>
    </w:p>
    <w:p w14:paraId="04C1C198">
      <w:pPr>
        <w:spacing w:line="360" w:lineRule="auto"/>
        <w:ind w:firstLine="480" w:firstLineChars="200"/>
        <w:jc w:val="both"/>
        <w:rPr>
          <w:rFonts w:hint="default" w:eastAsiaTheme="minorEastAsia"/>
          <w:color w:val="000000" w:themeColor="text1"/>
          <w:szCs w:val="28"/>
          <w:lang w:val="en-US" w:eastAsia="zh-CN"/>
          <w14:textFill>
            <w14:solidFill>
              <w14:schemeClr w14:val="tx1"/>
            </w14:solidFill>
          </w14:textFill>
        </w:rPr>
      </w:pPr>
      <w:r>
        <w:rPr>
          <w:rFonts w:hint="eastAsia" w:eastAsiaTheme="minorEastAsia"/>
          <w:color w:val="000000" w:themeColor="text1"/>
          <w:szCs w:val="28"/>
          <w14:textFill>
            <w14:solidFill>
              <w14:schemeClr w14:val="tx1"/>
            </w14:solidFill>
          </w14:textFill>
        </w:rPr>
        <w:t>近年来，装饰装修用软膜天花因轻量化、透光性好、造型灵活等优势，广泛应用于商业空间（如商场、展厅）、公共建筑（如医院、学校）及住宅装修领域。目前市场上软膜天花产品主要分为 PVC 软膜、ETFE 软膜及涂层织物软膜三大类，但行业缺乏统一的产品标准</w:t>
      </w:r>
      <w:r>
        <w:rPr>
          <w:rFonts w:hint="eastAsia" w:eastAsiaTheme="minorEastAsia"/>
          <w:color w:val="000000" w:themeColor="text1"/>
          <w:szCs w:val="28"/>
          <w:lang w:eastAsia="zh-CN"/>
          <w14:textFill>
            <w14:solidFill>
              <w14:schemeClr w14:val="tx1"/>
            </w14:solidFill>
          </w14:textFill>
        </w:rPr>
        <w:t>，</w:t>
      </w:r>
      <w:r>
        <w:rPr>
          <w:rFonts w:hint="eastAsia" w:eastAsiaTheme="minorEastAsia"/>
          <w:color w:val="000000" w:themeColor="text1"/>
          <w:szCs w:val="28"/>
          <w:lang w:val="en-US" w:eastAsia="zh-CN"/>
          <w14:textFill>
            <w14:solidFill>
              <w14:schemeClr w14:val="tx1"/>
            </w14:solidFill>
          </w14:textFill>
        </w:rPr>
        <w:t>从而导致以下影响行业发展的问题：</w:t>
      </w:r>
    </w:p>
    <w:p w14:paraId="13384D98">
      <w:pPr>
        <w:spacing w:line="360" w:lineRule="auto"/>
        <w:ind w:firstLine="480" w:firstLineChars="200"/>
        <w:jc w:val="both"/>
        <w:rPr>
          <w:rFonts w:hint="eastAsia" w:eastAsiaTheme="minorEastAsia"/>
          <w:color w:val="000000" w:themeColor="text1"/>
          <w:szCs w:val="28"/>
          <w14:textFill>
            <w14:solidFill>
              <w14:schemeClr w14:val="tx1"/>
            </w14:solidFill>
          </w14:textFill>
        </w:rPr>
      </w:pPr>
      <w:r>
        <w:rPr>
          <w:rFonts w:hint="eastAsia" w:eastAsiaTheme="minorEastAsia"/>
          <w:color w:val="000000" w:themeColor="text1"/>
          <w:szCs w:val="28"/>
          <w:lang w:eastAsia="zh-CN"/>
          <w14:textFill>
            <w14:solidFill>
              <w14:schemeClr w14:val="tx1"/>
            </w14:solidFill>
          </w14:textFill>
        </w:rPr>
        <w:t>（</w:t>
      </w:r>
      <w:r>
        <w:rPr>
          <w:rFonts w:hint="eastAsia" w:eastAsiaTheme="minorEastAsia"/>
          <w:color w:val="000000" w:themeColor="text1"/>
          <w:szCs w:val="28"/>
          <w:lang w:val="en-US" w:eastAsia="zh-CN"/>
          <w14:textFill>
            <w14:solidFill>
              <w14:schemeClr w14:val="tx1"/>
            </w14:solidFill>
          </w14:textFill>
        </w:rPr>
        <w:t>1</w:t>
      </w:r>
      <w:r>
        <w:rPr>
          <w:rFonts w:hint="eastAsia" w:eastAsiaTheme="minorEastAsia"/>
          <w:color w:val="000000" w:themeColor="text1"/>
          <w:szCs w:val="28"/>
          <w:lang w:eastAsia="zh-CN"/>
          <w14:textFill>
            <w14:solidFill>
              <w14:schemeClr w14:val="tx1"/>
            </w14:solidFill>
          </w14:textFill>
        </w:rPr>
        <w:t>）</w:t>
      </w:r>
      <w:r>
        <w:rPr>
          <w:rFonts w:hint="eastAsia" w:eastAsiaTheme="minorEastAsia"/>
          <w:color w:val="000000" w:themeColor="text1"/>
          <w:szCs w:val="28"/>
          <w14:textFill>
            <w14:solidFill>
              <w14:schemeClr w14:val="tx1"/>
            </w14:solidFill>
          </w14:textFill>
        </w:rPr>
        <w:t>材质标注混乱：部分企业混淆 “PVC” 与 “ETFE” 材质，或在涂层织物软膜中偷换基布（如用聚酯纤维替代玻璃纤维），导致产品性能与宣传不符；</w:t>
      </w:r>
    </w:p>
    <w:p w14:paraId="4BE58ADC">
      <w:pPr>
        <w:spacing w:line="360" w:lineRule="auto"/>
        <w:ind w:firstLine="480" w:firstLineChars="200"/>
        <w:jc w:val="both"/>
        <w:rPr>
          <w:rFonts w:hint="eastAsia" w:eastAsiaTheme="minorEastAsia"/>
          <w:color w:val="000000" w:themeColor="text1"/>
          <w:szCs w:val="28"/>
          <w14:textFill>
            <w14:solidFill>
              <w14:schemeClr w14:val="tx1"/>
            </w14:solidFill>
          </w14:textFill>
        </w:rPr>
      </w:pPr>
      <w:r>
        <w:rPr>
          <w:rFonts w:hint="eastAsia" w:eastAsiaTheme="minorEastAsia"/>
          <w:color w:val="000000" w:themeColor="text1"/>
          <w:szCs w:val="28"/>
          <w:lang w:eastAsia="zh-CN"/>
          <w14:textFill>
            <w14:solidFill>
              <w14:schemeClr w14:val="tx1"/>
            </w14:solidFill>
          </w14:textFill>
        </w:rPr>
        <w:t>（</w:t>
      </w:r>
      <w:r>
        <w:rPr>
          <w:rFonts w:hint="eastAsia" w:eastAsiaTheme="minorEastAsia"/>
          <w:color w:val="000000" w:themeColor="text1"/>
          <w:szCs w:val="28"/>
          <w:lang w:val="en-US" w:eastAsia="zh-CN"/>
          <w14:textFill>
            <w14:solidFill>
              <w14:schemeClr w14:val="tx1"/>
            </w14:solidFill>
          </w14:textFill>
        </w:rPr>
        <w:t>2</w:t>
      </w:r>
      <w:r>
        <w:rPr>
          <w:rFonts w:hint="eastAsia" w:eastAsiaTheme="minorEastAsia"/>
          <w:color w:val="000000" w:themeColor="text1"/>
          <w:szCs w:val="28"/>
          <w:lang w:eastAsia="zh-CN"/>
          <w14:textFill>
            <w14:solidFill>
              <w14:schemeClr w14:val="tx1"/>
            </w14:solidFill>
          </w14:textFill>
        </w:rPr>
        <w:t>）</w:t>
      </w:r>
      <w:r>
        <w:rPr>
          <w:rFonts w:hint="eastAsia" w:eastAsiaTheme="minorEastAsia"/>
          <w:color w:val="000000" w:themeColor="text1"/>
          <w:szCs w:val="28"/>
          <w14:textFill>
            <w14:solidFill>
              <w14:schemeClr w14:val="tx1"/>
            </w14:solidFill>
          </w14:textFill>
        </w:rPr>
        <w:t>性能指标缺失：现有标准（如 GB/T 3830《软聚氯乙烯压延薄膜和片材》）仅覆盖单一材质，未针对 “天花装饰” 场景的特殊需求（如透光均匀性、可焊性、防霉性）制定要求；</w:t>
      </w:r>
    </w:p>
    <w:p w14:paraId="045CD6D4">
      <w:pPr>
        <w:spacing w:line="360" w:lineRule="auto"/>
        <w:ind w:firstLine="480" w:firstLineChars="200"/>
        <w:jc w:val="both"/>
        <w:rPr>
          <w:rFonts w:hint="eastAsia" w:eastAsiaTheme="minorEastAsia"/>
          <w:color w:val="000000" w:themeColor="text1"/>
          <w:szCs w:val="28"/>
          <w14:textFill>
            <w14:solidFill>
              <w14:schemeClr w14:val="tx1"/>
            </w14:solidFill>
          </w14:textFill>
        </w:rPr>
      </w:pPr>
      <w:r>
        <w:rPr>
          <w:rFonts w:hint="eastAsia" w:eastAsiaTheme="minorEastAsia"/>
          <w:color w:val="000000" w:themeColor="text1"/>
          <w:szCs w:val="28"/>
          <w:lang w:eastAsia="zh-CN"/>
          <w14:textFill>
            <w14:solidFill>
              <w14:schemeClr w14:val="tx1"/>
            </w14:solidFill>
          </w14:textFill>
        </w:rPr>
        <w:t>（</w:t>
      </w:r>
      <w:r>
        <w:rPr>
          <w:rFonts w:hint="eastAsia" w:eastAsiaTheme="minorEastAsia"/>
          <w:color w:val="000000" w:themeColor="text1"/>
          <w:szCs w:val="28"/>
          <w:lang w:val="en-US" w:eastAsia="zh-CN"/>
          <w14:textFill>
            <w14:solidFill>
              <w14:schemeClr w14:val="tx1"/>
            </w14:solidFill>
          </w14:textFill>
        </w:rPr>
        <w:t>3</w:t>
      </w:r>
      <w:r>
        <w:rPr>
          <w:rFonts w:hint="eastAsia" w:eastAsiaTheme="minorEastAsia"/>
          <w:color w:val="000000" w:themeColor="text1"/>
          <w:szCs w:val="28"/>
          <w:lang w:eastAsia="zh-CN"/>
          <w14:textFill>
            <w14:solidFill>
              <w14:schemeClr w14:val="tx1"/>
            </w14:solidFill>
          </w14:textFill>
        </w:rPr>
        <w:t>）</w:t>
      </w:r>
      <w:r>
        <w:rPr>
          <w:rFonts w:hint="eastAsia" w:eastAsiaTheme="minorEastAsia"/>
          <w:color w:val="000000" w:themeColor="text1"/>
          <w:szCs w:val="28"/>
          <w14:textFill>
            <w14:solidFill>
              <w14:schemeClr w14:val="tx1"/>
            </w14:solidFill>
          </w14:textFill>
        </w:rPr>
        <w:t>测试方法不统一：不同企业对 “可焊性”“耐光老化” 等关键性能的测试条件（如温度、时间）差异大，导致检测结果无可比性，下游用户难以判断产品质量。</w:t>
      </w:r>
    </w:p>
    <w:p w14:paraId="4C06D368">
      <w:pPr>
        <w:spacing w:line="360" w:lineRule="auto"/>
        <w:ind w:firstLine="480" w:firstLineChars="200"/>
        <w:jc w:val="both"/>
        <w:rPr>
          <w:rFonts w:hint="eastAsia" w:eastAsiaTheme="minorEastAsia"/>
          <w:color w:val="000000" w:themeColor="text1"/>
          <w:szCs w:val="28"/>
          <w14:textFill>
            <w14:solidFill>
              <w14:schemeClr w14:val="tx1"/>
            </w14:solidFill>
          </w14:textFill>
        </w:rPr>
      </w:pPr>
      <w:r>
        <w:rPr>
          <w:rFonts w:hint="eastAsia" w:eastAsiaTheme="minorEastAsia"/>
          <w:color w:val="000000" w:themeColor="text1"/>
          <w:szCs w:val="28"/>
          <w14:textFill>
            <w14:solidFill>
              <w14:schemeClr w14:val="tx1"/>
            </w14:solidFill>
          </w14:textFill>
        </w:rPr>
        <w:t>所以，有必要制定</w:t>
      </w:r>
      <w:r>
        <w:rPr>
          <w:rFonts w:hint="eastAsia" w:eastAsiaTheme="minorEastAsia"/>
          <w:color w:val="000000" w:themeColor="text1"/>
          <w:szCs w:val="28"/>
          <w:lang w:eastAsia="zh-CN"/>
          <w14:textFill>
            <w14:solidFill>
              <w14:schemeClr w14:val="tx1"/>
            </w14:solidFill>
          </w14:textFill>
        </w:rPr>
        <w:t>《</w:t>
      </w:r>
      <w:r>
        <w:rPr>
          <w:rFonts w:hint="eastAsia" w:eastAsiaTheme="minorEastAsia"/>
          <w:color w:val="000000" w:themeColor="text1"/>
          <w:szCs w:val="28"/>
          <w14:textFill>
            <w14:solidFill>
              <w14:schemeClr w14:val="tx1"/>
            </w14:solidFill>
          </w14:textFill>
        </w:rPr>
        <w:t>装饰装修用软膜天花</w:t>
      </w:r>
      <w:r>
        <w:rPr>
          <w:rFonts w:hint="eastAsia" w:eastAsiaTheme="minorEastAsia"/>
          <w:color w:val="000000" w:themeColor="text1"/>
          <w:szCs w:val="28"/>
          <w:lang w:eastAsia="zh-CN"/>
          <w14:textFill>
            <w14:solidFill>
              <w14:schemeClr w14:val="tx1"/>
            </w14:solidFill>
          </w14:textFill>
        </w:rPr>
        <w:t>》</w:t>
      </w:r>
      <w:r>
        <w:rPr>
          <w:rFonts w:hint="eastAsia" w:eastAsiaTheme="minorEastAsia"/>
          <w:color w:val="000000" w:themeColor="text1"/>
          <w:szCs w:val="28"/>
          <w14:textFill>
            <w14:solidFill>
              <w14:schemeClr w14:val="tx1"/>
            </w14:solidFill>
          </w14:textFill>
        </w:rPr>
        <w:t>的产品标准，统一标准可明确产品分类、性能限值及检测方法，规范产品的生产质量和市场流通管理，</w:t>
      </w:r>
      <w:r>
        <w:rPr>
          <w:rFonts w:hint="eastAsia" w:eastAsiaTheme="minorEastAsia"/>
          <w:color w:val="000000" w:themeColor="text1"/>
          <w:szCs w:val="28"/>
          <w:lang w:val="en-US" w:eastAsia="zh-CN"/>
          <w14:textFill>
            <w14:solidFill>
              <w14:schemeClr w14:val="tx1"/>
            </w14:solidFill>
          </w14:textFill>
        </w:rPr>
        <w:t>保障产品的安全应用，</w:t>
      </w:r>
      <w:r>
        <w:rPr>
          <w:rFonts w:hint="eastAsia" w:eastAsiaTheme="minorEastAsia"/>
          <w:color w:val="000000" w:themeColor="text1"/>
          <w:szCs w:val="28"/>
          <w14:textFill>
            <w14:solidFill>
              <w14:schemeClr w14:val="tx1"/>
            </w14:solidFill>
          </w14:textFill>
        </w:rPr>
        <w:t>促进天花吊顶材料行业的健康发展，</w:t>
      </w:r>
      <w:r>
        <w:rPr>
          <w:rFonts w:hint="eastAsia" w:eastAsiaTheme="minorEastAsia"/>
          <w:color w:val="000000" w:themeColor="text1"/>
          <w:szCs w:val="28"/>
          <w:lang w:eastAsia="zh-CN"/>
          <w14:textFill>
            <w14:solidFill>
              <w14:schemeClr w14:val="tx1"/>
            </w14:solidFill>
          </w14:textFill>
        </w:rPr>
        <w:t>营造</w:t>
      </w:r>
      <w:r>
        <w:rPr>
          <w:rFonts w:hint="eastAsia" w:eastAsiaTheme="minorEastAsia"/>
          <w:color w:val="000000" w:themeColor="text1"/>
          <w:szCs w:val="28"/>
          <w14:textFill>
            <w14:solidFill>
              <w14:schemeClr w14:val="tx1"/>
            </w14:solidFill>
          </w14:textFill>
        </w:rPr>
        <w:t>宜居环境，提升居住品质。</w:t>
      </w:r>
    </w:p>
    <w:p w14:paraId="327E2505">
      <w:pPr>
        <w:pStyle w:val="41"/>
        <w:spacing w:line="480" w:lineRule="auto"/>
        <w:ind w:firstLine="0" w:firstLineChars="0"/>
        <w:rPr>
          <w:rFonts w:ascii="Times New Roman" w:eastAsia="黑体"/>
          <w:color w:val="000000" w:themeColor="text1"/>
          <w:sz w:val="24"/>
          <w:szCs w:val="24"/>
          <w14:textFill>
            <w14:solidFill>
              <w14:schemeClr w14:val="tx1"/>
            </w14:solidFill>
          </w14:textFill>
        </w:rPr>
      </w:pPr>
      <w:r>
        <w:rPr>
          <w:rFonts w:hint="eastAsia" w:ascii="Times New Roman" w:eastAsia="黑体"/>
          <w:color w:val="000000" w:themeColor="text1"/>
          <w:sz w:val="24"/>
          <w:szCs w:val="24"/>
          <w14:textFill>
            <w14:solidFill>
              <w14:schemeClr w14:val="tx1"/>
            </w14:solidFill>
          </w14:textFill>
        </w:rPr>
        <w:t>1.3.2</w:t>
      </w:r>
      <w:r>
        <w:rPr>
          <w:rFonts w:ascii="Times New Roman" w:eastAsia="黑体"/>
          <w:color w:val="000000" w:themeColor="text1"/>
          <w:sz w:val="24"/>
          <w:szCs w:val="24"/>
          <w14:textFill>
            <w14:solidFill>
              <w14:schemeClr w14:val="tx1"/>
            </w14:solidFill>
          </w14:textFill>
        </w:rPr>
        <w:t>主要工作过程</w:t>
      </w:r>
    </w:p>
    <w:p w14:paraId="53151126">
      <w:pPr>
        <w:spacing w:line="360" w:lineRule="auto"/>
        <w:ind w:firstLine="480" w:firstLineChars="200"/>
        <w:jc w:val="both"/>
        <w:rPr>
          <w:rFonts w:hint="eastAsia"/>
          <w:color w:val="000000" w:themeColor="text1"/>
          <w:lang w:eastAsia="zh-CN"/>
          <w14:textFill>
            <w14:solidFill>
              <w14:schemeClr w14:val="tx1"/>
            </w14:solidFill>
          </w14:textFill>
        </w:rPr>
      </w:pPr>
      <w:r>
        <w:rPr>
          <w:rFonts w:hint="eastAsia"/>
          <w:color w:val="000000" w:themeColor="text1"/>
          <w:lang w:val="en-US" w:eastAsia="zh-CN"/>
          <w14:textFill>
            <w14:solidFill>
              <w14:schemeClr w14:val="tx1"/>
            </w14:solidFill>
          </w14:textFill>
        </w:rPr>
        <w:t>2022年11月，</w:t>
      </w:r>
      <w:r>
        <w:rPr>
          <w:rFonts w:hint="eastAsia" w:eastAsiaTheme="minorEastAsia"/>
          <w:color w:val="000000" w:themeColor="text1"/>
          <w:szCs w:val="28"/>
          <w14:textFill>
            <w14:solidFill>
              <w14:schemeClr w14:val="tx1"/>
            </w14:solidFill>
          </w14:textFill>
        </w:rPr>
        <w:t>工业和信息化部下达</w:t>
      </w:r>
      <w:r>
        <w:rPr>
          <w:rFonts w:eastAsiaTheme="minorEastAsia"/>
          <w:color w:val="000000" w:themeColor="text1"/>
          <w:szCs w:val="28"/>
          <w14:textFill>
            <w14:solidFill>
              <w14:schemeClr w14:val="tx1"/>
            </w14:solidFill>
          </w14:textFill>
        </w:rPr>
        <w:t>了</w:t>
      </w:r>
      <w:r>
        <w:rPr>
          <w:rFonts w:hint="eastAsia"/>
          <w:color w:val="000000" w:themeColor="text1"/>
          <w14:textFill>
            <w14:solidFill>
              <w14:schemeClr w14:val="tx1"/>
            </w14:solidFill>
          </w14:textFill>
        </w:rPr>
        <w:t>《装饰装修用软膜天花》</w:t>
      </w:r>
      <w:r>
        <w:rPr>
          <w:rFonts w:hint="eastAsia" w:eastAsiaTheme="minorEastAsia"/>
          <w:color w:val="000000" w:themeColor="text1"/>
          <w:szCs w:val="28"/>
          <w14:textFill>
            <w14:solidFill>
              <w14:schemeClr w14:val="tx1"/>
            </w14:solidFill>
          </w14:textFill>
        </w:rPr>
        <w:t>行业</w:t>
      </w:r>
      <w:r>
        <w:rPr>
          <w:rFonts w:eastAsiaTheme="minorEastAsia"/>
          <w:color w:val="000000" w:themeColor="text1"/>
          <w:szCs w:val="28"/>
          <w14:textFill>
            <w14:solidFill>
              <w14:schemeClr w14:val="tx1"/>
            </w14:solidFill>
          </w14:textFill>
        </w:rPr>
        <w:t>标准</w:t>
      </w:r>
      <w:r>
        <w:rPr>
          <w:rFonts w:hint="eastAsia"/>
          <w:color w:val="000000" w:themeColor="text1"/>
          <w14:textFill>
            <w14:solidFill>
              <w14:schemeClr w14:val="tx1"/>
            </w14:solidFill>
          </w14:textFill>
        </w:rPr>
        <w:t>项目计划</w:t>
      </w:r>
      <w:r>
        <w:rPr>
          <w:color w:val="000000" w:themeColor="text1"/>
          <w14:textFill>
            <w14:solidFill>
              <w14:schemeClr w14:val="tx1"/>
            </w14:solidFill>
          </w14:textFill>
        </w:rPr>
        <w:t>，</w:t>
      </w:r>
      <w:r>
        <w:rPr>
          <w:rFonts w:hint="eastAsia"/>
          <w:color w:val="000000" w:themeColor="text1"/>
          <w:lang w:val="en-US" w:eastAsia="zh-CN"/>
          <w14:textFill>
            <w14:solidFill>
              <w14:schemeClr w14:val="tx1"/>
            </w14:solidFill>
          </w14:textFill>
        </w:rPr>
        <w:t>计划编号为</w:t>
      </w:r>
      <w:r>
        <w:rPr>
          <w:rFonts w:hint="eastAsia"/>
          <w:color w:val="000000" w:themeColor="text1"/>
          <w14:textFill>
            <w14:solidFill>
              <w14:schemeClr w14:val="tx1"/>
            </w14:solidFill>
          </w14:textFill>
        </w:rPr>
        <w:t>2022-1308T-JC</w:t>
      </w:r>
      <w:r>
        <w:rPr>
          <w:rFonts w:hint="eastAsia"/>
          <w:color w:val="000000" w:themeColor="text1"/>
          <w:lang w:eastAsia="zh-CN"/>
          <w14:textFill>
            <w14:solidFill>
              <w14:schemeClr w14:val="tx1"/>
            </w14:solidFill>
          </w14:textFill>
        </w:rPr>
        <w:t>。</w:t>
      </w:r>
    </w:p>
    <w:p w14:paraId="46AEFC9B">
      <w:pPr>
        <w:spacing w:line="360" w:lineRule="auto"/>
        <w:ind w:firstLine="480" w:firstLineChars="200"/>
        <w:jc w:val="both"/>
        <w:rPr>
          <w:rFonts w:eastAsiaTheme="minorEastAsia"/>
          <w:color w:val="000000" w:themeColor="text1"/>
          <w:szCs w:val="28"/>
          <w14:textFill>
            <w14:solidFill>
              <w14:schemeClr w14:val="tx1"/>
            </w14:solidFill>
          </w14:textFill>
        </w:rPr>
      </w:pPr>
      <w:r>
        <w:rPr>
          <w:rFonts w:hint="eastAsia"/>
          <w:color w:val="000000" w:themeColor="text1"/>
          <w:lang w:val="en-US" w:eastAsia="zh-CN"/>
          <w14:textFill>
            <w14:solidFill>
              <w14:schemeClr w14:val="tx1"/>
            </w14:solidFill>
          </w14:textFill>
        </w:rPr>
        <w:t>2022年12月—2025年6月期间，</w:t>
      </w:r>
      <w:r>
        <w:rPr>
          <w:rFonts w:hint="eastAsia" w:eastAsiaTheme="minorEastAsia"/>
          <w:color w:val="000000" w:themeColor="text1"/>
          <w:szCs w:val="28"/>
          <w14:textFill>
            <w14:solidFill>
              <w14:schemeClr w14:val="tx1"/>
            </w14:solidFill>
          </w14:textFill>
        </w:rPr>
        <w:t>编制组</w:t>
      </w:r>
      <w:r>
        <w:rPr>
          <w:rFonts w:eastAsiaTheme="minorEastAsia"/>
          <w:color w:val="000000" w:themeColor="text1"/>
          <w:szCs w:val="28"/>
          <w14:textFill>
            <w14:solidFill>
              <w14:schemeClr w14:val="tx1"/>
            </w14:solidFill>
          </w14:textFill>
        </w:rPr>
        <w:t>对</w:t>
      </w:r>
      <w:r>
        <w:rPr>
          <w:rFonts w:hint="eastAsia" w:eastAsiaTheme="minorEastAsia"/>
          <w:color w:val="000000" w:themeColor="text1"/>
          <w:szCs w:val="28"/>
          <w:lang w:val="en-US" w:eastAsia="zh-CN"/>
          <w14:textFill>
            <w14:solidFill>
              <w14:schemeClr w14:val="tx1"/>
            </w14:solidFill>
          </w14:textFill>
        </w:rPr>
        <w:t>软膜天花生产和工程应用</w:t>
      </w:r>
      <w:r>
        <w:rPr>
          <w:rFonts w:eastAsiaTheme="minorEastAsia"/>
          <w:color w:val="000000" w:themeColor="text1"/>
          <w:szCs w:val="28"/>
          <w14:textFill>
            <w14:solidFill>
              <w14:schemeClr w14:val="tx1"/>
            </w14:solidFill>
          </w14:textFill>
        </w:rPr>
        <w:t>企业进行</w:t>
      </w:r>
      <w:r>
        <w:rPr>
          <w:rFonts w:hint="eastAsia" w:eastAsiaTheme="minorEastAsia"/>
          <w:color w:val="000000" w:themeColor="text1"/>
          <w:szCs w:val="28"/>
          <w14:textFill>
            <w14:solidFill>
              <w14:schemeClr w14:val="tx1"/>
            </w14:solidFill>
          </w14:textFill>
        </w:rPr>
        <w:t>实地调研</w:t>
      </w:r>
      <w:r>
        <w:rPr>
          <w:rFonts w:eastAsiaTheme="minorEastAsia"/>
          <w:color w:val="000000" w:themeColor="text1"/>
          <w:szCs w:val="28"/>
          <w14:textFill>
            <w14:solidFill>
              <w14:schemeClr w14:val="tx1"/>
            </w14:solidFill>
          </w14:textFill>
        </w:rPr>
        <w:t>，</w:t>
      </w:r>
      <w:r>
        <w:rPr>
          <w:rFonts w:hint="eastAsia" w:eastAsiaTheme="minorEastAsia"/>
          <w:color w:val="000000" w:themeColor="text1"/>
          <w:szCs w:val="28"/>
          <w14:textFill>
            <w14:solidFill>
              <w14:schemeClr w14:val="tx1"/>
            </w14:solidFill>
          </w14:textFill>
        </w:rPr>
        <w:t>搜集并分析了相关信息，编制完成标准草案。</w:t>
      </w:r>
    </w:p>
    <w:p w14:paraId="170AE55A">
      <w:pPr>
        <w:spacing w:line="360" w:lineRule="auto"/>
        <w:ind w:firstLine="480" w:firstLineChars="200"/>
        <w:jc w:val="both"/>
        <w:rPr>
          <w:rFonts w:hint="default"/>
          <w:color w:val="000000" w:themeColor="text1"/>
          <w:lang w:val="en-US" w:eastAsia="zh-CN"/>
          <w14:textFill>
            <w14:solidFill>
              <w14:schemeClr w14:val="tx1"/>
            </w14:solidFill>
          </w14:textFill>
        </w:rPr>
      </w:pPr>
      <w:r>
        <w:rPr>
          <w:rFonts w:hint="default"/>
          <w:color w:val="000000" w:themeColor="text1"/>
          <w:lang w:val="en-US" w:eastAsia="zh-CN"/>
          <w14:textFill>
            <w14:solidFill>
              <w14:schemeClr w14:val="tx1"/>
            </w14:solidFill>
          </w14:textFill>
        </w:rPr>
        <w:t>2025年7月11日</w:t>
      </w:r>
      <w:r>
        <w:rPr>
          <w:rFonts w:hint="eastAsia"/>
          <w:color w:val="000000" w:themeColor="text1"/>
          <w:lang w:val="en-US" w:eastAsia="zh-CN"/>
          <w14:textFill>
            <w14:solidFill>
              <w14:schemeClr w14:val="tx1"/>
            </w14:solidFill>
          </w14:textFill>
        </w:rPr>
        <w:t>，</w:t>
      </w:r>
      <w:r>
        <w:rPr>
          <w:rFonts w:hint="default"/>
          <w:color w:val="000000" w:themeColor="text1"/>
          <w:lang w:val="en-US" w:eastAsia="zh-CN"/>
          <w14:textFill>
            <w14:solidFill>
              <w14:schemeClr w14:val="tx1"/>
            </w14:solidFill>
          </w14:textFill>
        </w:rPr>
        <w:t>建材工业综合标准化技术委员会在浙江嘉兴主持召开了建材行业标准《装饰装修用软膜天花</w:t>
      </w:r>
      <w:r>
        <w:rPr>
          <w:rFonts w:hint="eastAsia"/>
          <w:color w:val="000000" w:themeColor="text1"/>
          <w:lang w:val="en-US" w:eastAsia="zh-CN"/>
          <w14:textFill>
            <w14:solidFill>
              <w14:schemeClr w14:val="tx1"/>
            </w14:solidFill>
          </w14:textFill>
        </w:rPr>
        <w:t>》（</w:t>
      </w:r>
      <w:r>
        <w:rPr>
          <w:rFonts w:hint="default"/>
          <w:color w:val="000000" w:themeColor="text1"/>
          <w:lang w:val="en-US" w:eastAsia="zh-CN"/>
          <w14:textFill>
            <w14:solidFill>
              <w14:schemeClr w14:val="tx1"/>
            </w14:solidFill>
          </w14:textFill>
        </w:rPr>
        <w:t>以下简称《标准》</w:t>
      </w:r>
      <w:r>
        <w:rPr>
          <w:rFonts w:hint="eastAsia"/>
          <w:color w:val="000000" w:themeColor="text1"/>
          <w:lang w:val="en-US" w:eastAsia="zh-CN"/>
          <w14:textFill>
            <w14:solidFill>
              <w14:schemeClr w14:val="tx1"/>
            </w14:solidFill>
          </w14:textFill>
        </w:rPr>
        <w:t>）</w:t>
      </w:r>
      <w:r>
        <w:rPr>
          <w:rFonts w:hint="default"/>
          <w:color w:val="000000" w:themeColor="text1"/>
          <w:lang w:val="en-US" w:eastAsia="zh-CN"/>
          <w14:textFill>
            <w14:solidFill>
              <w14:schemeClr w14:val="tx1"/>
            </w14:solidFill>
          </w14:textFill>
        </w:rPr>
        <w:t>启动会暨第一次工作会议</w:t>
      </w:r>
      <w:r>
        <w:rPr>
          <w:rFonts w:hint="eastAsia"/>
          <w:color w:val="000000" w:themeColor="text1"/>
          <w:lang w:val="en-US" w:eastAsia="zh-CN"/>
          <w14:textFill>
            <w14:solidFill>
              <w14:schemeClr w14:val="tx1"/>
            </w14:solidFill>
          </w14:textFill>
        </w:rPr>
        <w:t>，</w:t>
      </w:r>
      <w:r>
        <w:rPr>
          <w:rFonts w:hint="eastAsia" w:eastAsiaTheme="minorEastAsia"/>
          <w:color w:val="000000" w:themeColor="text1"/>
          <w:szCs w:val="28"/>
          <w14:textFill>
            <w14:solidFill>
              <w14:schemeClr w14:val="tx1"/>
            </w14:solidFill>
          </w14:textFill>
        </w:rPr>
        <w:t>编制组向与会专家和企业介绍了本标准的起草背景、过程和主要内容</w:t>
      </w:r>
      <w:r>
        <w:rPr>
          <w:rFonts w:hint="eastAsia" w:eastAsiaTheme="minorEastAsia"/>
          <w:color w:val="000000" w:themeColor="text1"/>
          <w:szCs w:val="28"/>
          <w:lang w:eastAsia="zh-CN"/>
          <w14:textFill>
            <w14:solidFill>
              <w14:schemeClr w14:val="tx1"/>
            </w14:solidFill>
          </w14:textFill>
        </w:rPr>
        <w:t>，</w:t>
      </w:r>
      <w:r>
        <w:rPr>
          <w:rFonts w:hint="eastAsia" w:eastAsiaTheme="minorEastAsia"/>
          <w:color w:val="000000" w:themeColor="text1"/>
          <w:szCs w:val="28"/>
          <w:lang w:val="en-US" w:eastAsia="zh-CN"/>
          <w14:textFill>
            <w14:solidFill>
              <w14:schemeClr w14:val="tx1"/>
            </w14:solidFill>
          </w14:textFill>
        </w:rPr>
        <w:t>参会</w:t>
      </w:r>
      <w:r>
        <w:rPr>
          <w:rFonts w:hint="eastAsia" w:eastAsiaTheme="minorEastAsia"/>
          <w:color w:val="000000" w:themeColor="text1"/>
          <w:szCs w:val="28"/>
          <w:lang w:eastAsia="zh-CN"/>
          <w14:textFill>
            <w14:solidFill>
              <w14:schemeClr w14:val="tx1"/>
            </w14:solidFill>
          </w14:textFill>
        </w:rPr>
        <w:t>代表针对装饰装修用软膜天花的技术和市场应用现状进行了热烈发言，对标准范围、分类及相关技术要求等《标准草案》内容进行了热烈讨论，提出了完善意见和建议，最后，讨论并通过了《标准》工作大纲《标准》</w:t>
      </w:r>
      <w:r>
        <w:rPr>
          <w:rFonts w:hint="eastAsia" w:eastAsiaTheme="minorEastAsia"/>
          <w:color w:val="000000" w:themeColor="text1"/>
          <w:szCs w:val="28"/>
          <w:lang w:val="en-US" w:eastAsia="zh-CN"/>
          <w14:textFill>
            <w14:solidFill>
              <w14:schemeClr w14:val="tx1"/>
            </w14:solidFill>
          </w14:textFill>
        </w:rPr>
        <w:t>草案</w:t>
      </w:r>
      <w:r>
        <w:rPr>
          <w:rFonts w:hint="default"/>
          <w:color w:val="000000" w:themeColor="text1"/>
          <w:lang w:val="en-US" w:eastAsia="zh-CN"/>
          <w14:textFill>
            <w14:solidFill>
              <w14:schemeClr w14:val="tx1"/>
            </w14:solidFill>
          </w14:textFill>
        </w:rPr>
        <w:t>。</w:t>
      </w:r>
    </w:p>
    <w:p w14:paraId="15545E06">
      <w:pPr>
        <w:spacing w:line="360" w:lineRule="auto"/>
        <w:ind w:firstLine="480" w:firstLineChars="200"/>
        <w:jc w:val="both"/>
        <w:rPr>
          <w:rFonts w:eastAsiaTheme="minorEastAsia"/>
          <w:color w:val="000000" w:themeColor="text1"/>
          <w:szCs w:val="28"/>
          <w14:textFill>
            <w14:solidFill>
              <w14:schemeClr w14:val="tx1"/>
            </w14:solidFill>
          </w14:textFill>
        </w:rPr>
      </w:pPr>
      <w:r>
        <w:rPr>
          <w:rFonts w:hint="eastAsia"/>
          <w:color w:val="000000" w:themeColor="text1"/>
          <w:lang w:val="en-US" w:eastAsia="zh-CN"/>
          <w14:textFill>
            <w14:solidFill>
              <w14:schemeClr w14:val="tx1"/>
            </w14:solidFill>
          </w14:textFill>
        </w:rPr>
        <w:t>2025年7月—8月，编制组调研相关企业，</w:t>
      </w:r>
      <w:r>
        <w:rPr>
          <w:rFonts w:hint="eastAsia" w:eastAsiaTheme="minorEastAsia"/>
          <w:color w:val="000000" w:themeColor="text1"/>
          <w:szCs w:val="28"/>
          <w14:textFill>
            <w14:solidFill>
              <w14:schemeClr w14:val="tx1"/>
            </w14:solidFill>
          </w14:textFill>
        </w:rPr>
        <w:t>同时，委托相关企业根据标准内容</w:t>
      </w:r>
      <w:r>
        <w:rPr>
          <w:rFonts w:eastAsiaTheme="minorEastAsia"/>
          <w:color w:val="000000" w:themeColor="text1"/>
          <w:szCs w:val="28"/>
          <w14:textFill>
            <w14:solidFill>
              <w14:schemeClr w14:val="tx1"/>
            </w14:solidFill>
          </w14:textFill>
        </w:rPr>
        <w:t>开展产品</w:t>
      </w:r>
      <w:r>
        <w:rPr>
          <w:rFonts w:hint="eastAsia" w:eastAsiaTheme="minorEastAsia"/>
          <w:color w:val="000000" w:themeColor="text1"/>
          <w:szCs w:val="28"/>
          <w:lang w:val="en-US" w:eastAsia="zh-CN"/>
          <w14:textFill>
            <w14:solidFill>
              <w14:schemeClr w14:val="tx1"/>
            </w14:solidFill>
          </w14:textFill>
        </w:rPr>
        <w:t>测试</w:t>
      </w:r>
      <w:r>
        <w:rPr>
          <w:rFonts w:hint="eastAsia" w:eastAsiaTheme="minorEastAsia"/>
          <w:color w:val="000000" w:themeColor="text1"/>
          <w:szCs w:val="28"/>
          <w14:textFill>
            <w14:solidFill>
              <w14:schemeClr w14:val="tx1"/>
            </w14:solidFill>
          </w14:textFill>
        </w:rPr>
        <w:t>，作为标准验证内容。</w:t>
      </w:r>
    </w:p>
    <w:p w14:paraId="3F37BF67">
      <w:pPr>
        <w:spacing w:line="360" w:lineRule="auto"/>
        <w:ind w:firstLine="480" w:firstLineChars="200"/>
        <w:jc w:val="both"/>
        <w:rPr>
          <w:rFonts w:hint="eastAsia"/>
          <w:color w:val="000000" w:themeColor="text1"/>
          <w:lang w:val="en-US" w:eastAsia="zh-CN"/>
          <w14:textFill>
            <w14:solidFill>
              <w14:schemeClr w14:val="tx1"/>
            </w14:solidFill>
          </w14:textFill>
        </w:rPr>
      </w:pPr>
      <w:r>
        <w:rPr>
          <w:rFonts w:hint="default"/>
          <w:color w:val="000000" w:themeColor="text1"/>
          <w:lang w:val="en-US" w:eastAsia="zh-CN"/>
          <w14:textFill>
            <w14:solidFill>
              <w14:schemeClr w14:val="tx1"/>
            </w14:solidFill>
          </w14:textFill>
        </w:rPr>
        <w:t>2025年9月1日</w:t>
      </w:r>
      <w:r>
        <w:rPr>
          <w:rFonts w:hint="eastAsia"/>
          <w:color w:val="000000" w:themeColor="text1"/>
          <w:lang w:val="en-US" w:eastAsia="zh-CN"/>
          <w14:textFill>
            <w14:solidFill>
              <w14:schemeClr w14:val="tx1"/>
            </w14:solidFill>
          </w14:textFill>
        </w:rPr>
        <w:t>，编制组线上主持召开了建材行业标准《装饰装修用软膜天花》第二次工作会议，进一步明确了标准的对象、适用范围和主要技术内容。</w:t>
      </w:r>
    </w:p>
    <w:p w14:paraId="6154F20F">
      <w:pPr>
        <w:spacing w:line="360" w:lineRule="auto"/>
        <w:ind w:firstLine="480" w:firstLineChars="200"/>
        <w:jc w:val="both"/>
        <w:rPr>
          <w:rFonts w:hint="default"/>
          <w:color w:val="000000" w:themeColor="text1"/>
          <w:lang w:val="en-US" w:eastAsia="zh-CN"/>
          <w14:textFill>
            <w14:solidFill>
              <w14:schemeClr w14:val="tx1"/>
            </w14:solidFill>
          </w14:textFill>
        </w:rPr>
      </w:pPr>
      <w:r>
        <w:rPr>
          <w:rFonts w:hint="default"/>
          <w:color w:val="000000" w:themeColor="text1"/>
          <w:lang w:val="en-US" w:eastAsia="zh-CN"/>
          <w14:textFill>
            <w14:solidFill>
              <w14:schemeClr w14:val="tx1"/>
            </w14:solidFill>
          </w14:textFill>
        </w:rPr>
        <w:t>2025年9月1日</w:t>
      </w:r>
      <w:r>
        <w:rPr>
          <w:rFonts w:hint="eastAsia"/>
          <w:color w:val="000000" w:themeColor="text1"/>
          <w:lang w:val="en-US" w:eastAsia="zh-CN"/>
          <w14:textFill>
            <w14:solidFill>
              <w14:schemeClr w14:val="tx1"/>
            </w14:solidFill>
          </w14:textFill>
        </w:rPr>
        <w:t>，编制组召开线下研讨会，对标准文稿进行讨论，形成了《装饰装修用软膜天花》征求意见稿初稿。</w:t>
      </w:r>
    </w:p>
    <w:p w14:paraId="23667D76">
      <w:pPr>
        <w:spacing w:line="360" w:lineRule="auto"/>
        <w:ind w:firstLine="480" w:firstLineChars="200"/>
        <w:jc w:val="both"/>
        <w:rPr>
          <w:rFonts w:eastAsiaTheme="minorEastAsia"/>
          <w:color w:val="000000" w:themeColor="text1"/>
          <w:szCs w:val="28"/>
          <w14:textFill>
            <w14:solidFill>
              <w14:schemeClr w14:val="tx1"/>
            </w14:solidFill>
          </w14:textFill>
        </w:rPr>
      </w:pPr>
      <w:r>
        <w:rPr>
          <w:rFonts w:hint="eastAsia" w:eastAsiaTheme="minorEastAsia"/>
          <w:color w:val="000000" w:themeColor="text1"/>
          <w:szCs w:val="28"/>
          <w14:textFill>
            <w14:solidFill>
              <w14:schemeClr w14:val="tx1"/>
            </w14:solidFill>
          </w14:textFill>
        </w:rPr>
        <w:t>202</w:t>
      </w:r>
      <w:r>
        <w:rPr>
          <w:rFonts w:hint="eastAsia" w:eastAsiaTheme="minorEastAsia"/>
          <w:color w:val="000000" w:themeColor="text1"/>
          <w:szCs w:val="28"/>
          <w:lang w:val="en-US" w:eastAsia="zh-CN"/>
          <w14:textFill>
            <w14:solidFill>
              <w14:schemeClr w14:val="tx1"/>
            </w14:solidFill>
          </w14:textFill>
        </w:rPr>
        <w:t>5</w:t>
      </w:r>
      <w:r>
        <w:rPr>
          <w:rFonts w:hint="eastAsia" w:eastAsiaTheme="minorEastAsia"/>
          <w:color w:val="000000" w:themeColor="text1"/>
          <w:szCs w:val="28"/>
          <w14:textFill>
            <w14:solidFill>
              <w14:schemeClr w14:val="tx1"/>
            </w14:solidFill>
          </w14:textFill>
        </w:rPr>
        <w:t>年</w:t>
      </w:r>
      <w:r>
        <w:rPr>
          <w:rFonts w:hint="eastAsia" w:eastAsiaTheme="minorEastAsia"/>
          <w:color w:val="000000" w:themeColor="text1"/>
          <w:szCs w:val="28"/>
          <w:lang w:val="en-US" w:eastAsia="zh-CN"/>
          <w14:textFill>
            <w14:solidFill>
              <w14:schemeClr w14:val="tx1"/>
            </w14:solidFill>
          </w14:textFill>
        </w:rPr>
        <w:t>9</w:t>
      </w:r>
      <w:r>
        <w:rPr>
          <w:rFonts w:hint="eastAsia" w:eastAsiaTheme="minorEastAsia"/>
          <w:color w:val="000000" w:themeColor="text1"/>
          <w:szCs w:val="28"/>
          <w14:textFill>
            <w14:solidFill>
              <w14:schemeClr w14:val="tx1"/>
            </w14:solidFill>
          </w14:textFill>
        </w:rPr>
        <w:t>月</w:t>
      </w:r>
      <w:r>
        <w:rPr>
          <w:rFonts w:hint="eastAsia" w:eastAsiaTheme="minorEastAsia"/>
          <w:color w:val="000000" w:themeColor="text1"/>
          <w:szCs w:val="28"/>
          <w:lang w:val="en-US" w:eastAsia="zh-CN"/>
          <w14:textFill>
            <w14:solidFill>
              <w14:schemeClr w14:val="tx1"/>
            </w14:solidFill>
          </w14:textFill>
        </w:rPr>
        <w:t>15日</w:t>
      </w:r>
      <w:r>
        <w:rPr>
          <w:rFonts w:hint="eastAsia" w:eastAsiaTheme="minorEastAsia"/>
          <w:color w:val="000000" w:themeColor="text1"/>
          <w:szCs w:val="28"/>
          <w14:textFill>
            <w14:solidFill>
              <w14:schemeClr w14:val="tx1"/>
            </w14:solidFill>
          </w14:textFill>
        </w:rPr>
        <w:t>，编制组依据定向征求意见对标准征求意见稿（初稿）进一步补充完善，形成了征求意见稿。</w:t>
      </w:r>
    </w:p>
    <w:p w14:paraId="5FC88377">
      <w:pPr>
        <w:spacing w:line="360" w:lineRule="auto"/>
        <w:ind w:firstLine="480" w:firstLineChars="200"/>
        <w:jc w:val="both"/>
        <w:rPr>
          <w:rFonts w:eastAsiaTheme="minorEastAsia"/>
          <w:color w:val="000000" w:themeColor="text1"/>
          <w:szCs w:val="28"/>
          <w14:textFill>
            <w14:solidFill>
              <w14:schemeClr w14:val="tx1"/>
            </w14:solidFill>
          </w14:textFill>
        </w:rPr>
      </w:pPr>
      <w:r>
        <w:rPr>
          <w:rFonts w:hint="eastAsia" w:eastAsiaTheme="minorEastAsia"/>
          <w:color w:val="000000" w:themeColor="text1"/>
          <w:szCs w:val="28"/>
          <w14:textFill>
            <w14:solidFill>
              <w14:schemeClr w14:val="tx1"/>
            </w14:solidFill>
          </w14:textFill>
        </w:rPr>
        <w:t>2</w:t>
      </w:r>
      <w:r>
        <w:rPr>
          <w:rFonts w:eastAsiaTheme="minorEastAsia"/>
          <w:color w:val="000000" w:themeColor="text1"/>
          <w:szCs w:val="28"/>
          <w14:textFill>
            <w14:solidFill>
              <w14:schemeClr w14:val="tx1"/>
            </w14:solidFill>
          </w14:textFill>
        </w:rPr>
        <w:t>02</w:t>
      </w:r>
      <w:r>
        <w:rPr>
          <w:rFonts w:hint="eastAsia" w:eastAsiaTheme="minorEastAsia"/>
          <w:color w:val="000000" w:themeColor="text1"/>
          <w:szCs w:val="28"/>
          <w:lang w:val="en-US" w:eastAsia="zh-CN"/>
          <w14:textFill>
            <w14:solidFill>
              <w14:schemeClr w14:val="tx1"/>
            </w14:solidFill>
          </w14:textFill>
        </w:rPr>
        <w:t>5</w:t>
      </w:r>
      <w:r>
        <w:rPr>
          <w:rFonts w:hint="eastAsia" w:eastAsiaTheme="minorEastAsia"/>
          <w:color w:val="000000" w:themeColor="text1"/>
          <w:szCs w:val="28"/>
          <w14:textFill>
            <w14:solidFill>
              <w14:schemeClr w14:val="tx1"/>
            </w14:solidFill>
          </w14:textFill>
        </w:rPr>
        <w:t>年</w:t>
      </w:r>
      <w:r>
        <w:rPr>
          <w:rFonts w:hint="eastAsia" w:eastAsiaTheme="minorEastAsia"/>
          <w:color w:val="000000" w:themeColor="text1"/>
          <w:szCs w:val="28"/>
          <w:lang w:val="en-US" w:eastAsia="zh-CN"/>
          <w14:textFill>
            <w14:solidFill>
              <w14:schemeClr w14:val="tx1"/>
            </w14:solidFill>
          </w14:textFill>
        </w:rPr>
        <w:t>9</w:t>
      </w:r>
      <w:r>
        <w:rPr>
          <w:rFonts w:hint="eastAsia" w:eastAsiaTheme="minorEastAsia"/>
          <w:color w:val="000000" w:themeColor="text1"/>
          <w:szCs w:val="28"/>
          <w14:textFill>
            <w14:solidFill>
              <w14:schemeClr w14:val="tx1"/>
            </w14:solidFill>
          </w14:textFill>
        </w:rPr>
        <w:t>月</w:t>
      </w:r>
      <w:r>
        <w:rPr>
          <w:rFonts w:hint="eastAsia" w:eastAsiaTheme="minorEastAsia"/>
          <w:color w:val="000000" w:themeColor="text1"/>
          <w:szCs w:val="28"/>
          <w:lang w:eastAsia="zh-CN"/>
          <w14:textFill>
            <w14:solidFill>
              <w14:schemeClr w14:val="tx1"/>
            </w14:solidFill>
          </w14:textFill>
        </w:rPr>
        <w:t>—</w:t>
      </w:r>
      <w:r>
        <w:rPr>
          <w:rFonts w:hint="eastAsia" w:eastAsiaTheme="minorEastAsia"/>
          <w:color w:val="000000" w:themeColor="text1"/>
          <w:szCs w:val="28"/>
          <w:lang w:val="en-US" w:eastAsia="zh-CN"/>
          <w14:textFill>
            <w14:solidFill>
              <w14:schemeClr w14:val="tx1"/>
            </w14:solidFill>
          </w14:textFill>
        </w:rPr>
        <w:t>10</w:t>
      </w:r>
      <w:r>
        <w:rPr>
          <w:rFonts w:hint="eastAsia" w:eastAsiaTheme="minorEastAsia"/>
          <w:color w:val="000000" w:themeColor="text1"/>
          <w:szCs w:val="28"/>
          <w14:textFill>
            <w14:solidFill>
              <w14:schemeClr w14:val="tx1"/>
            </w14:solidFill>
          </w14:textFill>
        </w:rPr>
        <w:t>月，在中国建筑材料联合会官网进行为期45天的公开征求意见。</w:t>
      </w:r>
    </w:p>
    <w:p w14:paraId="2D191A60">
      <w:pPr>
        <w:pStyle w:val="27"/>
        <w:spacing w:before="326" w:beforeLines="100" w:after="326" w:afterLines="100"/>
        <w:rPr>
          <w:rFonts w:ascii="Times New Roman"/>
          <w:color w:val="000000" w:themeColor="text1"/>
          <w:sz w:val="28"/>
          <w:szCs w:val="28"/>
          <w14:textFill>
            <w14:solidFill>
              <w14:schemeClr w14:val="tx1"/>
            </w14:solidFill>
          </w14:textFill>
        </w:rPr>
      </w:pPr>
      <w:bookmarkStart w:id="6" w:name="_Toc108389249"/>
      <w:r>
        <w:rPr>
          <w:rFonts w:ascii="Times New Roman"/>
          <w:color w:val="000000" w:themeColor="text1"/>
          <w:sz w:val="28"/>
          <w:szCs w:val="28"/>
          <w14:textFill>
            <w14:solidFill>
              <w14:schemeClr w14:val="tx1"/>
            </w14:solidFill>
          </w14:textFill>
        </w:rPr>
        <w:t>2 标准编制的原则和主要内容</w:t>
      </w:r>
      <w:bookmarkEnd w:id="6"/>
    </w:p>
    <w:p w14:paraId="3715AB58">
      <w:pPr>
        <w:pStyle w:val="28"/>
        <w:spacing w:before="163" w:beforeLines="50" w:after="163" w:afterLines="50" w:line="500" w:lineRule="exact"/>
        <w:rPr>
          <w:color w:val="000000" w:themeColor="text1"/>
          <w:sz w:val="24"/>
          <w:szCs w:val="24"/>
          <w14:textFill>
            <w14:solidFill>
              <w14:schemeClr w14:val="tx1"/>
            </w14:solidFill>
          </w14:textFill>
        </w:rPr>
      </w:pPr>
      <w:bookmarkStart w:id="7" w:name="_Toc108389250"/>
      <w:r>
        <w:rPr>
          <w:color w:val="000000" w:themeColor="text1"/>
          <w:sz w:val="24"/>
          <w:szCs w:val="24"/>
          <w14:textFill>
            <w14:solidFill>
              <w14:schemeClr w14:val="tx1"/>
            </w14:solidFill>
          </w14:textFill>
        </w:rPr>
        <w:t>2.1 标准制定的原则</w:t>
      </w:r>
      <w:bookmarkEnd w:id="7"/>
    </w:p>
    <w:p w14:paraId="1EED7F06">
      <w:pPr>
        <w:spacing w:line="360" w:lineRule="auto"/>
        <w:ind w:firstLine="480" w:firstLineChars="200"/>
        <w:jc w:val="both"/>
        <w:rPr>
          <w:rFonts w:hint="default" w:eastAsia="宋体"/>
          <w:color w:val="000000" w:themeColor="text1"/>
          <w:lang w:val="en-US" w:eastAsia="zh-CN"/>
          <w14:textFill>
            <w14:solidFill>
              <w14:schemeClr w14:val="tx1"/>
            </w14:solidFill>
          </w14:textFill>
        </w:rPr>
      </w:pPr>
      <w:r>
        <w:rPr>
          <w:rFonts w:hint="eastAsia"/>
          <w:color w:val="000000" w:themeColor="text1"/>
          <w14:textFill>
            <w14:solidFill>
              <w14:schemeClr w14:val="tx1"/>
            </w14:solidFill>
          </w14:textFill>
        </w:rPr>
        <w:t>本</w:t>
      </w:r>
      <w:r>
        <w:rPr>
          <w:color w:val="000000" w:themeColor="text1"/>
          <w14:textFill>
            <w14:solidFill>
              <w14:schemeClr w14:val="tx1"/>
            </w14:solidFill>
          </w14:textFill>
        </w:rPr>
        <w:t>标准</w:t>
      </w:r>
      <w:r>
        <w:rPr>
          <w:rFonts w:hint="eastAsia"/>
          <w:color w:val="000000" w:themeColor="text1"/>
          <w14:textFill>
            <w14:solidFill>
              <w14:schemeClr w14:val="tx1"/>
            </w14:solidFill>
          </w14:textFill>
        </w:rPr>
        <w:t>按GB</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T</w:t>
      </w:r>
      <w:r>
        <w:rPr>
          <w:color w:val="000000" w:themeColor="text1"/>
          <w14:textFill>
            <w14:solidFill>
              <w14:schemeClr w14:val="tx1"/>
            </w14:solidFill>
          </w14:textFill>
        </w:rPr>
        <w:t xml:space="preserve"> 1.1-2020</w:t>
      </w:r>
      <w:r>
        <w:rPr>
          <w:rFonts w:hint="eastAsia"/>
          <w:color w:val="000000" w:themeColor="text1"/>
          <w14:textFill>
            <w14:solidFill>
              <w14:schemeClr w14:val="tx1"/>
            </w14:solidFill>
          </w14:textFill>
        </w:rPr>
        <w:t>《标准化工作导则 第1部分：标准化文件的结构和起草规则》编制</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符合国家现行法律、法规</w:t>
      </w:r>
      <w:r>
        <w:rPr>
          <w:rFonts w:hint="eastAsia"/>
          <w:color w:val="000000" w:themeColor="text1"/>
          <w:lang w:val="en-US" w:eastAsia="zh-CN"/>
          <w14:textFill>
            <w14:solidFill>
              <w14:schemeClr w14:val="tx1"/>
            </w14:solidFill>
          </w14:textFill>
        </w:rPr>
        <w:t>和</w:t>
      </w:r>
      <w:r>
        <w:rPr>
          <w:rFonts w:hint="eastAsia"/>
          <w:color w:val="000000" w:themeColor="text1"/>
          <w14:textFill>
            <w14:solidFill>
              <w14:schemeClr w14:val="tx1"/>
            </w14:solidFill>
          </w14:textFill>
        </w:rPr>
        <w:t>政策文件要求。</w:t>
      </w:r>
      <w:r>
        <w:rPr>
          <w:rFonts w:hint="eastAsia"/>
          <w:color w:val="000000" w:themeColor="text1"/>
          <w:lang w:eastAsia="zh-CN"/>
          <w14:textFill>
            <w14:solidFill>
              <w14:schemeClr w14:val="tx1"/>
            </w14:solidFill>
          </w14:textFill>
        </w:rPr>
        <w:t>以</w:t>
      </w:r>
      <w:r>
        <w:rPr>
          <w:rFonts w:hint="eastAsia"/>
          <w:color w:val="000000" w:themeColor="text1"/>
          <w14:textFill>
            <w14:solidFill>
              <w14:schemeClr w14:val="tx1"/>
            </w14:solidFill>
          </w14:textFill>
        </w:rPr>
        <w:t>《关于促进制造业产品和服务质量提升的实施意见》《中共中央 国务院关于开展质量提升行动的指导意见》等政策</w:t>
      </w:r>
      <w:r>
        <w:rPr>
          <w:rFonts w:hint="eastAsia"/>
          <w:color w:val="000000" w:themeColor="text1"/>
          <w:lang w:val="en-US" w:eastAsia="zh-CN"/>
          <w14:textFill>
            <w14:solidFill>
              <w14:schemeClr w14:val="tx1"/>
            </w14:solidFill>
          </w14:textFill>
        </w:rPr>
        <w:t>和“好房子”建设</w:t>
      </w:r>
      <w:r>
        <w:rPr>
          <w:rFonts w:hint="eastAsia"/>
          <w:color w:val="000000" w:themeColor="text1"/>
          <w14:textFill>
            <w14:solidFill>
              <w14:schemeClr w14:val="tx1"/>
            </w14:solidFill>
          </w14:textFill>
        </w:rPr>
        <w:t>为</w:t>
      </w:r>
      <w:r>
        <w:rPr>
          <w:color w:val="000000" w:themeColor="text1"/>
          <w14:textFill>
            <w14:solidFill>
              <w14:schemeClr w14:val="tx1"/>
            </w14:solidFill>
          </w14:textFill>
        </w:rPr>
        <w:t>目标</w:t>
      </w:r>
      <w:r>
        <w:rPr>
          <w:rFonts w:hint="eastAsia"/>
          <w:color w:val="000000" w:themeColor="text1"/>
          <w14:textFill>
            <w14:solidFill>
              <w14:schemeClr w14:val="tx1"/>
            </w14:solidFill>
          </w14:textFill>
        </w:rPr>
        <w:t>制定。编制组</w:t>
      </w:r>
      <w:r>
        <w:rPr>
          <w:color w:val="000000" w:themeColor="text1"/>
          <w14:textFill>
            <w14:solidFill>
              <w14:schemeClr w14:val="tx1"/>
            </w14:solidFill>
          </w14:textFill>
        </w:rPr>
        <w:t>参</w:t>
      </w:r>
      <w:r>
        <w:rPr>
          <w:rFonts w:hint="eastAsia"/>
          <w:color w:val="000000" w:themeColor="text1"/>
          <w14:textFill>
            <w14:solidFill>
              <w14:schemeClr w14:val="tx1"/>
            </w14:solidFill>
          </w14:textFill>
        </w:rPr>
        <w:t>考</w:t>
      </w:r>
      <w:r>
        <w:rPr>
          <w:color w:val="000000" w:themeColor="text1"/>
          <w14:textFill>
            <w14:solidFill>
              <w14:schemeClr w14:val="tx1"/>
            </w14:solidFill>
          </w14:textFill>
        </w:rPr>
        <w:t>国内外相关标准，广泛调研国内</w:t>
      </w:r>
      <w:r>
        <w:rPr>
          <w:rFonts w:hint="eastAsia"/>
          <w:color w:val="000000" w:themeColor="text1"/>
          <w:lang w:val="en-US" w:eastAsia="zh-CN"/>
          <w14:textFill>
            <w14:solidFill>
              <w14:schemeClr w14:val="tx1"/>
            </w14:solidFill>
          </w14:textFill>
        </w:rPr>
        <w:t>软膜天花</w:t>
      </w:r>
      <w:r>
        <w:rPr>
          <w:color w:val="000000" w:themeColor="text1"/>
          <w14:textFill>
            <w14:solidFill>
              <w14:schemeClr w14:val="tx1"/>
            </w14:solidFill>
          </w14:textFill>
        </w:rPr>
        <w:t>行业</w:t>
      </w:r>
      <w:r>
        <w:rPr>
          <w:rFonts w:hint="eastAsia"/>
          <w:color w:val="000000" w:themeColor="text1"/>
          <w14:textFill>
            <w14:solidFill>
              <w14:schemeClr w14:val="tx1"/>
            </w14:solidFill>
          </w14:textFill>
        </w:rPr>
        <w:t>典型</w:t>
      </w:r>
      <w:r>
        <w:rPr>
          <w:color w:val="000000" w:themeColor="text1"/>
          <w14:textFill>
            <w14:solidFill>
              <w14:schemeClr w14:val="tx1"/>
            </w14:solidFill>
          </w14:textFill>
        </w:rPr>
        <w:t>企业实际</w:t>
      </w:r>
      <w:r>
        <w:rPr>
          <w:rFonts w:hint="eastAsia"/>
          <w:color w:val="000000" w:themeColor="text1"/>
          <w:lang w:val="en-US" w:eastAsia="zh-CN"/>
          <w14:textFill>
            <w14:solidFill>
              <w14:schemeClr w14:val="tx1"/>
            </w14:solidFill>
          </w14:textFill>
        </w:rPr>
        <w:t>产品</w:t>
      </w:r>
      <w:r>
        <w:rPr>
          <w:color w:val="000000" w:themeColor="text1"/>
          <w14:textFill>
            <w14:solidFill>
              <w14:schemeClr w14:val="tx1"/>
            </w14:solidFill>
          </w14:textFill>
        </w:rPr>
        <w:t>情况，综合</w:t>
      </w:r>
      <w:r>
        <w:rPr>
          <w:rFonts w:hint="eastAsia"/>
          <w:color w:val="000000" w:themeColor="text1"/>
          <w:lang w:val="en-US" w:eastAsia="zh-CN"/>
          <w14:textFill>
            <w14:solidFill>
              <w14:schemeClr w14:val="tx1"/>
            </w14:solidFill>
          </w14:textFill>
        </w:rPr>
        <w:t>天花吊顶的</w:t>
      </w:r>
      <w:r>
        <w:rPr>
          <w:color w:val="000000" w:themeColor="text1"/>
          <w14:textFill>
            <w14:solidFill>
              <w14:schemeClr w14:val="tx1"/>
            </w14:solidFill>
          </w14:textFill>
        </w:rPr>
        <w:t>发展水平与趋势，</w:t>
      </w:r>
      <w:r>
        <w:rPr>
          <w:rFonts w:hint="eastAsia"/>
          <w:color w:val="000000" w:themeColor="text1"/>
          <w14:textFill>
            <w14:solidFill>
              <w14:schemeClr w14:val="tx1"/>
            </w14:solidFill>
          </w14:textFill>
        </w:rPr>
        <w:t>从推动</w:t>
      </w:r>
      <w:r>
        <w:rPr>
          <w:color w:val="000000" w:themeColor="text1"/>
          <w14:textFill>
            <w14:solidFill>
              <w14:schemeClr w14:val="tx1"/>
            </w14:solidFill>
          </w14:textFill>
        </w:rPr>
        <w:t>行业高质量</w:t>
      </w:r>
      <w:r>
        <w:rPr>
          <w:rFonts w:hint="eastAsia"/>
          <w:color w:val="000000" w:themeColor="text1"/>
          <w14:textFill>
            <w14:solidFill>
              <w14:schemeClr w14:val="tx1"/>
            </w14:solidFill>
          </w14:textFill>
        </w:rPr>
        <w:t>发展的角度，</w:t>
      </w:r>
      <w:r>
        <w:rPr>
          <w:rFonts w:hint="eastAsia"/>
          <w:color w:val="000000" w:themeColor="text1"/>
          <w:lang w:val="en-US" w:eastAsia="zh-CN"/>
          <w14:textFill>
            <w14:solidFill>
              <w14:schemeClr w14:val="tx1"/>
            </w14:solidFill>
          </w14:textFill>
        </w:rPr>
        <w:t>提出装饰装修用软膜天花产品的相关技术要求。</w:t>
      </w:r>
    </w:p>
    <w:p w14:paraId="2C19A2BB">
      <w:pPr>
        <w:spacing w:line="360" w:lineRule="auto"/>
        <w:ind w:firstLine="480" w:firstLineChars="200"/>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标准的</w:t>
      </w:r>
      <w:r>
        <w:rPr>
          <w:rFonts w:hint="eastAsia"/>
          <w:color w:val="000000" w:themeColor="text1"/>
          <w14:textFill>
            <w14:solidFill>
              <w14:schemeClr w14:val="tx1"/>
            </w14:solidFill>
          </w14:textFill>
        </w:rPr>
        <w:t>编制过程中遵循以下原则：</w:t>
      </w:r>
    </w:p>
    <w:p w14:paraId="5A551832">
      <w:pPr>
        <w:numPr>
          <w:ilvl w:val="0"/>
          <w:numId w:val="7"/>
        </w:numPr>
        <w:spacing w:line="360" w:lineRule="auto"/>
        <w:ind w:left="0" w:leftChars="0" w:firstLine="403" w:firstLineChars="0"/>
        <w:rPr>
          <w:rFonts w:hint="eastAsia"/>
          <w:color w:val="000000" w:themeColor="text1"/>
          <w:lang w:val="en-US" w:eastAsia="zh-CN"/>
          <w14:textFill>
            <w14:solidFill>
              <w14:schemeClr w14:val="tx1"/>
            </w14:solidFill>
          </w14:textFill>
        </w:rPr>
      </w:pPr>
      <w:bookmarkStart w:id="8" w:name="_Toc108389251"/>
      <w:r>
        <w:rPr>
          <w:rFonts w:hint="eastAsia"/>
          <w:color w:val="000000" w:themeColor="text1"/>
          <w:lang w:val="en-US" w:eastAsia="zh-CN"/>
          <w14:textFill>
            <w14:solidFill>
              <w14:schemeClr w14:val="tx1"/>
            </w14:solidFill>
          </w14:textFill>
        </w:rPr>
        <w:t>符合性原则：严格按照 GB/T 1.1-2020《标准化工作导则 第 1 部分：标准化文件的结构和起草规则》编制，内容符合《中华人民共和国产品质量法》《中华人民共和国消费者权益保护法》等法律法规要求；</w:t>
      </w:r>
    </w:p>
    <w:p w14:paraId="24B152BB">
      <w:pPr>
        <w:numPr>
          <w:ilvl w:val="0"/>
          <w:numId w:val="7"/>
        </w:numPr>
        <w:spacing w:line="360" w:lineRule="auto"/>
        <w:ind w:left="0" w:leftChars="0" w:firstLine="403" w:firstLineChars="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科学性原则：性能指标（如拉伸强度、透光率偏差）参考国内外先进企业生产数据及检测机构验证结果，确保指标“既不低于行业平均水平，又不脱离实际生产能力”；</w:t>
      </w:r>
    </w:p>
    <w:p w14:paraId="41DD52D4">
      <w:pPr>
        <w:numPr>
          <w:ilvl w:val="0"/>
          <w:numId w:val="7"/>
        </w:numPr>
        <w:spacing w:line="360" w:lineRule="auto"/>
        <w:ind w:left="0" w:leftChars="0" w:firstLine="403" w:firstLineChars="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实用性原则：试验方法优先选用现行国标（如 GB/T 1040.3《塑料 拉伸性能的测定 第 3 部分：薄膜和薄片的试验条件》等），降低企业检测成本，同时明确 “可焊性” 等特色指标的测试流程，确保可操作性；</w:t>
      </w:r>
    </w:p>
    <w:p w14:paraId="34701BCE">
      <w:pPr>
        <w:numPr>
          <w:ilvl w:val="0"/>
          <w:numId w:val="7"/>
        </w:numPr>
        <w:spacing w:line="360" w:lineRule="auto"/>
        <w:ind w:left="0" w:leftChars="0" w:firstLine="403" w:firstLineChars="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协调性原则：与现有相关标准（如 GB 8624《建筑材料及制品燃烧性能分级》、GB 18585《室内装饰装修材料 壁纸中有害物质限量》）衔接，避免指标冲突；</w:t>
      </w:r>
    </w:p>
    <w:p w14:paraId="48D8DE98">
      <w:pPr>
        <w:numPr>
          <w:ilvl w:val="0"/>
          <w:numId w:val="7"/>
        </w:numPr>
        <w:spacing w:line="360" w:lineRule="auto"/>
        <w:ind w:left="0" w:leftChars="0" w:firstLine="403" w:firstLineChars="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前瞻性原则：覆盖 ETFE 等新型材质及“室内外通用” 场景，预留性能升级空间（如增加“抗菌性”等可选指标），适应行业未来 3-5 年发展需求。</w:t>
      </w:r>
    </w:p>
    <w:p w14:paraId="2300387B">
      <w:pPr>
        <w:pStyle w:val="28"/>
        <w:spacing w:before="163" w:beforeLines="50" w:after="163" w:afterLines="50" w:line="500" w:lineRule="exact"/>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2.2 标准的主要内容</w:t>
      </w:r>
      <w:bookmarkEnd w:id="8"/>
    </w:p>
    <w:p w14:paraId="5A83840C">
      <w:pPr>
        <w:numPr>
          <w:ilvl w:val="0"/>
          <w:numId w:val="0"/>
        </w:numPr>
        <w:spacing w:line="360" w:lineRule="auto"/>
        <w:rPr>
          <w:b/>
          <w:bCs/>
          <w:color w:val="000000" w:themeColor="text1"/>
          <w14:textFill>
            <w14:solidFill>
              <w14:schemeClr w14:val="tx1"/>
            </w14:solidFill>
          </w14:textFill>
        </w:rPr>
      </w:pPr>
      <w:bookmarkStart w:id="9" w:name="_Toc49883321"/>
      <w:bookmarkStart w:id="10" w:name="_Toc48292342"/>
      <w:r>
        <w:rPr>
          <w:rFonts w:hint="eastAsia"/>
          <w:b/>
          <w:bCs/>
          <w:color w:val="000000" w:themeColor="text1"/>
          <w:lang w:val="en-US" w:eastAsia="zh-CN"/>
          <w14:textFill>
            <w14:solidFill>
              <w14:schemeClr w14:val="tx1"/>
            </w14:solidFill>
          </w14:textFill>
        </w:rPr>
        <w:t xml:space="preserve">2.2.1  </w:t>
      </w:r>
      <w:r>
        <w:rPr>
          <w:b/>
          <w:bCs/>
          <w:color w:val="000000" w:themeColor="text1"/>
          <w14:textFill>
            <w14:solidFill>
              <w14:schemeClr w14:val="tx1"/>
            </w14:solidFill>
          </w14:textFill>
        </w:rPr>
        <w:t>标准的适用范围</w:t>
      </w:r>
      <w:bookmarkEnd w:id="9"/>
      <w:bookmarkEnd w:id="10"/>
    </w:p>
    <w:p w14:paraId="355CB5D5">
      <w:pPr>
        <w:spacing w:line="360" w:lineRule="auto"/>
        <w:ind w:firstLine="48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明确标准适用于 “室内外天花吊顶用聚氯乙烯（PVC）、乙烯 - 四氟乙烯共聚物（ETFE）等热塑性软膜</w:t>
      </w:r>
      <w:r>
        <w:rPr>
          <w:rFonts w:hint="eastAsia"/>
          <w:color w:val="000000" w:themeColor="text1"/>
          <w:lang w:eastAsia="zh-CN"/>
          <w14:textFill>
            <w14:solidFill>
              <w14:schemeClr w14:val="tx1"/>
            </w14:solidFill>
          </w14:textFill>
        </w:rPr>
        <w:t>，以</w:t>
      </w:r>
      <w:r>
        <w:rPr>
          <w:rFonts w:hint="eastAsia"/>
          <w:color w:val="000000" w:themeColor="text1"/>
          <w14:textFill>
            <w14:solidFill>
              <w14:schemeClr w14:val="tx1"/>
            </w14:solidFill>
          </w14:textFill>
        </w:rPr>
        <w:t>及玻璃纤维、聚酯纤维、聚芳纤维织物涂覆 PVC、聚四氟乙烯（PTFE）等织物软膜”，排除了用于建筑幕墙、充气膜结构等非天花场景的膜材，确保适用边界清晰。</w:t>
      </w:r>
    </w:p>
    <w:p w14:paraId="2153012C">
      <w:pPr>
        <w:numPr>
          <w:ilvl w:val="0"/>
          <w:numId w:val="0"/>
        </w:numPr>
        <w:spacing w:line="360" w:lineRule="auto"/>
        <w:rPr>
          <w:b/>
          <w:bCs/>
          <w:color w:val="000000" w:themeColor="text1"/>
          <w14:textFill>
            <w14:solidFill>
              <w14:schemeClr w14:val="tx1"/>
            </w14:solidFill>
          </w14:textFill>
        </w:rPr>
      </w:pPr>
      <w:bookmarkStart w:id="11" w:name="_Toc49883322"/>
      <w:bookmarkStart w:id="12" w:name="_Toc48292343"/>
      <w:r>
        <w:rPr>
          <w:rFonts w:hint="eastAsia"/>
          <w:b/>
          <w:bCs/>
          <w:color w:val="000000" w:themeColor="text1"/>
          <w:lang w:val="en-US" w:eastAsia="zh-CN"/>
          <w14:textFill>
            <w14:solidFill>
              <w14:schemeClr w14:val="tx1"/>
            </w14:solidFill>
          </w14:textFill>
        </w:rPr>
        <w:t xml:space="preserve">2.2.2  </w:t>
      </w:r>
      <w:r>
        <w:rPr>
          <w:rFonts w:hint="eastAsia"/>
          <w:b/>
          <w:bCs/>
          <w:color w:val="000000" w:themeColor="text1"/>
          <w14:textFill>
            <w14:solidFill>
              <w14:schemeClr w14:val="tx1"/>
            </w14:solidFill>
          </w14:textFill>
        </w:rPr>
        <w:t>规范性</w:t>
      </w:r>
      <w:r>
        <w:rPr>
          <w:b/>
          <w:bCs/>
          <w:color w:val="000000" w:themeColor="text1"/>
          <w14:textFill>
            <w14:solidFill>
              <w14:schemeClr w14:val="tx1"/>
            </w14:solidFill>
          </w14:textFill>
        </w:rPr>
        <w:t>引用文件</w:t>
      </w:r>
      <w:bookmarkEnd w:id="11"/>
      <w:bookmarkEnd w:id="12"/>
    </w:p>
    <w:p w14:paraId="45EA8645">
      <w:pPr>
        <w:spacing w:line="360" w:lineRule="auto"/>
        <w:ind w:firstLine="480" w:firstLineChars="2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引用 23 项现行国标及行标，分为三类：</w:t>
      </w:r>
    </w:p>
    <w:p w14:paraId="6816C48C">
      <w:pPr>
        <w:numPr>
          <w:ilvl w:val="0"/>
          <w:numId w:val="8"/>
        </w:numPr>
        <w:spacing w:line="360" w:lineRule="auto"/>
        <w:ind w:left="0" w:leftChars="0" w:firstLine="403" w:firstLineChars="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基础通用标准：如 GB/T 250《纺织品 色牢度试验 评定变色用灰色样卡》（用于色差评定）、GB/T 2918-2018《塑料 试样状态调节和试验的标准环境》（统一试验环境）；</w:t>
      </w:r>
    </w:p>
    <w:p w14:paraId="5FE5C2AC">
      <w:pPr>
        <w:numPr>
          <w:ilvl w:val="0"/>
          <w:numId w:val="8"/>
        </w:numPr>
        <w:spacing w:line="360" w:lineRule="auto"/>
        <w:ind w:left="0" w:leftChars="0" w:firstLine="403" w:firstLineChars="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性能测试标准：如 GB/T 1040.3（拉伸强度）、GB/T 2410《透明塑料透光率和雾度试验方法》（透光率）、QB/T 1130《塑料直角撕裂性能试验方法》（撕裂强度）；</w:t>
      </w:r>
    </w:p>
    <w:p w14:paraId="58AF9E38">
      <w:pPr>
        <w:numPr>
          <w:ilvl w:val="0"/>
          <w:numId w:val="8"/>
        </w:numPr>
        <w:spacing w:line="360" w:lineRule="auto"/>
        <w:ind w:left="0" w:leftChars="0" w:firstLine="403" w:firstLineChars="0"/>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安全环保标准：如 GB 8624—2012《建筑材料及制品燃烧性能分级》（燃烧性能）、GB 18585《室</w:t>
      </w:r>
      <w:r>
        <w:rPr>
          <w:rFonts w:hint="eastAsia"/>
          <w:color w:val="000000" w:themeColor="text1"/>
          <w14:textFill>
            <w14:solidFill>
              <w14:schemeClr w14:val="tx1"/>
            </w14:solidFill>
          </w14:textFill>
        </w:rPr>
        <w:t>内装饰装修材料 壁纸中有害物质限量》（有害物质）。</w:t>
      </w:r>
    </w:p>
    <w:p w14:paraId="4B77438C">
      <w:pPr>
        <w:pStyle w:val="5"/>
        <w:rPr>
          <w:b/>
          <w:bCs/>
          <w:color w:val="000000" w:themeColor="text1"/>
          <w14:textFill>
            <w14:solidFill>
              <w14:schemeClr w14:val="tx1"/>
            </w14:solidFill>
          </w14:textFill>
        </w:rPr>
      </w:pPr>
      <w:bookmarkStart w:id="13" w:name="_Toc49883323"/>
      <w:bookmarkStart w:id="14" w:name="_Toc48292344"/>
      <w:r>
        <w:rPr>
          <w:b/>
          <w:bCs/>
          <w:color w:val="000000" w:themeColor="text1"/>
          <w14:textFill>
            <w14:solidFill>
              <w14:schemeClr w14:val="tx1"/>
            </w14:solidFill>
          </w14:textFill>
        </w:rPr>
        <w:t>2.2.3  术语和定义</w:t>
      </w:r>
      <w:bookmarkEnd w:id="13"/>
      <w:bookmarkEnd w:id="14"/>
    </w:p>
    <w:p w14:paraId="07E08F5E">
      <w:pPr>
        <w:spacing w:line="360" w:lineRule="auto"/>
        <w:ind w:firstLine="480"/>
        <w:rPr>
          <w:rFonts w:hint="eastAsia" w:eastAsiaTheme="minorEastAsia"/>
          <w:color w:val="000000" w:themeColor="text1"/>
          <w:szCs w:val="28"/>
          <w14:textFill>
            <w14:solidFill>
              <w14:schemeClr w14:val="tx1"/>
            </w14:solidFill>
          </w14:textFill>
        </w:rPr>
      </w:pPr>
      <w:r>
        <w:rPr>
          <w:rFonts w:hint="eastAsia" w:eastAsiaTheme="minorEastAsia"/>
          <w:color w:val="000000" w:themeColor="text1"/>
          <w:szCs w:val="28"/>
          <w14:textFill>
            <w14:solidFill>
              <w14:schemeClr w14:val="tx1"/>
            </w14:solidFill>
          </w14:textFill>
        </w:rPr>
        <w:t>界定 4 个核心术语：</w:t>
      </w:r>
    </w:p>
    <w:p w14:paraId="37EE3F97">
      <w:pPr>
        <w:numPr>
          <w:ilvl w:val="0"/>
          <w:numId w:val="9"/>
        </w:numPr>
        <w:spacing w:line="360" w:lineRule="auto"/>
        <w:ind w:left="0" w:leftChars="0" w:firstLine="403" w:firstLineChars="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软膜天花：明确其 “柔性装饰膜材” 属性及材质范围（热塑性材料 + 织物涂覆材料），区别于刚性天花（如石膏板）；</w:t>
      </w:r>
    </w:p>
    <w:p w14:paraId="14322389">
      <w:pPr>
        <w:numPr>
          <w:ilvl w:val="0"/>
          <w:numId w:val="9"/>
        </w:numPr>
        <w:spacing w:line="360" w:lineRule="auto"/>
        <w:ind w:left="0" w:leftChars="0" w:firstLine="403" w:firstLineChars="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透光型（膜）：强调 “与照明配合产生均匀发光效果”，为透光率指标提供定义支撑；</w:t>
      </w:r>
    </w:p>
    <w:p w14:paraId="19008F1E">
      <w:pPr>
        <w:numPr>
          <w:ilvl w:val="0"/>
          <w:numId w:val="9"/>
        </w:numPr>
        <w:spacing w:line="360" w:lineRule="auto"/>
        <w:ind w:left="0" w:leftChars="0" w:firstLine="403" w:firstLineChars="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撕破强力：明确 “初始切口扩展所需的力”，统一测试评价对象；</w:t>
      </w:r>
    </w:p>
    <w:p w14:paraId="25D00B69">
      <w:pPr>
        <w:numPr>
          <w:ilvl w:val="0"/>
          <w:numId w:val="9"/>
        </w:numPr>
        <w:spacing w:line="360" w:lineRule="auto"/>
        <w:ind w:left="0" w:leftChars="0" w:firstLine="403" w:firstLineChars="0"/>
        <w:rPr>
          <w:rFonts w:hint="eastAsia" w:eastAsiaTheme="minorEastAsia"/>
          <w:color w:val="000000" w:themeColor="text1"/>
          <w:szCs w:val="28"/>
          <w14:textFill>
            <w14:solidFill>
              <w14:schemeClr w14:val="tx1"/>
            </w14:solidFill>
          </w14:textFill>
        </w:rPr>
      </w:pPr>
      <w:r>
        <w:rPr>
          <w:rFonts w:hint="eastAsia"/>
          <w:color w:val="000000" w:themeColor="text1"/>
          <w:lang w:val="en-US" w:eastAsia="zh-CN"/>
          <w14:textFill>
            <w14:solidFill>
              <w14:schemeClr w14:val="tx1"/>
            </w14:solidFill>
          </w14:textFill>
        </w:rPr>
        <w:t>可焊性：结合软膜天花拼接施工需求，定义为 “热合后拼接部位抵抗拉伸断裂的能</w:t>
      </w:r>
      <w:r>
        <w:rPr>
          <w:rFonts w:hint="eastAsia" w:eastAsiaTheme="minorEastAsia"/>
          <w:color w:val="000000" w:themeColor="text1"/>
          <w:szCs w:val="28"/>
          <w14:textFill>
            <w14:solidFill>
              <w14:schemeClr w14:val="tx1"/>
            </w14:solidFill>
          </w14:textFill>
        </w:rPr>
        <w:t>力”，以 “热合拉伸强度/力” 量化，解决行业对 “可焊性” 无统一认知的问题。</w:t>
      </w:r>
    </w:p>
    <w:p w14:paraId="6BB00BBF">
      <w:pPr>
        <w:pStyle w:val="5"/>
        <w:rPr>
          <w:color w:val="000000" w:themeColor="text1"/>
          <w14:textFill>
            <w14:solidFill>
              <w14:schemeClr w14:val="tx1"/>
            </w14:solidFill>
          </w14:textFill>
        </w:rPr>
      </w:pPr>
      <w:r>
        <w:rPr>
          <w:color w:val="000000" w:themeColor="text1"/>
          <w14:textFill>
            <w14:solidFill>
              <w14:schemeClr w14:val="tx1"/>
            </w14:solidFill>
          </w14:textFill>
        </w:rPr>
        <w:t>2.2.</w:t>
      </w:r>
      <w:r>
        <w:rPr>
          <w:rFonts w:hint="eastAsia"/>
          <w:color w:val="000000" w:themeColor="text1"/>
          <w:lang w:val="en-US" w:eastAsia="zh-CN"/>
          <w14:textFill>
            <w14:solidFill>
              <w14:schemeClr w14:val="tx1"/>
            </w14:solidFill>
          </w14:textFill>
        </w:rPr>
        <w:t>4</w:t>
      </w:r>
      <w:r>
        <w:rPr>
          <w:color w:val="000000" w:themeColor="text1"/>
          <w14:textFill>
            <w14:solidFill>
              <w14:schemeClr w14:val="tx1"/>
            </w14:solidFill>
          </w14:textFill>
        </w:rPr>
        <w:t xml:space="preserve">  </w:t>
      </w:r>
      <w:r>
        <w:rPr>
          <w:rFonts w:hint="eastAsia"/>
          <w:color w:val="000000" w:themeColor="text1"/>
          <w:lang w:val="en-US" w:eastAsia="zh-CN"/>
          <w14:textFill>
            <w14:solidFill>
              <w14:schemeClr w14:val="tx1"/>
            </w14:solidFill>
          </w14:textFill>
        </w:rPr>
        <w:t>分类和标记</w:t>
      </w:r>
    </w:p>
    <w:p w14:paraId="6040DC98">
      <w:pPr>
        <w:spacing w:line="360" w:lineRule="auto"/>
        <w:ind w:firstLine="480"/>
        <w:rPr>
          <w:rFonts w:hint="eastAsia" w:eastAsiaTheme="minorEastAsia"/>
          <w:color w:val="000000" w:themeColor="text1"/>
          <w:szCs w:val="28"/>
          <w14:textFill>
            <w14:solidFill>
              <w14:schemeClr w14:val="tx1"/>
            </w14:solidFill>
          </w14:textFill>
        </w:rPr>
      </w:pPr>
      <w:r>
        <w:rPr>
          <w:rFonts w:hint="eastAsia" w:eastAsiaTheme="minorEastAsia"/>
          <w:color w:val="000000" w:themeColor="text1"/>
          <w:szCs w:val="28"/>
          <w14:textFill>
            <w14:solidFill>
              <w14:schemeClr w14:val="tx1"/>
            </w14:solidFill>
          </w14:textFill>
        </w:rPr>
        <w:t xml:space="preserve">分类体系：从 “材质 - 透光效果 - 使用场合” </w:t>
      </w:r>
      <w:r>
        <w:rPr>
          <w:rFonts w:hint="eastAsia" w:eastAsiaTheme="minorEastAsia"/>
          <w:color w:val="000000" w:themeColor="text1"/>
          <w:szCs w:val="28"/>
          <w:lang w:eastAsia="zh-CN"/>
          <w14:textFill>
            <w14:solidFill>
              <w14:schemeClr w14:val="tx1"/>
            </w14:solidFill>
          </w14:textFill>
        </w:rPr>
        <w:t>三个</w:t>
      </w:r>
      <w:r>
        <w:rPr>
          <w:rFonts w:hint="eastAsia" w:eastAsiaTheme="minorEastAsia"/>
          <w:color w:val="000000" w:themeColor="text1"/>
          <w:szCs w:val="28"/>
          <w14:textFill>
            <w14:solidFill>
              <w14:schemeClr w14:val="tx1"/>
            </w14:solidFill>
          </w14:textFill>
        </w:rPr>
        <w:t>维度分类：</w:t>
      </w:r>
    </w:p>
    <w:p w14:paraId="35288017">
      <w:pPr>
        <w:numPr>
          <w:ilvl w:val="0"/>
          <w:numId w:val="10"/>
        </w:numPr>
        <w:spacing w:line="360" w:lineRule="auto"/>
        <w:ind w:left="0" w:leftChars="0" w:firstLine="403" w:firstLineChars="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材质分类：按基材 / 基布 + 涂层划分（如 PVC 软膜、ETFE 软膜、G/PTFE 玻璃纤维涂层织物软膜），并给出对应符号（如 PVC、ETFE、G/PTFE），便于标识；</w:t>
      </w:r>
    </w:p>
    <w:p w14:paraId="2DF331D8">
      <w:pPr>
        <w:numPr>
          <w:ilvl w:val="0"/>
          <w:numId w:val="10"/>
        </w:numPr>
        <w:spacing w:line="360" w:lineRule="auto"/>
        <w:ind w:left="0" w:leftChars="0" w:firstLine="403" w:firstLineChars="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透光效果：分透光型（T）、不透光型（B），满足不同照明需求；</w:t>
      </w:r>
    </w:p>
    <w:p w14:paraId="045C8F6D">
      <w:pPr>
        <w:numPr>
          <w:ilvl w:val="0"/>
          <w:numId w:val="10"/>
        </w:numPr>
        <w:spacing w:line="360" w:lineRule="auto"/>
        <w:ind w:left="0" w:leftChars="0" w:firstLine="403" w:firstLineChars="0"/>
        <w:rPr>
          <w:rFonts w:hint="eastAsia" w:eastAsiaTheme="minorEastAsia"/>
          <w:color w:val="000000" w:themeColor="text1"/>
          <w:szCs w:val="28"/>
          <w14:textFill>
            <w14:solidFill>
              <w14:schemeClr w14:val="tx1"/>
            </w14:solidFill>
          </w14:textFill>
        </w:rPr>
      </w:pPr>
      <w:r>
        <w:rPr>
          <w:rFonts w:hint="eastAsia" w:eastAsiaTheme="minorEastAsia"/>
          <w:color w:val="000000" w:themeColor="text1"/>
          <w:szCs w:val="28"/>
          <w14:textFill>
            <w14:solidFill>
              <w14:schemeClr w14:val="tx1"/>
            </w14:solidFill>
          </w14:textFill>
        </w:rPr>
        <w:t>使用场合：分室内型（N）、室外型（W），为后续性能指标（如耐光老化）差异化奠定基础。</w:t>
      </w:r>
    </w:p>
    <w:p w14:paraId="659D6AFD">
      <w:pPr>
        <w:spacing w:line="360" w:lineRule="auto"/>
        <w:ind w:firstLine="480"/>
        <w:rPr>
          <w:rFonts w:hint="eastAsia" w:eastAsiaTheme="minorEastAsia"/>
          <w:color w:val="000000" w:themeColor="text1"/>
          <w:szCs w:val="28"/>
          <w14:textFill>
            <w14:solidFill>
              <w14:schemeClr w14:val="tx1"/>
            </w14:solidFill>
          </w14:textFill>
        </w:rPr>
      </w:pPr>
      <w:r>
        <w:rPr>
          <w:rFonts w:hint="eastAsia" w:eastAsiaTheme="minorEastAsia"/>
          <w:color w:val="000000" w:themeColor="text1"/>
          <w:szCs w:val="28"/>
          <w14:textFill>
            <w14:solidFill>
              <w14:schemeClr w14:val="tx1"/>
            </w14:solidFill>
          </w14:textFill>
        </w:rPr>
        <w:t>标记规则：规定标记顺序为 “产品名称 + 主要材质 + 功能效果 + 使用场合 + 规格（宽度 × 厚度）+ 标准编号”，示例：“软膜天花 PVC-T-N-1500×0.25 JC/T XXX-20XX”，确保产品信息清晰可追溯。</w:t>
      </w:r>
    </w:p>
    <w:p w14:paraId="01FEE698">
      <w:pPr>
        <w:spacing w:line="360" w:lineRule="auto"/>
        <w:ind w:firstLine="480"/>
        <w:rPr>
          <w:rFonts w:hint="eastAsia" w:eastAsiaTheme="minorEastAsia"/>
          <w:color w:val="000000" w:themeColor="text1"/>
          <w:szCs w:val="28"/>
          <w14:textFill>
            <w14:solidFill>
              <w14:schemeClr w14:val="tx1"/>
            </w14:solidFill>
          </w14:textFill>
        </w:rPr>
      </w:pPr>
    </w:p>
    <w:p w14:paraId="67D55C53">
      <w:pPr>
        <w:pStyle w:val="5"/>
        <w:rPr>
          <w:color w:val="000000" w:themeColor="text1"/>
          <w14:textFill>
            <w14:solidFill>
              <w14:schemeClr w14:val="tx1"/>
            </w14:solidFill>
          </w14:textFill>
        </w:rPr>
      </w:pPr>
      <w:bookmarkStart w:id="15" w:name="_Toc49883324"/>
      <w:bookmarkStart w:id="16" w:name="_Toc48292345"/>
      <w:r>
        <w:rPr>
          <w:color w:val="000000" w:themeColor="text1"/>
          <w14:textFill>
            <w14:solidFill>
              <w14:schemeClr w14:val="tx1"/>
            </w14:solidFill>
          </w14:textFill>
        </w:rPr>
        <w:t>2.2.</w:t>
      </w:r>
      <w:r>
        <w:rPr>
          <w:rFonts w:hint="eastAsia"/>
          <w:color w:val="000000" w:themeColor="text1"/>
          <w:lang w:val="en-US" w:eastAsia="zh-CN"/>
          <w14:textFill>
            <w14:solidFill>
              <w14:schemeClr w14:val="tx1"/>
            </w14:solidFill>
          </w14:textFill>
        </w:rPr>
        <w:t>5</w:t>
      </w:r>
      <w:r>
        <w:rPr>
          <w:color w:val="000000" w:themeColor="text1"/>
          <w14:textFill>
            <w14:solidFill>
              <w14:schemeClr w14:val="tx1"/>
            </w14:solidFill>
          </w14:textFill>
        </w:rPr>
        <w:t xml:space="preserve">  </w:t>
      </w:r>
      <w:bookmarkEnd w:id="15"/>
      <w:bookmarkEnd w:id="16"/>
      <w:r>
        <w:rPr>
          <w:rFonts w:hint="eastAsia"/>
          <w:color w:val="000000" w:themeColor="text1"/>
          <w14:textFill>
            <w14:solidFill>
              <w14:schemeClr w14:val="tx1"/>
            </w14:solidFill>
          </w14:textFill>
        </w:rPr>
        <w:t>要求</w:t>
      </w:r>
    </w:p>
    <w:p w14:paraId="37D4B274">
      <w:pPr>
        <w:numPr>
          <w:ilvl w:val="0"/>
          <w:numId w:val="11"/>
        </w:numPr>
        <w:spacing w:line="360" w:lineRule="auto"/>
        <w:ind w:left="0" w:leftChars="0" w:firstLine="403" w:firstLineChars="0"/>
        <w:rPr>
          <w:rFonts w:hint="default" w:eastAsiaTheme="minorEastAsia"/>
          <w:b/>
          <w:bCs/>
          <w:color w:val="000000" w:themeColor="text1"/>
          <w:szCs w:val="28"/>
          <w:lang w:val="en-US" w:eastAsia="zh-CN"/>
          <w14:textFill>
            <w14:solidFill>
              <w14:schemeClr w14:val="tx1"/>
            </w14:solidFill>
          </w14:textFill>
        </w:rPr>
      </w:pPr>
      <w:r>
        <w:rPr>
          <w:rFonts w:hint="eastAsia" w:eastAsiaTheme="minorEastAsia"/>
          <w:b/>
          <w:bCs/>
          <w:color w:val="000000" w:themeColor="text1"/>
          <w:szCs w:val="28"/>
          <w:lang w:val="en-US" w:eastAsia="zh-CN"/>
          <w14:textFill>
            <w14:solidFill>
              <w14:schemeClr w14:val="tx1"/>
            </w14:solidFill>
          </w14:textFill>
        </w:rPr>
        <w:t>技术要求分类</w:t>
      </w:r>
    </w:p>
    <w:p w14:paraId="43562812">
      <w:pPr>
        <w:spacing w:line="360" w:lineRule="auto"/>
        <w:ind w:firstLine="480"/>
        <w:jc w:val="both"/>
        <w:rPr>
          <w:rFonts w:hint="eastAsia" w:eastAsiaTheme="minorEastAsia"/>
          <w:color w:val="000000" w:themeColor="text1"/>
          <w:szCs w:val="28"/>
          <w14:textFill>
            <w14:solidFill>
              <w14:schemeClr w14:val="tx1"/>
            </w14:solidFill>
          </w14:textFill>
        </w:rPr>
      </w:pPr>
      <w:r>
        <w:rPr>
          <w:rFonts w:hint="eastAsia" w:eastAsiaTheme="minorEastAsia"/>
          <w:color w:val="000000" w:themeColor="text1"/>
          <w:szCs w:val="28"/>
          <w:lang w:val="en-US" w:eastAsia="zh-CN"/>
          <w14:textFill>
            <w14:solidFill>
              <w14:schemeClr w14:val="tx1"/>
            </w14:solidFill>
          </w14:textFill>
        </w:rPr>
        <w:t>对于软膜天花所提</w:t>
      </w:r>
      <w:r>
        <w:rPr>
          <w:rFonts w:hint="eastAsia" w:eastAsiaTheme="minorEastAsia"/>
          <w:color w:val="000000" w:themeColor="text1"/>
          <w:szCs w:val="28"/>
          <w14:textFill>
            <w14:solidFill>
              <w14:schemeClr w14:val="tx1"/>
            </w14:solidFill>
          </w14:textFill>
        </w:rPr>
        <w:t>核心</w:t>
      </w:r>
      <w:r>
        <w:rPr>
          <w:rFonts w:hint="eastAsia" w:eastAsiaTheme="minorEastAsia"/>
          <w:color w:val="000000" w:themeColor="text1"/>
          <w:szCs w:val="28"/>
          <w:lang w:val="en-US" w:eastAsia="zh-CN"/>
          <w14:textFill>
            <w14:solidFill>
              <w14:schemeClr w14:val="tx1"/>
            </w14:solidFill>
          </w14:textFill>
        </w:rPr>
        <w:t>技术要求的</w:t>
      </w:r>
      <w:r>
        <w:rPr>
          <w:rFonts w:hint="eastAsia" w:eastAsiaTheme="minorEastAsia"/>
          <w:color w:val="000000" w:themeColor="text1"/>
          <w:szCs w:val="28"/>
          <w14:textFill>
            <w14:solidFill>
              <w14:schemeClr w14:val="tx1"/>
            </w14:solidFill>
          </w14:textFill>
        </w:rPr>
        <w:t>内容，分为 “基础要求”“理化性能”“安全环保要求” 三类。</w:t>
      </w:r>
    </w:p>
    <w:p w14:paraId="29697D7D">
      <w:pPr>
        <w:numPr>
          <w:ilvl w:val="0"/>
          <w:numId w:val="12"/>
        </w:numPr>
        <w:spacing w:line="360" w:lineRule="auto"/>
        <w:ind w:left="0" w:leftChars="0" w:firstLine="403" w:firstLineChars="0"/>
        <w:rPr>
          <w:rFonts w:hint="eastAsia" w:eastAsiaTheme="minorEastAsia"/>
          <w:b/>
          <w:bCs/>
          <w:color w:val="000000" w:themeColor="text1"/>
          <w:szCs w:val="28"/>
          <w14:textFill>
            <w14:solidFill>
              <w14:schemeClr w14:val="tx1"/>
            </w14:solidFill>
          </w14:textFill>
        </w:rPr>
      </w:pPr>
      <w:r>
        <w:rPr>
          <w:rFonts w:hint="eastAsia" w:eastAsiaTheme="minorEastAsia"/>
          <w:b/>
          <w:bCs/>
          <w:color w:val="000000" w:themeColor="text1"/>
          <w:szCs w:val="28"/>
          <w14:textFill>
            <w14:solidFill>
              <w14:schemeClr w14:val="tx1"/>
            </w14:solidFill>
          </w14:textFill>
        </w:rPr>
        <w:t>基础要求</w:t>
      </w:r>
    </w:p>
    <w:p w14:paraId="0BC363F6">
      <w:pPr>
        <w:numPr>
          <w:ilvl w:val="0"/>
          <w:numId w:val="13"/>
        </w:numPr>
        <w:spacing w:line="360" w:lineRule="auto"/>
        <w:ind w:left="425" w:leftChars="0" w:hanging="425" w:firstLineChars="0"/>
        <w:jc w:val="both"/>
        <w:rPr>
          <w:rFonts w:hint="eastAsia" w:eastAsiaTheme="minorEastAsia"/>
          <w:color w:val="000000" w:themeColor="text1"/>
          <w:szCs w:val="28"/>
          <w14:textFill>
            <w14:solidFill>
              <w14:schemeClr w14:val="tx1"/>
            </w14:solidFill>
          </w14:textFill>
        </w:rPr>
      </w:pPr>
      <w:r>
        <w:rPr>
          <w:rFonts w:hint="eastAsia" w:eastAsiaTheme="minorEastAsia"/>
          <w:color w:val="000000" w:themeColor="text1"/>
          <w:szCs w:val="28"/>
          <w14:textFill>
            <w14:solidFill>
              <w14:schemeClr w14:val="tx1"/>
            </w14:solidFill>
          </w14:textFill>
        </w:rPr>
        <w:t>外观质量：规定表面无破洞、油污、涂层开裂等缺陷，色差不低于 4 级（同卷）、3-4级（同批），斜纬 / 弓纬偏差≤1.0%（涂层织物）、≤3.0%（网格膜），</w:t>
      </w:r>
      <w:r>
        <w:rPr>
          <w:rFonts w:hint="eastAsia" w:eastAsiaTheme="minorEastAsia"/>
          <w:color w:val="000000" w:themeColor="text1"/>
          <w:szCs w:val="28"/>
          <w:lang w:eastAsia="zh-CN"/>
          <w14:textFill>
            <w14:solidFill>
              <w14:schemeClr w14:val="tx1"/>
            </w14:solidFill>
          </w14:textFill>
        </w:rPr>
        <w:t>以保障</w:t>
      </w:r>
      <w:r>
        <w:rPr>
          <w:rFonts w:hint="eastAsia" w:eastAsiaTheme="minorEastAsia"/>
          <w:color w:val="000000" w:themeColor="text1"/>
          <w:szCs w:val="28"/>
          <w14:textFill>
            <w14:solidFill>
              <w14:schemeClr w14:val="tx1"/>
            </w14:solidFill>
          </w14:textFill>
        </w:rPr>
        <w:t>视觉效果；</w:t>
      </w:r>
    </w:p>
    <w:p w14:paraId="7DBD495D">
      <w:pPr>
        <w:numPr>
          <w:ilvl w:val="0"/>
          <w:numId w:val="13"/>
        </w:numPr>
        <w:spacing w:line="360" w:lineRule="auto"/>
        <w:ind w:left="425" w:leftChars="0" w:hanging="425" w:firstLineChars="0"/>
        <w:jc w:val="both"/>
        <w:rPr>
          <w:rFonts w:hint="eastAsia" w:eastAsiaTheme="minorEastAsia"/>
          <w:color w:val="000000" w:themeColor="text1"/>
          <w:szCs w:val="28"/>
          <w14:textFill>
            <w14:solidFill>
              <w14:schemeClr w14:val="tx1"/>
            </w14:solidFill>
          </w14:textFill>
        </w:rPr>
      </w:pPr>
      <w:r>
        <w:rPr>
          <w:rFonts w:hint="eastAsia" w:eastAsiaTheme="minorEastAsia"/>
          <w:color w:val="000000" w:themeColor="text1"/>
          <w:szCs w:val="28"/>
          <w14:textFill>
            <w14:solidFill>
              <w14:schemeClr w14:val="tx1"/>
            </w14:solidFill>
          </w14:textFill>
        </w:rPr>
        <w:t>尺寸偏差：厚度偏差 ±10%、幅宽偏差 ±3mm、单位面积质量偏差 ±5%，确保产品一致性。</w:t>
      </w:r>
    </w:p>
    <w:p w14:paraId="6645A27B">
      <w:pPr>
        <w:numPr>
          <w:ilvl w:val="0"/>
          <w:numId w:val="12"/>
        </w:numPr>
        <w:spacing w:line="360" w:lineRule="auto"/>
        <w:ind w:left="0" w:leftChars="0" w:firstLine="403" w:firstLineChars="0"/>
        <w:rPr>
          <w:rFonts w:hint="eastAsia" w:eastAsiaTheme="minorEastAsia"/>
          <w:b/>
          <w:bCs/>
          <w:color w:val="000000" w:themeColor="text1"/>
          <w:szCs w:val="28"/>
          <w:lang w:val="en-US" w:eastAsia="zh-CN"/>
          <w14:textFill>
            <w14:solidFill>
              <w14:schemeClr w14:val="tx1"/>
            </w14:solidFill>
          </w14:textFill>
        </w:rPr>
      </w:pPr>
      <w:r>
        <w:rPr>
          <w:rFonts w:hint="eastAsia" w:eastAsiaTheme="minorEastAsia"/>
          <w:b/>
          <w:bCs/>
          <w:color w:val="000000" w:themeColor="text1"/>
          <w:szCs w:val="28"/>
          <w:lang w:val="en-US" w:eastAsia="zh-CN"/>
          <w14:textFill>
            <w14:solidFill>
              <w14:schemeClr w14:val="tx1"/>
            </w14:solidFill>
          </w14:textFill>
        </w:rPr>
        <w:t>理化性能</w:t>
      </w:r>
    </w:p>
    <w:p w14:paraId="75885B81">
      <w:pPr>
        <w:numPr>
          <w:ilvl w:val="0"/>
          <w:numId w:val="14"/>
        </w:numPr>
        <w:spacing w:line="360" w:lineRule="auto"/>
        <w:ind w:left="425" w:leftChars="0" w:hanging="425" w:firstLineChars="0"/>
        <w:jc w:val="both"/>
        <w:rPr>
          <w:rFonts w:hint="eastAsia" w:eastAsiaTheme="minorEastAsia"/>
          <w:color w:val="000000" w:themeColor="text1"/>
          <w:szCs w:val="28"/>
          <w:lang w:val="en-US" w:eastAsia="zh-CN"/>
          <w14:textFill>
            <w14:solidFill>
              <w14:schemeClr w14:val="tx1"/>
            </w14:solidFill>
          </w14:textFill>
        </w:rPr>
      </w:pPr>
      <w:r>
        <w:rPr>
          <w:rFonts w:hint="eastAsia" w:eastAsiaTheme="minorEastAsia"/>
          <w:color w:val="000000" w:themeColor="text1"/>
          <w:szCs w:val="28"/>
          <w:lang w:val="en-US" w:eastAsia="zh-CN"/>
          <w14:textFill>
            <w14:solidFill>
              <w14:schemeClr w14:val="tx1"/>
            </w14:solidFill>
          </w14:textFill>
        </w:rPr>
        <w:t>按材质差异化要求：如 PVC 软膜室内型拉伸强度≥15MPa，ETFE 软膜拉伸强度≥40MPa，聚酯纤维涂层织物软膜室外型经向抗拉强度≥3200N/50mm，匹配不同材质的应用场景；</w:t>
      </w:r>
    </w:p>
    <w:p w14:paraId="5D40C006">
      <w:pPr>
        <w:numPr>
          <w:ilvl w:val="0"/>
          <w:numId w:val="14"/>
        </w:numPr>
        <w:spacing w:line="360" w:lineRule="auto"/>
        <w:ind w:left="425" w:leftChars="0" w:hanging="425" w:firstLineChars="0"/>
        <w:jc w:val="both"/>
        <w:rPr>
          <w:rFonts w:hint="default" w:eastAsiaTheme="minorEastAsia"/>
          <w:color w:val="000000" w:themeColor="text1"/>
          <w:szCs w:val="28"/>
          <w:lang w:val="en-US" w:eastAsia="zh-CN"/>
          <w14:textFill>
            <w14:solidFill>
              <w14:schemeClr w14:val="tx1"/>
            </w14:solidFill>
          </w14:textFill>
        </w:rPr>
      </w:pPr>
      <w:r>
        <w:rPr>
          <w:rFonts w:hint="eastAsia" w:eastAsiaTheme="minorEastAsia"/>
          <w:color w:val="000000" w:themeColor="text1"/>
          <w:szCs w:val="28"/>
          <w:lang w:val="en-US" w:eastAsia="zh-CN"/>
          <w14:textFill>
            <w14:solidFill>
              <w14:schemeClr w14:val="tx1"/>
            </w14:solidFill>
          </w14:textFill>
        </w:rPr>
        <w:t>共性关键指标：可焊性（热合拉伸强度/力不低于母材的80%）、尺寸变化率（PVC 软膜≤5%），ETFE软膜≤2%）、防霉等级0级，确保施工可靠性与长期使用稳定性。</w:t>
      </w:r>
    </w:p>
    <w:p w14:paraId="526B8178">
      <w:pPr>
        <w:numPr>
          <w:ilvl w:val="0"/>
          <w:numId w:val="12"/>
        </w:numPr>
        <w:spacing w:line="360" w:lineRule="auto"/>
        <w:ind w:left="0" w:leftChars="0" w:firstLine="403" w:firstLineChars="0"/>
        <w:rPr>
          <w:rFonts w:hint="default" w:eastAsiaTheme="minorEastAsia"/>
          <w:b/>
          <w:bCs/>
          <w:color w:val="000000" w:themeColor="text1"/>
          <w:szCs w:val="28"/>
          <w:lang w:val="en-US" w:eastAsia="zh-CN"/>
          <w14:textFill>
            <w14:solidFill>
              <w14:schemeClr w14:val="tx1"/>
            </w14:solidFill>
          </w14:textFill>
        </w:rPr>
      </w:pPr>
      <w:r>
        <w:rPr>
          <w:rFonts w:hint="default" w:eastAsiaTheme="minorEastAsia"/>
          <w:b/>
          <w:bCs/>
          <w:color w:val="000000" w:themeColor="text1"/>
          <w:szCs w:val="28"/>
          <w:lang w:val="en-US" w:eastAsia="zh-CN"/>
          <w14:textFill>
            <w14:solidFill>
              <w14:schemeClr w14:val="tx1"/>
            </w14:solidFill>
          </w14:textFill>
        </w:rPr>
        <w:t>安全环保要求</w:t>
      </w:r>
    </w:p>
    <w:p w14:paraId="3E86B4A2">
      <w:pPr>
        <w:numPr>
          <w:ilvl w:val="0"/>
          <w:numId w:val="15"/>
        </w:numPr>
        <w:spacing w:line="360" w:lineRule="auto"/>
        <w:ind w:left="425" w:leftChars="0" w:hanging="425" w:firstLineChars="0"/>
        <w:jc w:val="both"/>
        <w:rPr>
          <w:rFonts w:hint="default" w:eastAsiaTheme="minorEastAsia"/>
          <w:color w:val="000000" w:themeColor="text1"/>
          <w:szCs w:val="28"/>
          <w:lang w:val="en-US" w:eastAsia="zh-CN"/>
          <w14:textFill>
            <w14:solidFill>
              <w14:schemeClr w14:val="tx1"/>
            </w14:solidFill>
          </w14:textFill>
        </w:rPr>
      </w:pPr>
      <w:r>
        <w:rPr>
          <w:rFonts w:hint="default" w:eastAsiaTheme="minorEastAsia"/>
          <w:color w:val="000000" w:themeColor="text1"/>
          <w:szCs w:val="28"/>
          <w:lang w:val="en-US" w:eastAsia="zh-CN"/>
          <w14:textFill>
            <w14:solidFill>
              <w14:schemeClr w14:val="tx1"/>
            </w14:solidFill>
          </w14:textFill>
        </w:rPr>
        <w:t>燃烧性能：室外型不低于 GB 8624 B1 (B) 级，室内玻璃纤维织物软膜不低于 A (A2) 级，其他室内型不低于 B1 (B) 级，符合消防规范；</w:t>
      </w:r>
    </w:p>
    <w:p w14:paraId="0AE78F99">
      <w:pPr>
        <w:numPr>
          <w:ilvl w:val="0"/>
          <w:numId w:val="15"/>
        </w:numPr>
        <w:spacing w:line="360" w:lineRule="auto"/>
        <w:ind w:left="425" w:leftChars="0" w:hanging="425" w:firstLineChars="0"/>
        <w:jc w:val="both"/>
        <w:rPr>
          <w:rFonts w:hint="default" w:eastAsiaTheme="minorEastAsia"/>
          <w:color w:val="000000" w:themeColor="text1"/>
          <w:szCs w:val="28"/>
          <w:lang w:val="en-US" w:eastAsia="zh-CN"/>
          <w14:textFill>
            <w14:solidFill>
              <w14:schemeClr w14:val="tx1"/>
            </w14:solidFill>
          </w14:textFill>
        </w:rPr>
      </w:pPr>
      <w:r>
        <w:rPr>
          <w:rFonts w:hint="default" w:eastAsiaTheme="minorEastAsia"/>
          <w:color w:val="000000" w:themeColor="text1"/>
          <w:szCs w:val="28"/>
          <w:lang w:val="en-US" w:eastAsia="zh-CN"/>
          <w14:textFill>
            <w14:solidFill>
              <w14:schemeClr w14:val="tx1"/>
            </w14:solidFill>
          </w14:textFill>
        </w:rPr>
        <w:t>有害物质限量：聚氯乙烯单体≤5mg/kg，6 种邻苯二甲酸酯不得检出，TVOC≤0.60mg/m³，与 GB 18585 等环保标准衔接；</w:t>
      </w:r>
    </w:p>
    <w:p w14:paraId="1307CAF2">
      <w:pPr>
        <w:numPr>
          <w:ilvl w:val="0"/>
          <w:numId w:val="15"/>
        </w:numPr>
        <w:spacing w:line="360" w:lineRule="auto"/>
        <w:ind w:left="425" w:leftChars="0" w:hanging="425" w:firstLineChars="0"/>
        <w:jc w:val="both"/>
        <w:rPr>
          <w:rFonts w:hint="default" w:eastAsiaTheme="minorEastAsia"/>
          <w:color w:val="000000" w:themeColor="text1"/>
          <w:szCs w:val="28"/>
          <w:lang w:val="en-US" w:eastAsia="zh-CN"/>
          <w14:textFill>
            <w14:solidFill>
              <w14:schemeClr w14:val="tx1"/>
            </w14:solidFill>
          </w14:textFill>
        </w:rPr>
      </w:pPr>
      <w:r>
        <w:rPr>
          <w:rFonts w:hint="default" w:eastAsiaTheme="minorEastAsia"/>
          <w:color w:val="000000" w:themeColor="text1"/>
          <w:szCs w:val="28"/>
          <w:lang w:val="en-US" w:eastAsia="zh-CN"/>
          <w14:textFill>
            <w14:solidFill>
              <w14:schemeClr w14:val="tx1"/>
            </w14:solidFill>
          </w14:textFill>
        </w:rPr>
        <w:t>气味强度：室内型不低于 1 级，避免异味影响室内环境。</w:t>
      </w:r>
    </w:p>
    <w:p w14:paraId="2FEB11CD">
      <w:pPr>
        <w:numPr>
          <w:ilvl w:val="0"/>
          <w:numId w:val="11"/>
        </w:numPr>
        <w:spacing w:line="360" w:lineRule="auto"/>
        <w:ind w:left="0" w:leftChars="0" w:firstLine="403" w:firstLineChars="0"/>
        <w:rPr>
          <w:rFonts w:hint="default" w:eastAsiaTheme="minorEastAsia"/>
          <w:b/>
          <w:bCs/>
          <w:color w:val="000000" w:themeColor="text1"/>
          <w:szCs w:val="28"/>
          <w:lang w:val="en-US" w:eastAsia="zh-CN"/>
          <w14:textFill>
            <w14:solidFill>
              <w14:schemeClr w14:val="tx1"/>
            </w14:solidFill>
          </w14:textFill>
        </w:rPr>
      </w:pPr>
      <w:r>
        <w:rPr>
          <w:rFonts w:hint="eastAsia" w:eastAsiaTheme="minorEastAsia"/>
          <w:b/>
          <w:bCs/>
          <w:color w:val="000000" w:themeColor="text1"/>
          <w:szCs w:val="28"/>
          <w:lang w:val="en-US" w:eastAsia="zh-CN"/>
          <w14:textFill>
            <w14:solidFill>
              <w14:schemeClr w14:val="tx1"/>
            </w14:solidFill>
          </w14:textFill>
        </w:rPr>
        <w:t>技术要求内容及依据</w:t>
      </w:r>
    </w:p>
    <w:p w14:paraId="2A2BCB14">
      <w:pPr>
        <w:numPr>
          <w:ilvl w:val="0"/>
          <w:numId w:val="16"/>
        </w:numPr>
        <w:spacing w:line="360" w:lineRule="auto"/>
        <w:ind w:left="425" w:leftChars="0" w:hanging="425" w:firstLineChars="0"/>
        <w:jc w:val="both"/>
        <w:rPr>
          <w:rFonts w:hint="default" w:eastAsiaTheme="minorEastAsia"/>
          <w:b/>
          <w:bCs/>
          <w:color w:val="000000" w:themeColor="text1"/>
          <w:szCs w:val="28"/>
          <w:lang w:val="en-US" w:eastAsia="zh-CN"/>
          <w14:textFill>
            <w14:solidFill>
              <w14:schemeClr w14:val="tx1"/>
            </w14:solidFill>
          </w14:textFill>
        </w:rPr>
      </w:pPr>
      <w:r>
        <w:rPr>
          <w:rFonts w:hint="eastAsia" w:eastAsiaTheme="minorEastAsia"/>
          <w:b/>
          <w:bCs/>
          <w:color w:val="000000" w:themeColor="text1"/>
          <w:szCs w:val="28"/>
          <w:lang w:val="en-US" w:eastAsia="zh-CN"/>
          <w14:textFill>
            <w14:solidFill>
              <w14:schemeClr w14:val="tx1"/>
            </w14:solidFill>
          </w14:textFill>
        </w:rPr>
        <w:t>外观质量</w:t>
      </w:r>
    </w:p>
    <w:p w14:paraId="02A2B1BD">
      <w:pPr>
        <w:numPr>
          <w:ilvl w:val="0"/>
          <w:numId w:val="0"/>
        </w:numPr>
        <w:spacing w:line="360" w:lineRule="auto"/>
        <w:ind w:firstLine="420" w:firstLineChars="0"/>
        <w:jc w:val="both"/>
        <w:rPr>
          <w:rFonts w:hint="default" w:eastAsiaTheme="minorEastAsia"/>
          <w:color w:val="000000" w:themeColor="text1"/>
          <w:szCs w:val="28"/>
          <w:lang w:val="en-US" w:eastAsia="zh-CN"/>
          <w14:textFill>
            <w14:solidFill>
              <w14:schemeClr w14:val="tx1"/>
            </w14:solidFill>
          </w14:textFill>
        </w:rPr>
      </w:pPr>
      <w:r>
        <w:rPr>
          <w:rFonts w:hint="default" w:eastAsiaTheme="minorEastAsia"/>
          <w:color w:val="000000" w:themeColor="text1"/>
          <w:szCs w:val="28"/>
          <w:lang w:val="en-US" w:eastAsia="zh-CN"/>
          <w14:textFill>
            <w14:solidFill>
              <w14:schemeClr w14:val="tx1"/>
            </w14:solidFill>
          </w14:textFill>
        </w:rPr>
        <w:t>明确软膜天花的外观质量要求，核心是基于软膜天花的 “装饰属性” 与 “功能可靠性” 双重定位</w:t>
      </w:r>
      <w:r>
        <w:rPr>
          <w:rFonts w:hint="eastAsia" w:eastAsiaTheme="minorEastAsia"/>
          <w:color w:val="000000" w:themeColor="text1"/>
          <w:szCs w:val="28"/>
          <w:lang w:val="en-US" w:eastAsia="zh-CN"/>
          <w14:textFill>
            <w14:solidFill>
              <w14:schemeClr w14:val="tx1"/>
            </w14:solidFill>
          </w14:textFill>
        </w:rPr>
        <w:t>。软膜天花作为室内外 “天花吊顶装饰材料”，其核心价值之一是通过平整、均匀的外观与设计感提升空间美观度。</w:t>
      </w:r>
    </w:p>
    <w:p w14:paraId="7586D571">
      <w:pPr>
        <w:numPr>
          <w:ilvl w:val="0"/>
          <w:numId w:val="0"/>
        </w:numPr>
        <w:spacing w:line="360" w:lineRule="auto"/>
        <w:ind w:firstLine="420" w:firstLineChars="0"/>
        <w:jc w:val="both"/>
        <w:rPr>
          <w:rFonts w:hint="eastAsia" w:eastAsiaTheme="minorEastAsia"/>
          <w:color w:val="000000" w:themeColor="text1"/>
          <w:szCs w:val="28"/>
          <w:lang w:val="en-US" w:eastAsia="zh-CN"/>
          <w14:textFill>
            <w14:solidFill>
              <w14:schemeClr w14:val="tx1"/>
            </w14:solidFill>
          </w14:textFill>
        </w:rPr>
      </w:pPr>
      <w:r>
        <w:rPr>
          <w:rFonts w:hint="default" w:eastAsiaTheme="minorEastAsia"/>
          <w:color w:val="000000" w:themeColor="text1"/>
          <w:szCs w:val="28"/>
          <w:lang w:val="en-US" w:eastAsia="zh-CN"/>
          <w14:textFill>
            <w14:solidFill>
              <w14:schemeClr w14:val="tx1"/>
            </w14:solidFill>
          </w14:textFill>
        </w:rPr>
        <w:t>标准中 “表面平整均匀、无破边 / 裂缝 / 气泡”“印花图案轮廓清晰” 等要求，直接对应装饰场景的视觉需求：例如商业展厅、医院诊室等空间，若软膜存在荷叶边、涂层开裂或图案模糊，会严重破坏整体装修风格，降低空间品质；色差控制（同卷≥4 级、同批≥3-4 级）则针对批量应用场景（如大型商场多卷拼接吊顶），避免因颜色差异出现 “色块”，确保视觉统一性 —— 这是用户选购装饰材料时的核心考量因素</w:t>
      </w:r>
      <w:r>
        <w:rPr>
          <w:rFonts w:hint="eastAsia" w:eastAsiaTheme="minorEastAsia"/>
          <w:color w:val="000000" w:themeColor="text1"/>
          <w:szCs w:val="28"/>
          <w:lang w:val="en-US" w:eastAsia="zh-CN"/>
          <w14:textFill>
            <w14:solidFill>
              <w14:schemeClr w14:val="tx1"/>
            </w14:solidFill>
          </w14:textFill>
        </w:rPr>
        <w:t>。</w:t>
      </w:r>
    </w:p>
    <w:p w14:paraId="50F87777">
      <w:pPr>
        <w:numPr>
          <w:ilvl w:val="0"/>
          <w:numId w:val="0"/>
        </w:numPr>
        <w:spacing w:line="360" w:lineRule="auto"/>
        <w:ind w:firstLine="420" w:firstLineChars="0"/>
        <w:jc w:val="both"/>
        <w:rPr>
          <w:rFonts w:hint="default" w:eastAsiaTheme="minorEastAsia"/>
          <w:color w:val="000000" w:themeColor="text1"/>
          <w:szCs w:val="28"/>
          <w:lang w:val="en-US" w:eastAsia="zh-CN"/>
          <w14:textFill>
            <w14:solidFill>
              <w14:schemeClr w14:val="tx1"/>
            </w14:solidFill>
          </w14:textFill>
        </w:rPr>
      </w:pPr>
      <w:r>
        <w:rPr>
          <w:rFonts w:hint="eastAsia" w:eastAsiaTheme="minorEastAsia"/>
          <w:color w:val="000000" w:themeColor="text1"/>
          <w:szCs w:val="28"/>
          <w:lang w:val="en-US" w:eastAsia="zh-CN"/>
          <w14:textFill>
            <w14:solidFill>
              <w14:schemeClr w14:val="tx1"/>
            </w14:solidFill>
          </w14:textFill>
        </w:rPr>
        <w:t>此外，软膜天花的外观问题往往并非单纯 “美观瑕疵”，而是可能隐藏功能失效风险。标准禁止的 “破洞、裂缝、漏涂” 等缺陷，直接影响软膜的基础功能：例如 “破洞” 会导致透光型软膜出光不均（出现光斑），室外型软膜则可能因 “裂缝” 进水，加速内部基材老化（如 PVC 软膜受潮霉变、织物软膜基布腐烂）；“涂层结晶不完全、纤维裸露” 等问题，会降低软膜的耐候性与耐用性（例如室外使用的 ETFE 软膜若涂层不完整，紫外线会直接照射基材，导致拉伸强度下降），缩短使用寿命 —— 外观质量要求实质是通过 “可视化指标” 提前筛选出潜在功能失效的产品，避免后续安装使用后出现维修返工。</w:t>
      </w:r>
    </w:p>
    <w:p w14:paraId="5AA8FC0A">
      <w:pPr>
        <w:numPr>
          <w:ilvl w:val="0"/>
          <w:numId w:val="0"/>
        </w:numPr>
        <w:spacing w:line="360" w:lineRule="auto"/>
        <w:ind w:firstLine="420" w:firstLineChars="0"/>
        <w:jc w:val="both"/>
        <w:rPr>
          <w:rFonts w:hint="default" w:eastAsiaTheme="minorEastAsia"/>
          <w:color w:val="000000" w:themeColor="text1"/>
          <w:szCs w:val="28"/>
          <w:lang w:val="en-US" w:eastAsia="zh-CN"/>
          <w14:textFill>
            <w14:solidFill>
              <w14:schemeClr w14:val="tx1"/>
            </w14:solidFill>
          </w14:textFill>
        </w:rPr>
      </w:pPr>
      <w:r>
        <w:rPr>
          <w:rFonts w:hint="default" w:eastAsiaTheme="minorEastAsia"/>
          <w:color w:val="000000" w:themeColor="text1"/>
          <w:szCs w:val="28"/>
          <w:lang w:val="en-US" w:eastAsia="zh-CN"/>
          <w14:textFill>
            <w14:solidFill>
              <w14:schemeClr w14:val="tx1"/>
            </w14:solidFill>
          </w14:textFill>
        </w:rPr>
        <w:t>外观质量要求并非单纯 “美学层面的附加项”，而是串联软膜天花 “装饰功能 - 使用可靠性 - 市场规范性” 的关键指标，既匹配其作为装饰材料的核心定位，也与产品</w:t>
      </w:r>
      <w:r>
        <w:rPr>
          <w:rFonts w:hint="eastAsia" w:eastAsiaTheme="minorEastAsia"/>
          <w:color w:val="000000" w:themeColor="text1"/>
          <w:szCs w:val="28"/>
          <w:lang w:val="en-US" w:eastAsia="zh-CN"/>
          <w14:textFill>
            <w14:solidFill>
              <w14:schemeClr w14:val="tx1"/>
            </w14:solidFill>
          </w14:textFill>
        </w:rPr>
        <w:t>应用</w:t>
      </w:r>
      <w:r>
        <w:rPr>
          <w:rFonts w:hint="default" w:eastAsiaTheme="minorEastAsia"/>
          <w:color w:val="000000" w:themeColor="text1"/>
          <w:szCs w:val="28"/>
          <w:lang w:val="en-US" w:eastAsia="zh-CN"/>
          <w14:textFill>
            <w14:solidFill>
              <w14:schemeClr w14:val="tx1"/>
            </w14:solidFill>
          </w14:textFill>
        </w:rPr>
        <w:t>的通用逻辑（如用户体验、风险规避、质量统一）深度契合。</w:t>
      </w:r>
    </w:p>
    <w:p w14:paraId="7316FB3F">
      <w:pPr>
        <w:numPr>
          <w:ilvl w:val="0"/>
          <w:numId w:val="16"/>
        </w:numPr>
        <w:spacing w:line="360" w:lineRule="auto"/>
        <w:ind w:left="425" w:leftChars="0" w:hanging="425" w:firstLineChars="0"/>
        <w:jc w:val="both"/>
        <w:rPr>
          <w:rFonts w:hint="default" w:eastAsiaTheme="minorEastAsia"/>
          <w:b/>
          <w:bCs/>
          <w:color w:val="000000" w:themeColor="text1"/>
          <w:szCs w:val="28"/>
          <w:lang w:val="en-US" w:eastAsia="zh-CN"/>
          <w14:textFill>
            <w14:solidFill>
              <w14:schemeClr w14:val="tx1"/>
            </w14:solidFill>
          </w14:textFill>
        </w:rPr>
      </w:pPr>
      <w:r>
        <w:rPr>
          <w:rFonts w:hint="eastAsia" w:eastAsiaTheme="minorEastAsia"/>
          <w:b/>
          <w:bCs/>
          <w:color w:val="000000" w:themeColor="text1"/>
          <w:szCs w:val="28"/>
          <w:lang w:val="en-US" w:eastAsia="zh-CN"/>
          <w14:textFill>
            <w14:solidFill>
              <w14:schemeClr w14:val="tx1"/>
            </w14:solidFill>
          </w14:textFill>
        </w:rPr>
        <w:t>厚度偏差</w:t>
      </w:r>
    </w:p>
    <w:p w14:paraId="4B2A9E3D">
      <w:pPr>
        <w:numPr>
          <w:ilvl w:val="0"/>
          <w:numId w:val="0"/>
        </w:numPr>
        <w:spacing w:line="360" w:lineRule="auto"/>
        <w:ind w:firstLine="420" w:firstLineChars="0"/>
        <w:jc w:val="both"/>
        <w:rPr>
          <w:rFonts w:hint="eastAsia" w:eastAsiaTheme="minorEastAsia"/>
          <w:color w:val="000000" w:themeColor="text1"/>
          <w:szCs w:val="28"/>
          <w:lang w:val="en-US" w:eastAsia="zh-CN"/>
          <w14:textFill>
            <w14:solidFill>
              <w14:schemeClr w14:val="tx1"/>
            </w14:solidFill>
          </w14:textFill>
        </w:rPr>
      </w:pPr>
      <w:r>
        <w:rPr>
          <w:rFonts w:hint="default" w:eastAsiaTheme="minorEastAsia"/>
          <w:color w:val="000000" w:themeColor="text1"/>
          <w:szCs w:val="28"/>
          <w:lang w:val="en-US" w:eastAsia="zh-CN"/>
          <w14:textFill>
            <w14:solidFill>
              <w14:schemeClr w14:val="tx1"/>
            </w14:solidFill>
          </w14:textFill>
        </w:rPr>
        <w:t>厚度是软膜物理性能与施工安装的基础前提</w:t>
      </w:r>
      <w:r>
        <w:rPr>
          <w:rFonts w:hint="eastAsia" w:eastAsiaTheme="minorEastAsia"/>
          <w:color w:val="000000" w:themeColor="text1"/>
          <w:szCs w:val="28"/>
          <w:lang w:val="en-US" w:eastAsia="zh-CN"/>
          <w14:textFill>
            <w14:solidFill>
              <w14:schemeClr w14:val="tx1"/>
            </w14:solidFill>
          </w14:textFill>
        </w:rPr>
        <w:t>。</w:t>
      </w:r>
    </w:p>
    <w:p w14:paraId="4E07B564">
      <w:pPr>
        <w:numPr>
          <w:ilvl w:val="0"/>
          <w:numId w:val="0"/>
        </w:numPr>
        <w:spacing w:line="360" w:lineRule="auto"/>
        <w:ind w:firstLine="420" w:firstLineChars="0"/>
        <w:jc w:val="both"/>
        <w:rPr>
          <w:rFonts w:hint="eastAsia" w:eastAsiaTheme="minorEastAsia"/>
          <w:color w:val="000000" w:themeColor="text1"/>
          <w:szCs w:val="28"/>
          <w:lang w:val="en-US" w:eastAsia="zh-CN"/>
          <w14:textFill>
            <w14:solidFill>
              <w14:schemeClr w14:val="tx1"/>
            </w14:solidFill>
          </w14:textFill>
        </w:rPr>
      </w:pPr>
      <w:r>
        <w:rPr>
          <w:rFonts w:hint="eastAsia" w:eastAsiaTheme="minorEastAsia"/>
          <w:color w:val="000000" w:themeColor="text1"/>
          <w:szCs w:val="28"/>
          <w:lang w:val="en-US" w:eastAsia="zh-CN"/>
          <w14:textFill>
            <w14:solidFill>
              <w14:schemeClr w14:val="tx1"/>
            </w14:solidFill>
          </w14:textFill>
        </w:rPr>
        <w:t>首先，厚度指标与性能关联。软膜的厚度直接影响其拉伸强度、撕裂强度等核心理化性能。若厚度偏差过大（如标称 0.25mm 实际仅 0.20mm），会导致实际拉伸强度低于标准要求，室外使用时易因风荷载、雪荷载断裂；若过厚（如 0.30mm），则会增加软膜柔韧性不足的问题，难以适配弧形、异形天花造型。</w:t>
      </w:r>
    </w:p>
    <w:p w14:paraId="7D4629D1">
      <w:pPr>
        <w:numPr>
          <w:ilvl w:val="0"/>
          <w:numId w:val="0"/>
        </w:numPr>
        <w:spacing w:line="360" w:lineRule="auto"/>
        <w:ind w:firstLine="420" w:firstLineChars="0"/>
        <w:jc w:val="both"/>
        <w:rPr>
          <w:rFonts w:hint="eastAsia" w:eastAsiaTheme="minorEastAsia"/>
          <w:color w:val="000000" w:themeColor="text1"/>
          <w:szCs w:val="28"/>
          <w:lang w:val="en-US" w:eastAsia="zh-CN"/>
          <w14:textFill>
            <w14:solidFill>
              <w14:schemeClr w14:val="tx1"/>
            </w14:solidFill>
          </w14:textFill>
        </w:rPr>
      </w:pPr>
      <w:r>
        <w:rPr>
          <w:rFonts w:hint="eastAsia" w:eastAsiaTheme="minorEastAsia"/>
          <w:color w:val="000000" w:themeColor="text1"/>
          <w:szCs w:val="28"/>
          <w:lang w:val="en-US" w:eastAsia="zh-CN"/>
          <w14:textFill>
            <w14:solidFill>
              <w14:schemeClr w14:val="tx1"/>
            </w14:solidFill>
          </w14:textFill>
        </w:rPr>
        <w:t>其次，厚度指标与施工适配。软膜天花需通过热合拼接与龙骨固定，厚度偏差会影响热合效果——过薄易导致热合时膜体熔融过度、出现破洞，过厚则热合不充分、拼接处易脱落；同时，厚度不均会导致软膜张拉时受力不均，出现局部褶皱，违背 “表面平整” 的外观要求。</w:t>
      </w:r>
    </w:p>
    <w:p w14:paraId="72CA1372">
      <w:pPr>
        <w:numPr>
          <w:ilvl w:val="0"/>
          <w:numId w:val="0"/>
        </w:numPr>
        <w:spacing w:line="360" w:lineRule="auto"/>
        <w:ind w:firstLine="420" w:firstLineChars="0"/>
        <w:jc w:val="both"/>
        <w:rPr>
          <w:rFonts w:hint="default" w:eastAsiaTheme="minorEastAsia"/>
          <w:color w:val="000000" w:themeColor="text1"/>
          <w:szCs w:val="28"/>
          <w:lang w:val="en-US" w:eastAsia="zh-CN"/>
          <w14:textFill>
            <w14:solidFill>
              <w14:schemeClr w14:val="tx1"/>
            </w14:solidFill>
          </w14:textFill>
        </w:rPr>
      </w:pPr>
      <w:r>
        <w:rPr>
          <w:rFonts w:hint="default" w:eastAsiaTheme="minorEastAsia"/>
          <w:color w:val="000000" w:themeColor="text1"/>
          <w:szCs w:val="28"/>
          <w:lang w:val="en-US" w:eastAsia="zh-CN"/>
          <w14:textFill>
            <w14:solidFill>
              <w14:schemeClr w14:val="tx1"/>
            </w14:solidFill>
          </w14:textFill>
        </w:rPr>
        <w:t>软膜天花标准厚度偏差要求，参考了 GB/T 3830《软聚氯乙烯压延薄膜和片材》</w:t>
      </w:r>
      <w:r>
        <w:rPr>
          <w:rFonts w:hint="eastAsia" w:eastAsiaTheme="minorEastAsia"/>
          <w:color w:val="000000" w:themeColor="text1"/>
          <w:szCs w:val="28"/>
          <w:lang w:val="en-US" w:eastAsia="zh-CN"/>
          <w14:textFill>
            <w14:solidFill>
              <w14:schemeClr w14:val="tx1"/>
            </w14:solidFill>
          </w14:textFill>
        </w:rPr>
        <w:t>、GB/T30161—2013《膜结构用涂层织物》</w:t>
      </w:r>
      <w:r>
        <w:rPr>
          <w:rFonts w:hint="default" w:eastAsiaTheme="minorEastAsia"/>
          <w:color w:val="000000" w:themeColor="text1"/>
          <w:szCs w:val="28"/>
          <w:lang w:val="en-US" w:eastAsia="zh-CN"/>
          <w14:textFill>
            <w14:solidFill>
              <w14:schemeClr w14:val="tx1"/>
            </w14:solidFill>
          </w14:textFill>
        </w:rPr>
        <w:t>中 “薄膜厚度偏差 ±10%” 的通用要求，确保与</w:t>
      </w:r>
      <w:r>
        <w:rPr>
          <w:rFonts w:hint="eastAsia" w:eastAsiaTheme="minorEastAsia"/>
          <w:color w:val="000000" w:themeColor="text1"/>
          <w:szCs w:val="28"/>
          <w:lang w:val="en-US" w:eastAsia="zh-CN"/>
          <w14:textFill>
            <w14:solidFill>
              <w14:schemeClr w14:val="tx1"/>
            </w14:solidFill>
          </w14:textFill>
        </w:rPr>
        <w:t>天花软</w:t>
      </w:r>
      <w:r>
        <w:rPr>
          <w:rFonts w:hint="default" w:eastAsiaTheme="minorEastAsia"/>
          <w:color w:val="000000" w:themeColor="text1"/>
          <w:szCs w:val="28"/>
          <w:lang w:val="en-US" w:eastAsia="zh-CN"/>
          <w14:textFill>
            <w14:solidFill>
              <w14:schemeClr w14:val="tx1"/>
            </w14:solidFill>
          </w14:textFill>
        </w:rPr>
        <w:t>膜行业生产精度接轨，避免脱离现有生产工艺能力。</w:t>
      </w:r>
    </w:p>
    <w:p w14:paraId="766CBC4B">
      <w:pPr>
        <w:numPr>
          <w:ilvl w:val="0"/>
          <w:numId w:val="16"/>
        </w:numPr>
        <w:spacing w:line="360" w:lineRule="auto"/>
        <w:ind w:left="425" w:leftChars="0" w:hanging="425" w:firstLineChars="0"/>
        <w:jc w:val="both"/>
        <w:rPr>
          <w:rFonts w:hint="default" w:eastAsiaTheme="minorEastAsia"/>
          <w:b/>
          <w:bCs/>
          <w:color w:val="000000" w:themeColor="text1"/>
          <w:szCs w:val="28"/>
          <w:lang w:val="en-US" w:eastAsia="zh-CN"/>
          <w14:textFill>
            <w14:solidFill>
              <w14:schemeClr w14:val="tx1"/>
            </w14:solidFill>
          </w14:textFill>
        </w:rPr>
      </w:pPr>
      <w:r>
        <w:rPr>
          <w:rFonts w:hint="eastAsia" w:eastAsiaTheme="minorEastAsia"/>
          <w:b/>
          <w:bCs/>
          <w:color w:val="000000" w:themeColor="text1"/>
          <w:szCs w:val="28"/>
          <w:lang w:val="en-US" w:eastAsia="zh-CN"/>
          <w14:textFill>
            <w14:solidFill>
              <w14:schemeClr w14:val="tx1"/>
            </w14:solidFill>
          </w14:textFill>
        </w:rPr>
        <w:t>幅宽偏差</w:t>
      </w:r>
    </w:p>
    <w:p w14:paraId="56360E21">
      <w:pPr>
        <w:numPr>
          <w:ilvl w:val="0"/>
          <w:numId w:val="0"/>
        </w:numPr>
        <w:spacing w:line="360" w:lineRule="auto"/>
        <w:ind w:firstLine="420" w:firstLineChars="0"/>
        <w:jc w:val="both"/>
        <w:rPr>
          <w:rFonts w:hint="eastAsia" w:eastAsiaTheme="minorEastAsia"/>
          <w:color w:val="000000" w:themeColor="text1"/>
          <w:szCs w:val="28"/>
          <w:lang w:val="en-US" w:eastAsia="zh-CN"/>
          <w14:textFill>
            <w14:solidFill>
              <w14:schemeClr w14:val="tx1"/>
            </w14:solidFill>
          </w14:textFill>
        </w:rPr>
      </w:pPr>
      <w:r>
        <w:rPr>
          <w:rFonts w:hint="default" w:eastAsiaTheme="minorEastAsia"/>
          <w:color w:val="000000" w:themeColor="text1"/>
          <w:szCs w:val="28"/>
          <w:lang w:val="en-US" w:eastAsia="zh-CN"/>
          <w14:textFill>
            <w14:solidFill>
              <w14:schemeClr w14:val="tx1"/>
            </w14:solidFill>
          </w14:textFill>
        </w:rPr>
        <w:t>确保拼接美观与安装效率</w:t>
      </w:r>
      <w:r>
        <w:rPr>
          <w:rFonts w:hint="eastAsia" w:eastAsiaTheme="minorEastAsia"/>
          <w:color w:val="000000" w:themeColor="text1"/>
          <w:szCs w:val="28"/>
          <w:lang w:val="en-US" w:eastAsia="zh-CN"/>
          <w14:textFill>
            <w14:solidFill>
              <w14:schemeClr w14:val="tx1"/>
            </w14:solidFill>
          </w14:textFill>
        </w:rPr>
        <w:t>。幅宽精度直接影响多卷拼接场景的实用性。软膜天花常用于大面积吊顶（如商场、展厅），需多卷拼接使用。若幅宽偏差过大，多卷拼接时会出现 “错边” 或 “缝隙”，破坏天花整体平整度，尤其透光型软膜，幅宽偏差会导致拼接处透光不均，出现 “暗缝”，影响发光效果。</w:t>
      </w:r>
      <w:r>
        <w:rPr>
          <w:rFonts w:hint="default" w:eastAsiaTheme="minorEastAsia"/>
          <w:color w:val="000000" w:themeColor="text1"/>
          <w:szCs w:val="28"/>
          <w:lang w:val="en-US" w:eastAsia="zh-CN"/>
          <w14:textFill>
            <w14:solidFill>
              <w14:schemeClr w14:val="tx1"/>
            </w14:solidFill>
          </w14:textFill>
        </w:rPr>
        <w:t>幅宽偏差超限时，施工方需额外裁剪调整，不仅增加工时成本，还会造成材料浪费（如每卷多裁剪 5mm，100 卷拼接则浪费 0.5m² 材料）。±3mm 的偏差要求可确保多卷软膜在龙骨上的安装适配性，减少现场调整工作量</w:t>
      </w:r>
      <w:r>
        <w:rPr>
          <w:rFonts w:hint="eastAsia" w:eastAsiaTheme="minorEastAsia"/>
          <w:color w:val="000000" w:themeColor="text1"/>
          <w:szCs w:val="28"/>
          <w:lang w:val="en-US" w:eastAsia="zh-CN"/>
          <w14:textFill>
            <w14:solidFill>
              <w14:schemeClr w14:val="tx1"/>
            </w14:solidFill>
          </w14:textFill>
        </w:rPr>
        <w:t>。</w:t>
      </w:r>
    </w:p>
    <w:p w14:paraId="3F8B2FEE">
      <w:pPr>
        <w:numPr>
          <w:ilvl w:val="0"/>
          <w:numId w:val="0"/>
        </w:numPr>
        <w:spacing w:line="360" w:lineRule="auto"/>
        <w:ind w:firstLine="420" w:firstLineChars="0"/>
        <w:jc w:val="both"/>
        <w:rPr>
          <w:rFonts w:hint="default" w:eastAsiaTheme="minorEastAsia"/>
          <w:color w:val="000000" w:themeColor="text1"/>
          <w:szCs w:val="28"/>
          <w:lang w:val="en-US" w:eastAsia="zh-CN"/>
          <w14:textFill>
            <w14:solidFill>
              <w14:schemeClr w14:val="tx1"/>
            </w14:solidFill>
          </w14:textFill>
        </w:rPr>
      </w:pPr>
      <w:r>
        <w:rPr>
          <w:rFonts w:hint="default" w:eastAsiaTheme="minorEastAsia"/>
          <w:color w:val="000000" w:themeColor="text1"/>
          <w:szCs w:val="28"/>
          <w:lang w:val="en-US" w:eastAsia="zh-CN"/>
          <w14:textFill>
            <w14:solidFill>
              <w14:schemeClr w14:val="tx1"/>
            </w14:solidFill>
          </w14:textFill>
        </w:rPr>
        <w:t>软膜天花吊顶的龙骨间距通常按 “幅宽整数倍” 设计（如 1.5m 幅宽软膜对应 1.5m 龙骨间距），±3mm 的偏差可通过龙骨微调兼容，避免因偏差过大导致龙骨与软膜不匹配；此偏差值参考了行业内施工设备（如裁膜机、龙骨安装工具）的精度范围，确保要求具备可操作性。</w:t>
      </w:r>
    </w:p>
    <w:p w14:paraId="63F8A0C4">
      <w:pPr>
        <w:numPr>
          <w:ilvl w:val="0"/>
          <w:numId w:val="16"/>
        </w:numPr>
        <w:spacing w:line="360" w:lineRule="auto"/>
        <w:ind w:left="425" w:leftChars="0" w:hanging="425" w:firstLineChars="0"/>
        <w:jc w:val="both"/>
        <w:rPr>
          <w:rFonts w:hint="default" w:eastAsiaTheme="minorEastAsia"/>
          <w:b/>
          <w:bCs/>
          <w:color w:val="000000" w:themeColor="text1"/>
          <w:szCs w:val="28"/>
          <w:lang w:val="en-US" w:eastAsia="zh-CN"/>
          <w14:textFill>
            <w14:solidFill>
              <w14:schemeClr w14:val="tx1"/>
            </w14:solidFill>
          </w14:textFill>
        </w:rPr>
      </w:pPr>
      <w:r>
        <w:rPr>
          <w:rFonts w:hint="eastAsia" w:eastAsiaTheme="minorEastAsia"/>
          <w:b/>
          <w:bCs/>
          <w:color w:val="000000" w:themeColor="text1"/>
          <w:szCs w:val="28"/>
          <w:lang w:val="en-US" w:eastAsia="zh-CN"/>
          <w14:textFill>
            <w14:solidFill>
              <w14:schemeClr w14:val="tx1"/>
            </w14:solidFill>
          </w14:textFill>
        </w:rPr>
        <w:t>单位面积质量偏差</w:t>
      </w:r>
    </w:p>
    <w:p w14:paraId="48E5CD1D">
      <w:pPr>
        <w:numPr>
          <w:ilvl w:val="0"/>
          <w:numId w:val="0"/>
        </w:numPr>
        <w:spacing w:line="360" w:lineRule="auto"/>
        <w:ind w:firstLine="420" w:firstLineChars="0"/>
        <w:jc w:val="both"/>
        <w:rPr>
          <w:rFonts w:hint="default" w:eastAsiaTheme="minorEastAsia"/>
          <w:color w:val="000000" w:themeColor="text1"/>
          <w:szCs w:val="28"/>
          <w:lang w:val="en-US" w:eastAsia="zh-CN"/>
          <w14:textFill>
            <w14:solidFill>
              <w14:schemeClr w14:val="tx1"/>
            </w14:solidFill>
          </w14:textFill>
        </w:rPr>
      </w:pPr>
      <w:r>
        <w:rPr>
          <w:rFonts w:hint="default" w:eastAsiaTheme="minorEastAsia"/>
          <w:color w:val="000000" w:themeColor="text1"/>
          <w:szCs w:val="28"/>
          <w:lang w:val="en-US" w:eastAsia="zh-CN"/>
          <w14:textFill>
            <w14:solidFill>
              <w14:schemeClr w14:val="tx1"/>
            </w14:solidFill>
          </w14:textFill>
        </w:rPr>
        <w:t>单位面积质量是材质与性能的 “隐性指标”</w:t>
      </w:r>
      <w:r>
        <w:rPr>
          <w:rFonts w:hint="eastAsia" w:eastAsiaTheme="minorEastAsia"/>
          <w:color w:val="000000" w:themeColor="text1"/>
          <w:szCs w:val="28"/>
          <w:lang w:val="en-US" w:eastAsia="zh-CN"/>
          <w14:textFill>
            <w14:solidFill>
              <w14:schemeClr w14:val="tx1"/>
            </w14:solidFill>
          </w14:textFill>
        </w:rPr>
        <w:t>，</w:t>
      </w:r>
      <w:r>
        <w:rPr>
          <w:rFonts w:hint="default" w:eastAsiaTheme="minorEastAsia"/>
          <w:color w:val="000000" w:themeColor="text1"/>
          <w:szCs w:val="28"/>
          <w:lang w:val="en-US" w:eastAsia="zh-CN"/>
          <w14:textFill>
            <w14:solidFill>
              <w14:schemeClr w14:val="tx1"/>
            </w14:solidFill>
          </w14:textFill>
        </w:rPr>
        <w:t>直接反映软膜的基材密度、涂层厚度（如织物软膜的基布克重 + 涂层克重）。若偏差过大，可能意味着基材偷工减料（如 PVC 软膜减少树脂含量、织物软膜降低基布密度），进而导致拉伸强度、耐老化性能下降；若超上限，则可能因涂层过厚导致软膜硬脆，影响造型适配性。</w:t>
      </w:r>
    </w:p>
    <w:p w14:paraId="6146BCCE">
      <w:pPr>
        <w:numPr>
          <w:ilvl w:val="0"/>
          <w:numId w:val="0"/>
        </w:numPr>
        <w:spacing w:line="360" w:lineRule="auto"/>
        <w:ind w:firstLine="420" w:firstLineChars="0"/>
        <w:jc w:val="both"/>
        <w:rPr>
          <w:rFonts w:hint="default" w:eastAsiaTheme="minorEastAsia"/>
          <w:color w:val="000000" w:themeColor="text1"/>
          <w:szCs w:val="28"/>
          <w:lang w:val="en-US" w:eastAsia="zh-CN"/>
          <w14:textFill>
            <w14:solidFill>
              <w14:schemeClr w14:val="tx1"/>
            </w14:solidFill>
          </w14:textFill>
        </w:rPr>
      </w:pPr>
      <w:r>
        <w:rPr>
          <w:rFonts w:hint="default" w:eastAsiaTheme="minorEastAsia"/>
          <w:color w:val="000000" w:themeColor="text1"/>
          <w:szCs w:val="28"/>
          <w:lang w:val="en-US" w:eastAsia="zh-CN"/>
          <w14:textFill>
            <w14:solidFill>
              <w14:schemeClr w14:val="tx1"/>
            </w14:solidFill>
          </w14:textFill>
        </w:rPr>
        <w:t>±5% 的偏差范围既避免企业通过 “降克重” 降低成本、牺牲质量，也为正常生产波动（如涂层涂覆时的轻微厚度差异）预留空间</w:t>
      </w:r>
      <w:r>
        <w:rPr>
          <w:rFonts w:hint="eastAsia" w:eastAsiaTheme="minorEastAsia"/>
          <w:color w:val="000000" w:themeColor="text1"/>
          <w:szCs w:val="28"/>
          <w:lang w:val="en-US" w:eastAsia="zh-CN"/>
          <w14:textFill>
            <w14:solidFill>
              <w14:schemeClr w14:val="tx1"/>
            </w14:solidFill>
          </w14:textFill>
        </w:rPr>
        <w:t>。</w:t>
      </w:r>
      <w:r>
        <w:rPr>
          <w:rFonts w:hint="default" w:eastAsiaTheme="minorEastAsia"/>
          <w:color w:val="000000" w:themeColor="text1"/>
          <w:szCs w:val="28"/>
          <w:lang w:val="en-US" w:eastAsia="zh-CN"/>
          <w14:textFill>
            <w14:solidFill>
              <w14:schemeClr w14:val="tx1"/>
            </w14:solidFill>
          </w14:textFill>
        </w:rPr>
        <w:t>软膜天花标准 6.6 条明确 “单位面积质量偏差检测按 GB/T 4669（纺织品）或 GB/T 9914.3（增强制品）执行”，±5% 的偏差要求与该两类检测方法的精度范围匹配（GB/T 4669 中纺织品单位面积质量检测误差允许 ±2%，叠加生产过程波动，扩展至 ±5%），确保检测结果与标准要求的兼容性。</w:t>
      </w:r>
    </w:p>
    <w:p w14:paraId="6292741F">
      <w:pPr>
        <w:numPr>
          <w:ilvl w:val="0"/>
          <w:numId w:val="16"/>
        </w:numPr>
        <w:spacing w:line="360" w:lineRule="auto"/>
        <w:ind w:left="425" w:leftChars="0" w:hanging="425" w:firstLineChars="0"/>
        <w:jc w:val="both"/>
        <w:rPr>
          <w:rFonts w:hint="default" w:eastAsiaTheme="minorEastAsia"/>
          <w:b/>
          <w:bCs/>
          <w:color w:val="000000" w:themeColor="text1"/>
          <w:szCs w:val="28"/>
          <w:lang w:val="en-US" w:eastAsia="zh-CN"/>
          <w14:textFill>
            <w14:solidFill>
              <w14:schemeClr w14:val="tx1"/>
            </w14:solidFill>
          </w14:textFill>
        </w:rPr>
      </w:pPr>
      <w:r>
        <w:rPr>
          <w:rFonts w:hint="eastAsia" w:eastAsiaTheme="minorEastAsia"/>
          <w:b/>
          <w:bCs/>
          <w:color w:val="000000" w:themeColor="text1"/>
          <w:szCs w:val="28"/>
          <w:lang w:val="en-US" w:eastAsia="zh-CN"/>
          <w14:textFill>
            <w14:solidFill>
              <w14:schemeClr w14:val="tx1"/>
            </w14:solidFill>
          </w14:textFill>
        </w:rPr>
        <w:t>透光率偏差</w:t>
      </w:r>
    </w:p>
    <w:p w14:paraId="5C6AB679">
      <w:pPr>
        <w:numPr>
          <w:ilvl w:val="0"/>
          <w:numId w:val="0"/>
        </w:numPr>
        <w:spacing w:line="360" w:lineRule="auto"/>
        <w:ind w:firstLine="420" w:firstLineChars="0"/>
        <w:jc w:val="both"/>
        <w:rPr>
          <w:rFonts w:hint="default" w:eastAsiaTheme="minorEastAsia"/>
          <w:color w:val="000000" w:themeColor="text1"/>
          <w:szCs w:val="28"/>
          <w:lang w:val="en-US" w:eastAsia="zh-CN"/>
          <w14:textFill>
            <w14:solidFill>
              <w14:schemeClr w14:val="tx1"/>
            </w14:solidFill>
          </w14:textFill>
        </w:rPr>
      </w:pPr>
      <w:r>
        <w:rPr>
          <w:rFonts w:hint="default" w:eastAsiaTheme="minorEastAsia"/>
          <w:color w:val="000000" w:themeColor="text1"/>
          <w:szCs w:val="28"/>
          <w:lang w:val="en-US" w:eastAsia="zh-CN"/>
          <w14:textFill>
            <w14:solidFill>
              <w14:schemeClr w14:val="tx1"/>
            </w14:solidFill>
          </w14:textFill>
        </w:rPr>
        <w:t>透光率是透光型软膜的核心功能指标</w:t>
      </w:r>
      <w:r>
        <w:rPr>
          <w:rFonts w:hint="eastAsia" w:eastAsiaTheme="minorEastAsia"/>
          <w:color w:val="000000" w:themeColor="text1"/>
          <w:szCs w:val="28"/>
          <w:lang w:val="en-US" w:eastAsia="zh-CN"/>
          <w14:textFill>
            <w14:solidFill>
              <w14:schemeClr w14:val="tx1"/>
            </w14:solidFill>
          </w14:textFill>
        </w:rPr>
        <w:t>。透光型软膜的核心用途是 “与内部照明配合产生均匀发光效果”（如医院诊室、商业橱窗的发光吊顶），若透光率偏差过大，会导致局部区域光线偏暗，或因透光过强导致眩光，违背 “均匀发光” 的功能定位，影响空间视觉舒适度。多卷透光型软膜拼接时，透光率偏差超 ±5% 会出现 “亮区” 与 “暗区” 的明显差异（如商场吊顶多卷拼接后出现 “光斑”），破坏整体装饰效果。</w:t>
      </w:r>
    </w:p>
    <w:p w14:paraId="2293A401">
      <w:pPr>
        <w:numPr>
          <w:ilvl w:val="0"/>
          <w:numId w:val="0"/>
        </w:numPr>
        <w:spacing w:line="360" w:lineRule="auto"/>
        <w:ind w:firstLine="420" w:firstLineChars="0"/>
        <w:jc w:val="both"/>
        <w:rPr>
          <w:rFonts w:hint="default" w:eastAsiaTheme="minorEastAsia"/>
          <w:color w:val="000000" w:themeColor="text1"/>
          <w:szCs w:val="28"/>
          <w:lang w:val="en-US" w:eastAsia="zh-CN"/>
          <w14:textFill>
            <w14:solidFill>
              <w14:schemeClr w14:val="tx1"/>
            </w14:solidFill>
          </w14:textFill>
        </w:rPr>
      </w:pPr>
      <w:r>
        <w:rPr>
          <w:rFonts w:hint="default" w:eastAsiaTheme="minorEastAsia"/>
          <w:color w:val="000000" w:themeColor="text1"/>
          <w:szCs w:val="28"/>
          <w:lang w:val="en-US" w:eastAsia="zh-CN"/>
          <w14:textFill>
            <w14:solidFill>
              <w14:schemeClr w14:val="tx1"/>
            </w14:solidFill>
          </w14:textFill>
        </w:rPr>
        <w:t>软膜天花标准 6.7 条明确 “透光率检测按 GB/T 2410（塑料）或 FZ/T 01009（纺织品）执行”，该</w:t>
      </w:r>
      <w:r>
        <w:rPr>
          <w:rFonts w:hint="eastAsia" w:eastAsiaTheme="minorEastAsia"/>
          <w:color w:val="000000" w:themeColor="text1"/>
          <w:szCs w:val="28"/>
          <w:lang w:val="en-US" w:eastAsia="zh-CN"/>
          <w14:textFill>
            <w14:solidFill>
              <w14:schemeClr w14:val="tx1"/>
            </w14:solidFill>
          </w14:textFill>
        </w:rPr>
        <w:t>两种</w:t>
      </w:r>
      <w:r>
        <w:rPr>
          <w:rFonts w:hint="default" w:eastAsiaTheme="minorEastAsia"/>
          <w:color w:val="000000" w:themeColor="text1"/>
          <w:szCs w:val="28"/>
          <w:lang w:val="en-US" w:eastAsia="zh-CN"/>
          <w14:textFill>
            <w14:solidFill>
              <w14:schemeClr w14:val="tx1"/>
            </w14:solidFill>
          </w14:textFill>
        </w:rPr>
        <w:t>方法的检测误差允许 ±2%，叠加生产过程中助剂添加、涂层厚度的轻微波动，将偏差限定为 ±5%，可确保实际使用时透光效果符合设计预期；此范围也参考了行业内照明设计对 “光线均匀度” 的要求（通常允许 ±5% 的亮度差异）。</w:t>
      </w:r>
    </w:p>
    <w:p w14:paraId="6BEE4E84">
      <w:pPr>
        <w:numPr>
          <w:ilvl w:val="0"/>
          <w:numId w:val="16"/>
        </w:numPr>
        <w:spacing w:line="360" w:lineRule="auto"/>
        <w:ind w:left="425" w:leftChars="0" w:hanging="425" w:firstLineChars="0"/>
        <w:jc w:val="both"/>
        <w:rPr>
          <w:rFonts w:hint="default" w:eastAsiaTheme="minorEastAsia"/>
          <w:b/>
          <w:bCs/>
          <w:color w:val="000000" w:themeColor="text1"/>
          <w:szCs w:val="28"/>
          <w:lang w:val="en-US" w:eastAsia="zh-CN"/>
          <w14:textFill>
            <w14:solidFill>
              <w14:schemeClr w14:val="tx1"/>
            </w14:solidFill>
          </w14:textFill>
        </w:rPr>
      </w:pPr>
      <w:r>
        <w:rPr>
          <w:rFonts w:hint="eastAsia" w:eastAsiaTheme="minorEastAsia"/>
          <w:b/>
          <w:bCs/>
          <w:color w:val="000000" w:themeColor="text1"/>
          <w:szCs w:val="28"/>
          <w:lang w:val="en-US" w:eastAsia="zh-CN"/>
          <w14:textFill>
            <w14:solidFill>
              <w14:schemeClr w14:val="tx1"/>
            </w14:solidFill>
          </w14:textFill>
        </w:rPr>
        <w:t>VC软膜、PVC/PVDF复合软膜的理化性能指标</w:t>
      </w:r>
    </w:p>
    <w:p w14:paraId="53F65339">
      <w:pPr>
        <w:pStyle w:val="41"/>
        <w:ind w:firstLineChars="0"/>
        <w:rPr>
          <w:rFonts w:hint="default" w:ascii="宋体" w:hAnsi="宋体" w:cs="宋体" w:eastAsiaTheme="minorEastAsia"/>
          <w:color w:val="000000" w:themeColor="text1"/>
          <w:sz w:val="24"/>
          <w:szCs w:val="28"/>
          <w:lang w:val="en-US" w:eastAsia="zh-CN" w:bidi="ar-SA"/>
          <w14:textFill>
            <w14:solidFill>
              <w14:schemeClr w14:val="tx1"/>
            </w14:solidFill>
          </w14:textFill>
        </w:rPr>
      </w:pPr>
      <w:r>
        <w:rPr>
          <w:rFonts w:hint="eastAsia" w:ascii="宋体" w:hAnsi="宋体" w:cs="宋体" w:eastAsiaTheme="minorEastAsia"/>
          <w:color w:val="000000" w:themeColor="text1"/>
          <w:sz w:val="24"/>
          <w:szCs w:val="28"/>
          <w:lang w:val="en-US" w:eastAsia="zh-CN" w:bidi="ar-SA"/>
          <w14:textFill>
            <w14:solidFill>
              <w14:schemeClr w14:val="tx1"/>
            </w14:solidFill>
          </w14:textFill>
        </w:rPr>
        <w:t>PVC软膜、PVC/PVDF复合软膜的理化性能应</w:t>
      </w:r>
      <w:r>
        <w:rPr>
          <w:rFonts w:hint="eastAsia" w:hAnsi="宋体" w:cs="宋体" w:eastAsiaTheme="minorEastAsia"/>
          <w:color w:val="000000" w:themeColor="text1"/>
          <w:sz w:val="24"/>
          <w:szCs w:val="28"/>
          <w:lang w:val="en-US" w:eastAsia="zh-CN" w:bidi="ar-SA"/>
          <w14:textFill>
            <w14:solidFill>
              <w14:schemeClr w14:val="tx1"/>
            </w14:solidFill>
          </w14:textFill>
        </w:rPr>
        <w:t>符合下</w:t>
      </w:r>
      <w:r>
        <w:rPr>
          <w:rFonts w:hint="eastAsia" w:ascii="宋体" w:hAnsi="宋体" w:cs="宋体" w:eastAsiaTheme="minorEastAsia"/>
          <w:color w:val="000000" w:themeColor="text1"/>
          <w:sz w:val="24"/>
          <w:szCs w:val="28"/>
          <w:lang w:val="en-US" w:eastAsia="zh-CN" w:bidi="ar-SA"/>
          <w14:textFill>
            <w14:solidFill>
              <w14:schemeClr w14:val="tx1"/>
            </w14:solidFill>
          </w14:textFill>
        </w:rPr>
        <w:t>表的规定。</w:t>
      </w:r>
    </w:p>
    <w:p w14:paraId="2BE391D7">
      <w:pPr>
        <w:pStyle w:val="115"/>
        <w:jc w:val="center"/>
        <w:rPr>
          <w:color w:val="auto"/>
          <w:sz w:val="21"/>
          <w:szCs w:val="21"/>
        </w:rPr>
      </w:pPr>
      <w:r>
        <w:rPr>
          <w:rFonts w:hint="eastAsia"/>
          <w:color w:val="auto"/>
          <w:sz w:val="21"/>
          <w:szCs w:val="21"/>
        </w:rPr>
        <w:t>表</w:t>
      </w:r>
      <w:r>
        <w:rPr>
          <w:rFonts w:hint="eastAsia"/>
          <w:color w:val="auto"/>
          <w:sz w:val="21"/>
          <w:szCs w:val="21"/>
          <w:lang w:val="en-US" w:eastAsia="zh-CN"/>
        </w:rPr>
        <w:t>1</w:t>
      </w:r>
      <w:r>
        <w:rPr>
          <w:color w:val="auto"/>
          <w:sz w:val="21"/>
          <w:szCs w:val="21"/>
        </w:rPr>
        <w:t xml:space="preserve">  </w:t>
      </w:r>
      <w:r>
        <w:rPr>
          <w:rFonts w:hint="eastAsia"/>
          <w:color w:val="auto"/>
          <w:sz w:val="21"/>
          <w:szCs w:val="21"/>
        </w:rPr>
        <w:t>PVC</w:t>
      </w:r>
      <w:r>
        <w:rPr>
          <w:rFonts w:hint="eastAsia"/>
          <w:color w:val="auto"/>
          <w:sz w:val="21"/>
          <w:szCs w:val="21"/>
          <w:lang w:val="en-US" w:eastAsia="zh-CN"/>
        </w:rPr>
        <w:t>软膜</w:t>
      </w:r>
      <w:r>
        <w:rPr>
          <w:rFonts w:hint="eastAsia"/>
          <w:color w:val="auto"/>
          <w:sz w:val="21"/>
          <w:szCs w:val="21"/>
          <w:lang w:eastAsia="zh-CN"/>
        </w:rPr>
        <w:t>、</w:t>
      </w:r>
      <w:r>
        <w:rPr>
          <w:rFonts w:hint="eastAsia"/>
          <w:color w:val="auto"/>
          <w:sz w:val="21"/>
          <w:szCs w:val="21"/>
          <w:lang w:val="en-US" w:eastAsia="zh-CN"/>
        </w:rPr>
        <w:t>PVC/PVDF复合</w:t>
      </w:r>
      <w:r>
        <w:rPr>
          <w:rFonts w:hint="eastAsia"/>
          <w:color w:val="auto"/>
          <w:sz w:val="21"/>
          <w:szCs w:val="21"/>
        </w:rPr>
        <w:t>软膜理化性能要求</w:t>
      </w:r>
    </w:p>
    <w:tbl>
      <w:tblPr>
        <w:tblStyle w:val="19"/>
        <w:tblW w:w="49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3"/>
        <w:gridCol w:w="4166"/>
        <w:gridCol w:w="2262"/>
        <w:gridCol w:w="2271"/>
      </w:tblGrid>
      <w:tr w14:paraId="4034E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pct"/>
            <w:vMerge w:val="restart"/>
            <w:tcBorders>
              <w:top w:val="single" w:color="000000" w:sz="12" w:space="0"/>
              <w:left w:val="single" w:color="000000" w:sz="12" w:space="0"/>
              <w:bottom w:val="single" w:color="000000" w:sz="4" w:space="0"/>
              <w:right w:val="single" w:color="000000" w:sz="4" w:space="0"/>
              <w:tl2br w:val="nil"/>
            </w:tcBorders>
            <w:shd w:val="clear" w:color="auto" w:fill="FFFFFF"/>
            <w:vAlign w:val="center"/>
          </w:tcPr>
          <w:p w14:paraId="545EC0AB">
            <w:pPr>
              <w:jc w:val="center"/>
              <w:rPr>
                <w:rFonts w:eastAsiaTheme="minorEastAsia"/>
                <w:color w:val="000000"/>
              </w:rPr>
            </w:pPr>
            <w:r>
              <w:rPr>
                <w:rFonts w:hint="eastAsia"/>
                <w:color w:val="000000"/>
              </w:rPr>
              <w:t>序号</w:t>
            </w:r>
          </w:p>
        </w:tc>
        <w:tc>
          <w:tcPr>
            <w:tcW w:w="2153" w:type="pct"/>
            <w:vMerge w:val="restart"/>
            <w:tcBorders>
              <w:top w:val="single" w:color="000000" w:sz="12" w:space="0"/>
              <w:left w:val="single" w:color="000000" w:sz="4" w:space="0"/>
              <w:bottom w:val="single" w:color="000000" w:sz="4" w:space="0"/>
              <w:right w:val="single" w:color="000000" w:sz="4" w:space="0"/>
            </w:tcBorders>
            <w:shd w:val="clear" w:color="auto" w:fill="FFFFFF"/>
            <w:vAlign w:val="center"/>
          </w:tcPr>
          <w:p w14:paraId="5212389C">
            <w:pPr>
              <w:jc w:val="center"/>
              <w:rPr>
                <w:rFonts w:eastAsiaTheme="minorEastAsia"/>
                <w:color w:val="000000"/>
              </w:rPr>
            </w:pPr>
            <w:r>
              <w:rPr>
                <w:rFonts w:hint="eastAsia"/>
                <w:color w:val="000000"/>
              </w:rPr>
              <w:t>性能</w:t>
            </w:r>
          </w:p>
        </w:tc>
        <w:tc>
          <w:tcPr>
            <w:tcW w:w="1169" w:type="pct"/>
            <w:tcBorders>
              <w:top w:val="single" w:color="000000" w:sz="12" w:space="0"/>
              <w:left w:val="single" w:color="000000" w:sz="4" w:space="0"/>
              <w:bottom w:val="single" w:color="000000" w:sz="4" w:space="0"/>
              <w:right w:val="single" w:color="auto" w:sz="4" w:space="0"/>
            </w:tcBorders>
            <w:shd w:val="clear" w:color="auto" w:fill="FFFFFF"/>
          </w:tcPr>
          <w:p w14:paraId="2012A65F">
            <w:pPr>
              <w:jc w:val="center"/>
              <w:rPr>
                <w:color w:val="000000"/>
              </w:rPr>
            </w:pPr>
            <w:r>
              <w:rPr>
                <w:rFonts w:hint="eastAsia"/>
                <w:color w:val="000000"/>
              </w:rPr>
              <w:t>PVC软膜</w:t>
            </w:r>
          </w:p>
        </w:tc>
        <w:tc>
          <w:tcPr>
            <w:tcW w:w="1172" w:type="pct"/>
            <w:tcBorders>
              <w:top w:val="single" w:color="000000" w:sz="12" w:space="0"/>
              <w:left w:val="single" w:color="auto" w:sz="4" w:space="0"/>
              <w:bottom w:val="single" w:color="000000" w:sz="4" w:space="0"/>
              <w:right w:val="single" w:color="auto" w:sz="12" w:space="0"/>
            </w:tcBorders>
            <w:shd w:val="clear" w:color="auto" w:fill="FFFFFF"/>
          </w:tcPr>
          <w:p w14:paraId="06853AFF">
            <w:pPr>
              <w:jc w:val="center"/>
              <w:rPr>
                <w:color w:val="000000"/>
              </w:rPr>
            </w:pPr>
            <w:r>
              <w:rPr>
                <w:rFonts w:hint="eastAsia"/>
                <w:color w:val="000000"/>
              </w:rPr>
              <w:t>PVC/PVDF复合软膜</w:t>
            </w:r>
          </w:p>
        </w:tc>
      </w:tr>
      <w:tr w14:paraId="26697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03" w:type="pct"/>
            <w:vMerge w:val="continue"/>
            <w:tcBorders>
              <w:top w:val="single" w:color="000000" w:sz="4" w:space="0"/>
              <w:left w:val="single" w:color="000000" w:sz="12" w:space="0"/>
              <w:bottom w:val="single" w:color="000000" w:sz="4" w:space="0"/>
              <w:right w:val="single" w:color="000000" w:sz="4" w:space="0"/>
              <w:tl2br w:val="nil"/>
            </w:tcBorders>
            <w:shd w:val="clear" w:color="auto" w:fill="FFFFFF"/>
          </w:tcPr>
          <w:p w14:paraId="48F875E4">
            <w:pPr>
              <w:jc w:val="center"/>
              <w:rPr>
                <w:rFonts w:eastAsiaTheme="minorEastAsia"/>
                <w:color w:val="000000"/>
              </w:rPr>
            </w:pPr>
          </w:p>
        </w:tc>
        <w:tc>
          <w:tcPr>
            <w:tcW w:w="2153" w:type="pct"/>
            <w:vMerge w:val="continue"/>
            <w:tcBorders>
              <w:top w:val="single" w:color="000000" w:sz="4" w:space="0"/>
              <w:left w:val="single" w:color="000000" w:sz="4" w:space="0"/>
              <w:bottom w:val="single" w:color="000000" w:sz="4" w:space="0"/>
              <w:right w:val="single" w:color="000000" w:sz="4" w:space="0"/>
            </w:tcBorders>
            <w:shd w:val="clear" w:color="auto" w:fill="FFFFFF"/>
          </w:tcPr>
          <w:p w14:paraId="7ECF916D">
            <w:pPr>
              <w:jc w:val="center"/>
              <w:rPr>
                <w:rFonts w:eastAsiaTheme="minorEastAsia"/>
                <w:color w:val="000000"/>
              </w:rPr>
            </w:pPr>
          </w:p>
        </w:tc>
        <w:tc>
          <w:tcPr>
            <w:tcW w:w="1169" w:type="pct"/>
            <w:tcBorders>
              <w:top w:val="single" w:color="000000" w:sz="4" w:space="0"/>
              <w:left w:val="single" w:color="000000" w:sz="4" w:space="0"/>
              <w:bottom w:val="single" w:color="000000" w:sz="4" w:space="0"/>
              <w:right w:val="single" w:color="auto" w:sz="4" w:space="0"/>
            </w:tcBorders>
            <w:shd w:val="clear" w:color="auto" w:fill="FFFFFF"/>
          </w:tcPr>
          <w:p w14:paraId="7C0B0E7C">
            <w:pPr>
              <w:jc w:val="center"/>
              <w:rPr>
                <w:rFonts w:eastAsiaTheme="minorEastAsia"/>
                <w:color w:val="000000"/>
              </w:rPr>
            </w:pPr>
            <w:r>
              <w:rPr>
                <w:rFonts w:hint="eastAsia"/>
                <w:color w:val="000000"/>
              </w:rPr>
              <w:t>室内型</w:t>
            </w:r>
          </w:p>
        </w:tc>
        <w:tc>
          <w:tcPr>
            <w:tcW w:w="1172" w:type="pct"/>
            <w:tcBorders>
              <w:top w:val="single" w:color="000000" w:sz="4" w:space="0"/>
              <w:left w:val="single" w:color="auto" w:sz="4" w:space="0"/>
              <w:bottom w:val="single" w:color="000000" w:sz="4" w:space="0"/>
              <w:right w:val="single" w:color="auto" w:sz="12" w:space="0"/>
            </w:tcBorders>
            <w:shd w:val="clear" w:color="auto" w:fill="FFFFFF"/>
          </w:tcPr>
          <w:p w14:paraId="4F37B00B">
            <w:pPr>
              <w:jc w:val="center"/>
              <w:rPr>
                <w:rFonts w:hint="default" w:eastAsia="宋体"/>
                <w:color w:val="000000"/>
                <w:lang w:val="en-US" w:eastAsia="zh-CN"/>
              </w:rPr>
            </w:pPr>
            <w:r>
              <w:rPr>
                <w:rFonts w:hint="eastAsia"/>
                <w:color w:val="000000"/>
              </w:rPr>
              <w:t>室内型</w:t>
            </w:r>
            <w:r>
              <w:rPr>
                <w:rFonts w:hint="eastAsia"/>
                <w:color w:val="000000"/>
                <w:lang w:val="en-US" w:eastAsia="zh-CN"/>
              </w:rPr>
              <w:t>&amp;室外型</w:t>
            </w:r>
          </w:p>
        </w:tc>
      </w:tr>
      <w:tr w14:paraId="293D0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pct"/>
            <w:tcBorders>
              <w:top w:val="single" w:color="000000" w:sz="4" w:space="0"/>
              <w:left w:val="single" w:color="000000" w:sz="12" w:space="0"/>
              <w:bottom w:val="single" w:color="000000" w:sz="4" w:space="0"/>
              <w:right w:val="single" w:color="000000" w:sz="4" w:space="0"/>
            </w:tcBorders>
            <w:shd w:val="clear" w:color="auto" w:fill="FFFFFF"/>
          </w:tcPr>
          <w:p w14:paraId="38559AFF">
            <w:pPr>
              <w:jc w:val="center"/>
              <w:rPr>
                <w:rFonts w:asciiTheme="minorHAnsi" w:hAnsiTheme="minorHAnsi" w:eastAsiaTheme="minorEastAsia" w:cstheme="minorBidi"/>
                <w:color w:val="000000"/>
                <w:szCs w:val="24"/>
              </w:rPr>
            </w:pPr>
            <w:r>
              <w:rPr>
                <w:rFonts w:hint="eastAsia" w:cstheme="minorBidi"/>
                <w:color w:val="000000"/>
                <w:szCs w:val="24"/>
              </w:rPr>
              <w:t>1</w:t>
            </w:r>
          </w:p>
        </w:tc>
        <w:tc>
          <w:tcPr>
            <w:tcW w:w="2153" w:type="pct"/>
            <w:tcBorders>
              <w:top w:val="single" w:color="000000" w:sz="4" w:space="0"/>
              <w:left w:val="single" w:color="000000" w:sz="4" w:space="0"/>
              <w:bottom w:val="single" w:color="000000" w:sz="4" w:space="0"/>
              <w:right w:val="single" w:color="000000" w:sz="4" w:space="0"/>
            </w:tcBorders>
            <w:shd w:val="clear" w:color="auto" w:fill="FFFFFF"/>
          </w:tcPr>
          <w:p w14:paraId="47280AB8">
            <w:pPr>
              <w:jc w:val="center"/>
              <w:rPr>
                <w:rFonts w:asciiTheme="minorHAnsi" w:hAnsiTheme="minorHAnsi" w:cstheme="minorBidi"/>
                <w:color w:val="000000"/>
                <w:szCs w:val="24"/>
              </w:rPr>
            </w:pPr>
            <w:r>
              <w:rPr>
                <w:rFonts w:hint="eastAsia"/>
                <w:color w:val="000000"/>
              </w:rPr>
              <w:t>拉伸强度/MPa</w:t>
            </w:r>
          </w:p>
        </w:tc>
        <w:tc>
          <w:tcPr>
            <w:tcW w:w="1169" w:type="pct"/>
            <w:tcBorders>
              <w:top w:val="single" w:color="000000" w:sz="4" w:space="0"/>
              <w:left w:val="single" w:color="000000" w:sz="4" w:space="0"/>
              <w:bottom w:val="single" w:color="000000" w:sz="4" w:space="0"/>
              <w:right w:val="single" w:color="auto" w:sz="4" w:space="0"/>
            </w:tcBorders>
            <w:shd w:val="clear" w:color="auto" w:fill="FFFFFF"/>
          </w:tcPr>
          <w:p w14:paraId="663005C4">
            <w:pPr>
              <w:jc w:val="center"/>
              <w:rPr>
                <w:rFonts w:eastAsiaTheme="minorEastAsia"/>
                <w:color w:val="000000"/>
              </w:rPr>
            </w:pPr>
            <w:r>
              <w:rPr>
                <w:rFonts w:hint="eastAsia"/>
                <w:color w:val="000000"/>
              </w:rPr>
              <w:t>≥15Mpa</w:t>
            </w:r>
          </w:p>
        </w:tc>
        <w:tc>
          <w:tcPr>
            <w:tcW w:w="1172" w:type="pct"/>
            <w:tcBorders>
              <w:top w:val="single" w:color="000000" w:sz="4" w:space="0"/>
              <w:left w:val="single" w:color="auto" w:sz="4" w:space="0"/>
              <w:bottom w:val="single" w:color="000000" w:sz="4" w:space="0"/>
              <w:right w:val="single" w:color="auto" w:sz="12" w:space="0"/>
            </w:tcBorders>
            <w:shd w:val="clear" w:color="auto" w:fill="FFFFFF"/>
          </w:tcPr>
          <w:p w14:paraId="5B5A10A2">
            <w:pPr>
              <w:jc w:val="center"/>
              <w:rPr>
                <w:color w:val="000000"/>
              </w:rPr>
            </w:pPr>
            <w:r>
              <w:rPr>
                <w:rFonts w:hint="eastAsia"/>
                <w:color w:val="000000"/>
              </w:rPr>
              <w:t>≥30MPa</w:t>
            </w:r>
          </w:p>
        </w:tc>
      </w:tr>
      <w:tr w14:paraId="0AA00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pct"/>
            <w:tcBorders>
              <w:top w:val="single" w:color="000000" w:sz="4" w:space="0"/>
              <w:left w:val="single" w:color="000000" w:sz="12" w:space="0"/>
              <w:bottom w:val="single" w:color="000000" w:sz="4" w:space="0"/>
              <w:right w:val="single" w:color="000000" w:sz="4" w:space="0"/>
            </w:tcBorders>
            <w:shd w:val="clear" w:color="auto" w:fill="FFFFFF"/>
          </w:tcPr>
          <w:p w14:paraId="2659F4E4">
            <w:pPr>
              <w:jc w:val="center"/>
              <w:rPr>
                <w:rFonts w:asciiTheme="minorHAnsi" w:hAnsiTheme="minorHAnsi" w:eastAsiaTheme="minorEastAsia" w:cstheme="minorBidi"/>
                <w:color w:val="000000"/>
                <w:szCs w:val="24"/>
              </w:rPr>
            </w:pPr>
            <w:r>
              <w:rPr>
                <w:rFonts w:hint="eastAsia" w:cstheme="minorBidi"/>
                <w:color w:val="000000"/>
                <w:szCs w:val="24"/>
              </w:rPr>
              <w:t>2</w:t>
            </w:r>
          </w:p>
        </w:tc>
        <w:tc>
          <w:tcPr>
            <w:tcW w:w="2153" w:type="pct"/>
            <w:tcBorders>
              <w:top w:val="single" w:color="000000" w:sz="4" w:space="0"/>
              <w:left w:val="single" w:color="000000" w:sz="4" w:space="0"/>
              <w:bottom w:val="single" w:color="000000" w:sz="4" w:space="0"/>
              <w:right w:val="single" w:color="000000" w:sz="4" w:space="0"/>
            </w:tcBorders>
            <w:shd w:val="clear" w:color="auto" w:fill="FFFFFF"/>
          </w:tcPr>
          <w:p w14:paraId="641497A8">
            <w:pPr>
              <w:jc w:val="center"/>
              <w:rPr>
                <w:rFonts w:asciiTheme="minorHAnsi" w:hAnsiTheme="minorHAnsi" w:cstheme="minorBidi"/>
                <w:color w:val="000000"/>
                <w:szCs w:val="24"/>
              </w:rPr>
            </w:pPr>
            <w:r>
              <w:rPr>
                <w:rFonts w:hint="eastAsia"/>
                <w:color w:val="000000"/>
              </w:rPr>
              <w:t>断裂伸长率/%</w:t>
            </w:r>
          </w:p>
        </w:tc>
        <w:tc>
          <w:tcPr>
            <w:tcW w:w="1169" w:type="pct"/>
            <w:tcBorders>
              <w:top w:val="single" w:color="000000" w:sz="4" w:space="0"/>
              <w:left w:val="single" w:color="000000" w:sz="4" w:space="0"/>
              <w:bottom w:val="single" w:color="000000" w:sz="4" w:space="0"/>
              <w:right w:val="single" w:color="auto" w:sz="4" w:space="0"/>
            </w:tcBorders>
            <w:shd w:val="clear" w:color="auto" w:fill="FFFFFF"/>
          </w:tcPr>
          <w:p w14:paraId="050AF727">
            <w:pPr>
              <w:jc w:val="center"/>
              <w:rPr>
                <w:color w:val="000000"/>
              </w:rPr>
            </w:pPr>
            <w:r>
              <w:rPr>
                <w:rFonts w:hint="eastAsia"/>
                <w:color w:val="000000"/>
              </w:rPr>
              <w:t>≥160</w:t>
            </w:r>
            <w:r>
              <w:rPr>
                <w:rFonts w:hint="eastAsia"/>
                <w:color w:val="000000"/>
                <w:lang w:eastAsia="zh-CN"/>
              </w:rPr>
              <w:t>%</w:t>
            </w:r>
          </w:p>
        </w:tc>
        <w:tc>
          <w:tcPr>
            <w:tcW w:w="1172" w:type="pct"/>
            <w:tcBorders>
              <w:top w:val="single" w:color="000000" w:sz="4" w:space="0"/>
              <w:left w:val="single" w:color="auto" w:sz="4" w:space="0"/>
              <w:bottom w:val="single" w:color="000000" w:sz="4" w:space="0"/>
              <w:right w:val="single" w:color="auto" w:sz="12" w:space="0"/>
            </w:tcBorders>
            <w:shd w:val="clear" w:color="auto" w:fill="FFFFFF"/>
          </w:tcPr>
          <w:p w14:paraId="10B854F5">
            <w:pPr>
              <w:jc w:val="center"/>
              <w:rPr>
                <w:color w:val="000000"/>
              </w:rPr>
            </w:pPr>
            <w:r>
              <w:rPr>
                <w:rFonts w:hint="eastAsia"/>
                <w:color w:val="000000"/>
              </w:rPr>
              <w:t>≥150</w:t>
            </w:r>
            <w:r>
              <w:rPr>
                <w:rFonts w:hint="eastAsia"/>
                <w:color w:val="000000"/>
                <w:lang w:eastAsia="zh-CN"/>
              </w:rPr>
              <w:t>%</w:t>
            </w:r>
          </w:p>
        </w:tc>
      </w:tr>
      <w:tr w14:paraId="19487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pct"/>
            <w:tcBorders>
              <w:top w:val="single" w:color="000000" w:sz="4" w:space="0"/>
              <w:left w:val="single" w:color="000000" w:sz="12" w:space="0"/>
              <w:bottom w:val="single" w:color="000000" w:sz="4" w:space="0"/>
              <w:right w:val="single" w:color="000000" w:sz="4" w:space="0"/>
            </w:tcBorders>
            <w:shd w:val="clear" w:color="auto" w:fill="FFFFFF"/>
          </w:tcPr>
          <w:p w14:paraId="374FD68B">
            <w:pPr>
              <w:jc w:val="center"/>
              <w:rPr>
                <w:rFonts w:asciiTheme="minorHAnsi" w:hAnsiTheme="minorHAnsi" w:eastAsiaTheme="minorEastAsia" w:cstheme="minorBidi"/>
                <w:color w:val="000000"/>
                <w:szCs w:val="24"/>
              </w:rPr>
            </w:pPr>
            <w:r>
              <w:rPr>
                <w:rFonts w:hint="eastAsia" w:cstheme="minorBidi"/>
                <w:color w:val="000000"/>
                <w:szCs w:val="24"/>
              </w:rPr>
              <w:t>3</w:t>
            </w:r>
          </w:p>
        </w:tc>
        <w:tc>
          <w:tcPr>
            <w:tcW w:w="2153" w:type="pct"/>
            <w:tcBorders>
              <w:top w:val="single" w:color="000000" w:sz="4" w:space="0"/>
              <w:left w:val="single" w:color="000000" w:sz="4" w:space="0"/>
              <w:bottom w:val="single" w:color="000000" w:sz="4" w:space="0"/>
              <w:right w:val="single" w:color="000000" w:sz="4" w:space="0"/>
            </w:tcBorders>
            <w:shd w:val="clear" w:color="auto" w:fill="FFFFFF"/>
          </w:tcPr>
          <w:p w14:paraId="0CE65B8E">
            <w:pPr>
              <w:jc w:val="center"/>
              <w:rPr>
                <w:rFonts w:asciiTheme="minorHAnsi" w:hAnsiTheme="minorHAnsi" w:eastAsiaTheme="minorEastAsia" w:cstheme="minorBidi"/>
                <w:color w:val="000000"/>
                <w:szCs w:val="24"/>
              </w:rPr>
            </w:pPr>
            <w:r>
              <w:rPr>
                <w:rFonts w:hint="eastAsia" w:cstheme="minorBidi"/>
                <w:color w:val="000000"/>
                <w:szCs w:val="24"/>
              </w:rPr>
              <w:t>直角撕裂强度/kN/m</w:t>
            </w:r>
          </w:p>
        </w:tc>
        <w:tc>
          <w:tcPr>
            <w:tcW w:w="2342" w:type="pct"/>
            <w:gridSpan w:val="2"/>
            <w:tcBorders>
              <w:top w:val="single" w:color="000000" w:sz="4" w:space="0"/>
              <w:left w:val="single" w:color="000000" w:sz="4" w:space="0"/>
              <w:bottom w:val="single" w:color="000000" w:sz="4" w:space="0"/>
              <w:right w:val="single" w:color="000000" w:sz="12" w:space="0"/>
            </w:tcBorders>
            <w:shd w:val="clear" w:color="auto" w:fill="FFFFFF"/>
          </w:tcPr>
          <w:p w14:paraId="7C530DE1">
            <w:pPr>
              <w:jc w:val="center"/>
              <w:rPr>
                <w:color w:val="000000"/>
              </w:rPr>
            </w:pPr>
            <w:r>
              <w:rPr>
                <w:rFonts w:hint="eastAsia"/>
                <w:color w:val="000000"/>
              </w:rPr>
              <w:t>≥40</w:t>
            </w:r>
          </w:p>
        </w:tc>
      </w:tr>
      <w:tr w14:paraId="482BA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03" w:type="pct"/>
            <w:tcBorders>
              <w:top w:val="single" w:color="000000" w:sz="4" w:space="0"/>
              <w:left w:val="single" w:color="000000" w:sz="12" w:space="0"/>
              <w:bottom w:val="single" w:color="000000" w:sz="4" w:space="0"/>
              <w:right w:val="single" w:color="000000" w:sz="4" w:space="0"/>
            </w:tcBorders>
            <w:shd w:val="clear" w:color="auto" w:fill="FFFFFF"/>
          </w:tcPr>
          <w:p w14:paraId="0B6C5BF0">
            <w:pPr>
              <w:jc w:val="center"/>
              <w:rPr>
                <w:rFonts w:asciiTheme="minorHAnsi" w:hAnsiTheme="minorHAnsi" w:eastAsiaTheme="minorEastAsia" w:cstheme="minorBidi"/>
                <w:color w:val="000000"/>
                <w:szCs w:val="24"/>
              </w:rPr>
            </w:pPr>
            <w:r>
              <w:rPr>
                <w:rFonts w:hint="eastAsia" w:cstheme="minorBidi"/>
                <w:color w:val="000000"/>
                <w:szCs w:val="24"/>
              </w:rPr>
              <w:t>4</w:t>
            </w:r>
          </w:p>
        </w:tc>
        <w:tc>
          <w:tcPr>
            <w:tcW w:w="2153" w:type="pct"/>
            <w:tcBorders>
              <w:top w:val="single" w:color="000000" w:sz="4" w:space="0"/>
              <w:left w:val="single" w:color="000000" w:sz="4" w:space="0"/>
              <w:bottom w:val="single" w:color="000000" w:sz="4" w:space="0"/>
              <w:right w:val="single" w:color="000000" w:sz="4" w:space="0"/>
            </w:tcBorders>
            <w:shd w:val="clear" w:color="auto" w:fill="FFFFFF"/>
          </w:tcPr>
          <w:p w14:paraId="570FC820">
            <w:pPr>
              <w:widowControl/>
              <w:jc w:val="center"/>
              <w:rPr>
                <w:rFonts w:asciiTheme="minorHAnsi" w:hAnsiTheme="minorHAnsi" w:eastAsiaTheme="minorEastAsia" w:cstheme="minorBidi"/>
                <w:color w:val="000000"/>
                <w:szCs w:val="24"/>
              </w:rPr>
            </w:pPr>
            <w:r>
              <w:rPr>
                <w:rFonts w:hint="eastAsia" w:cstheme="minorBidi"/>
                <w:color w:val="000000"/>
                <w:szCs w:val="24"/>
              </w:rPr>
              <w:t>可焊性（热合拉伸强度）/MPa</w:t>
            </w:r>
          </w:p>
        </w:tc>
        <w:tc>
          <w:tcPr>
            <w:tcW w:w="2342" w:type="pct"/>
            <w:gridSpan w:val="2"/>
            <w:tcBorders>
              <w:top w:val="single" w:color="000000" w:sz="4" w:space="0"/>
              <w:left w:val="single" w:color="000000" w:sz="4" w:space="0"/>
              <w:bottom w:val="single" w:color="000000" w:sz="4" w:space="0"/>
              <w:right w:val="single" w:color="000000" w:sz="12" w:space="0"/>
            </w:tcBorders>
            <w:shd w:val="clear" w:color="auto" w:fill="FFFFFF"/>
          </w:tcPr>
          <w:p w14:paraId="137D4779">
            <w:pPr>
              <w:jc w:val="center"/>
              <w:rPr>
                <w:color w:val="000000"/>
              </w:rPr>
            </w:pPr>
            <w:r>
              <w:rPr>
                <w:rFonts w:hint="eastAsia"/>
                <w:color w:val="000000"/>
              </w:rPr>
              <w:t>不低于母材的80%</w:t>
            </w:r>
          </w:p>
        </w:tc>
      </w:tr>
      <w:tr w14:paraId="2B2D2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pct"/>
            <w:tcBorders>
              <w:top w:val="single" w:color="000000" w:sz="4" w:space="0"/>
              <w:left w:val="single" w:color="000000" w:sz="12" w:space="0"/>
              <w:bottom w:val="single" w:color="000000" w:sz="4" w:space="0"/>
              <w:right w:val="single" w:color="000000" w:sz="4" w:space="0"/>
            </w:tcBorders>
            <w:shd w:val="clear" w:color="auto" w:fill="FFFFFF"/>
          </w:tcPr>
          <w:p w14:paraId="4E2F230E">
            <w:pPr>
              <w:jc w:val="center"/>
              <w:rPr>
                <w:rFonts w:asciiTheme="minorHAnsi" w:hAnsiTheme="minorHAnsi" w:eastAsiaTheme="minorEastAsia" w:cstheme="minorBidi"/>
                <w:color w:val="000000"/>
                <w:szCs w:val="24"/>
              </w:rPr>
            </w:pPr>
            <w:r>
              <w:rPr>
                <w:rFonts w:hint="eastAsia" w:cstheme="minorBidi"/>
                <w:color w:val="000000"/>
                <w:szCs w:val="24"/>
              </w:rPr>
              <w:t>5</w:t>
            </w:r>
          </w:p>
        </w:tc>
        <w:tc>
          <w:tcPr>
            <w:tcW w:w="2153" w:type="pct"/>
            <w:tcBorders>
              <w:top w:val="single" w:color="000000" w:sz="4" w:space="0"/>
              <w:left w:val="single" w:color="000000" w:sz="4" w:space="0"/>
              <w:bottom w:val="single" w:color="000000" w:sz="4" w:space="0"/>
              <w:right w:val="single" w:color="000000" w:sz="4" w:space="0"/>
            </w:tcBorders>
            <w:shd w:val="clear" w:color="auto" w:fill="FFFFFF"/>
          </w:tcPr>
          <w:p w14:paraId="0160A6B5">
            <w:pPr>
              <w:jc w:val="center"/>
              <w:rPr>
                <w:rFonts w:asciiTheme="minorHAnsi" w:hAnsiTheme="minorHAnsi" w:eastAsiaTheme="minorEastAsia" w:cstheme="minorBidi"/>
                <w:color w:val="000000"/>
                <w:szCs w:val="24"/>
              </w:rPr>
            </w:pPr>
            <w:r>
              <w:rPr>
                <w:rFonts w:hint="eastAsia" w:cstheme="minorBidi"/>
                <w:color w:val="000000"/>
                <w:szCs w:val="24"/>
              </w:rPr>
              <w:t>尺寸变化率/</w:t>
            </w:r>
            <w:r>
              <w:rPr>
                <w:rFonts w:hint="eastAsia"/>
                <w:color w:val="000000"/>
              </w:rPr>
              <w:t>%</w:t>
            </w:r>
          </w:p>
        </w:tc>
        <w:tc>
          <w:tcPr>
            <w:tcW w:w="2342" w:type="pct"/>
            <w:gridSpan w:val="2"/>
            <w:tcBorders>
              <w:top w:val="single" w:color="000000" w:sz="4" w:space="0"/>
              <w:left w:val="single" w:color="000000" w:sz="4" w:space="0"/>
              <w:bottom w:val="single" w:color="000000" w:sz="4" w:space="0"/>
              <w:right w:val="single" w:color="000000" w:sz="12" w:space="0"/>
            </w:tcBorders>
            <w:shd w:val="clear" w:color="auto" w:fill="FFFFFF"/>
          </w:tcPr>
          <w:p w14:paraId="73E82054">
            <w:pPr>
              <w:jc w:val="center"/>
              <w:rPr>
                <w:color w:val="000000"/>
              </w:rPr>
            </w:pPr>
            <w:r>
              <w:rPr>
                <w:rFonts w:hint="eastAsia"/>
                <w:color w:val="000000"/>
              </w:rPr>
              <w:t>≤5</w:t>
            </w:r>
          </w:p>
        </w:tc>
      </w:tr>
      <w:tr w14:paraId="4BE6E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pct"/>
            <w:tcBorders>
              <w:top w:val="single" w:color="000000" w:sz="4" w:space="0"/>
              <w:left w:val="single" w:color="000000" w:sz="12" w:space="0"/>
              <w:bottom w:val="single" w:color="000000" w:sz="4" w:space="0"/>
              <w:right w:val="single" w:color="000000" w:sz="4" w:space="0"/>
            </w:tcBorders>
            <w:shd w:val="clear" w:color="auto" w:fill="FFFFFF"/>
          </w:tcPr>
          <w:p w14:paraId="7E57480C">
            <w:pPr>
              <w:jc w:val="center"/>
              <w:rPr>
                <w:rFonts w:asciiTheme="minorHAnsi" w:hAnsiTheme="minorHAnsi" w:eastAsiaTheme="minorEastAsia" w:cstheme="minorBidi"/>
                <w:color w:val="000000"/>
                <w:szCs w:val="24"/>
              </w:rPr>
            </w:pPr>
            <w:r>
              <w:rPr>
                <w:rFonts w:hint="eastAsia" w:cstheme="minorBidi"/>
                <w:color w:val="000000"/>
                <w:szCs w:val="24"/>
              </w:rPr>
              <w:t>6</w:t>
            </w:r>
          </w:p>
        </w:tc>
        <w:tc>
          <w:tcPr>
            <w:tcW w:w="2153" w:type="pct"/>
            <w:tcBorders>
              <w:top w:val="single" w:color="000000" w:sz="4" w:space="0"/>
              <w:left w:val="single" w:color="000000" w:sz="4" w:space="0"/>
              <w:bottom w:val="single" w:color="000000" w:sz="4" w:space="0"/>
              <w:right w:val="single" w:color="000000" w:sz="4" w:space="0"/>
            </w:tcBorders>
            <w:shd w:val="clear" w:color="auto" w:fill="FFFFFF"/>
          </w:tcPr>
          <w:p w14:paraId="7573E366">
            <w:pPr>
              <w:jc w:val="center"/>
              <w:rPr>
                <w:rFonts w:cstheme="minorBidi"/>
                <w:color w:val="000000"/>
                <w:szCs w:val="24"/>
              </w:rPr>
            </w:pPr>
            <w:r>
              <w:rPr>
                <w:rFonts w:hint="eastAsia"/>
                <w:color w:val="000000"/>
              </w:rPr>
              <w:t>加热损失率/%</w:t>
            </w:r>
          </w:p>
        </w:tc>
        <w:tc>
          <w:tcPr>
            <w:tcW w:w="2342" w:type="pct"/>
            <w:gridSpan w:val="2"/>
            <w:tcBorders>
              <w:top w:val="single" w:color="000000" w:sz="4" w:space="0"/>
              <w:left w:val="single" w:color="000000" w:sz="4" w:space="0"/>
              <w:bottom w:val="single" w:color="000000" w:sz="4" w:space="0"/>
              <w:right w:val="single" w:color="000000" w:sz="12" w:space="0"/>
            </w:tcBorders>
            <w:shd w:val="clear" w:color="auto" w:fill="FFFFFF"/>
          </w:tcPr>
          <w:p w14:paraId="79E7C7BF">
            <w:pPr>
              <w:jc w:val="center"/>
              <w:rPr>
                <w:color w:val="000000"/>
              </w:rPr>
            </w:pPr>
            <w:r>
              <w:rPr>
                <w:rFonts w:hint="eastAsia"/>
                <w:color w:val="000000"/>
              </w:rPr>
              <w:t>≤2</w:t>
            </w:r>
          </w:p>
        </w:tc>
      </w:tr>
      <w:tr w14:paraId="2ADA7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pct"/>
            <w:tcBorders>
              <w:top w:val="single" w:color="000000" w:sz="4" w:space="0"/>
              <w:left w:val="single" w:color="000000" w:sz="12" w:space="0"/>
              <w:bottom w:val="single" w:color="000000" w:sz="12" w:space="0"/>
              <w:right w:val="single" w:color="000000" w:sz="4" w:space="0"/>
            </w:tcBorders>
            <w:shd w:val="clear" w:color="auto" w:fill="FFFFFF"/>
          </w:tcPr>
          <w:p w14:paraId="747D77B4">
            <w:pPr>
              <w:jc w:val="center"/>
              <w:rPr>
                <w:rFonts w:cstheme="minorBidi"/>
                <w:color w:val="000000"/>
                <w:szCs w:val="24"/>
              </w:rPr>
            </w:pPr>
            <w:r>
              <w:rPr>
                <w:rFonts w:hint="eastAsia" w:cstheme="minorBidi"/>
                <w:color w:val="000000"/>
                <w:szCs w:val="24"/>
              </w:rPr>
              <w:t>7</w:t>
            </w:r>
          </w:p>
        </w:tc>
        <w:tc>
          <w:tcPr>
            <w:tcW w:w="2153" w:type="pct"/>
            <w:tcBorders>
              <w:top w:val="single" w:color="000000" w:sz="4" w:space="0"/>
              <w:left w:val="single" w:color="000000" w:sz="4" w:space="0"/>
              <w:bottom w:val="single" w:color="000000" w:sz="12" w:space="0"/>
              <w:right w:val="single" w:color="000000" w:sz="4" w:space="0"/>
            </w:tcBorders>
            <w:shd w:val="clear" w:color="auto" w:fill="FFFFFF"/>
          </w:tcPr>
          <w:p w14:paraId="0C662AEE">
            <w:pPr>
              <w:jc w:val="center"/>
              <w:rPr>
                <w:color w:val="000000"/>
              </w:rPr>
            </w:pPr>
            <w:r>
              <w:rPr>
                <w:rFonts w:hint="eastAsia"/>
                <w:color w:val="000000"/>
              </w:rPr>
              <w:t>防霉等级/级</w:t>
            </w:r>
          </w:p>
        </w:tc>
        <w:tc>
          <w:tcPr>
            <w:tcW w:w="2342" w:type="pct"/>
            <w:gridSpan w:val="2"/>
            <w:tcBorders>
              <w:top w:val="single" w:color="000000" w:sz="4" w:space="0"/>
              <w:left w:val="single" w:color="000000" w:sz="4" w:space="0"/>
              <w:bottom w:val="single" w:color="000000" w:sz="12" w:space="0"/>
              <w:right w:val="single" w:color="000000" w:sz="12" w:space="0"/>
            </w:tcBorders>
            <w:shd w:val="clear" w:color="auto" w:fill="FFFFFF"/>
          </w:tcPr>
          <w:p w14:paraId="4689ADB9">
            <w:pPr>
              <w:jc w:val="center"/>
              <w:rPr>
                <w:color w:val="000000"/>
              </w:rPr>
            </w:pPr>
            <w:r>
              <w:rPr>
                <w:rFonts w:hint="eastAsia"/>
                <w:color w:val="000000"/>
              </w:rPr>
              <w:t>0级</w:t>
            </w:r>
          </w:p>
        </w:tc>
      </w:tr>
    </w:tbl>
    <w:p w14:paraId="3C98BBB4">
      <w:pPr>
        <w:numPr>
          <w:ilvl w:val="0"/>
          <w:numId w:val="17"/>
        </w:numPr>
        <w:spacing w:line="360" w:lineRule="auto"/>
        <w:ind w:left="0" w:leftChars="0" w:firstLine="480" w:firstLineChars="200"/>
        <w:jc w:val="both"/>
        <w:rPr>
          <w:rFonts w:hint="default" w:eastAsiaTheme="minorEastAsia"/>
          <w:color w:val="000000" w:themeColor="text1"/>
          <w:szCs w:val="28"/>
          <w:lang w:val="en-US" w:eastAsia="zh-CN"/>
          <w14:textFill>
            <w14:solidFill>
              <w14:schemeClr w14:val="tx1"/>
            </w14:solidFill>
          </w14:textFill>
        </w:rPr>
      </w:pPr>
      <w:r>
        <w:rPr>
          <w:rFonts w:hint="default" w:eastAsiaTheme="minorEastAsia"/>
          <w:color w:val="000000" w:themeColor="text1"/>
          <w:szCs w:val="28"/>
          <w:lang w:val="en-US" w:eastAsia="zh-CN"/>
          <w14:textFill>
            <w14:solidFill>
              <w14:schemeClr w14:val="tx1"/>
            </w14:solidFill>
          </w14:textFill>
        </w:rPr>
        <w:t>拉伸强度</w:t>
      </w:r>
    </w:p>
    <w:p w14:paraId="1DCC9EF6">
      <w:pPr>
        <w:numPr>
          <w:ilvl w:val="0"/>
          <w:numId w:val="0"/>
        </w:numPr>
        <w:spacing w:line="360" w:lineRule="auto"/>
        <w:ind w:firstLine="420" w:firstLineChars="0"/>
        <w:jc w:val="both"/>
        <w:rPr>
          <w:rFonts w:hint="default" w:eastAsiaTheme="minorEastAsia"/>
          <w:color w:val="000000" w:themeColor="text1"/>
          <w:szCs w:val="28"/>
          <w:lang w:val="en-US" w:eastAsia="zh-CN"/>
          <w14:textFill>
            <w14:solidFill>
              <w14:schemeClr w14:val="tx1"/>
            </w14:solidFill>
          </w14:textFill>
        </w:rPr>
      </w:pPr>
      <w:r>
        <w:rPr>
          <w:rFonts w:hint="default" w:eastAsiaTheme="minorEastAsia"/>
          <w:color w:val="000000" w:themeColor="text1"/>
          <w:szCs w:val="28"/>
          <w:lang w:val="en-US" w:eastAsia="zh-CN"/>
          <w14:textFill>
            <w14:solidFill>
              <w14:schemeClr w14:val="tx1"/>
            </w14:solidFill>
          </w14:textFill>
        </w:rPr>
        <w:t>提出原因：保障软膜在安装与使用中的抗拉伸破坏能力</w:t>
      </w:r>
    </w:p>
    <w:p w14:paraId="1946CA63">
      <w:pPr>
        <w:numPr>
          <w:ilvl w:val="0"/>
          <w:numId w:val="0"/>
        </w:numPr>
        <w:spacing w:line="360" w:lineRule="auto"/>
        <w:ind w:firstLine="420" w:firstLineChars="0"/>
        <w:jc w:val="both"/>
        <w:rPr>
          <w:rFonts w:hint="default" w:eastAsiaTheme="minorEastAsia"/>
          <w:color w:val="000000" w:themeColor="text1"/>
          <w:szCs w:val="28"/>
          <w:lang w:val="en-US" w:eastAsia="zh-CN"/>
          <w14:textFill>
            <w14:solidFill>
              <w14:schemeClr w14:val="tx1"/>
            </w14:solidFill>
          </w14:textFill>
        </w:rPr>
      </w:pPr>
      <w:r>
        <w:rPr>
          <w:rFonts w:hint="eastAsia" w:eastAsiaTheme="minorEastAsia"/>
          <w:color w:val="000000" w:themeColor="text1"/>
          <w:szCs w:val="28"/>
          <w:lang w:val="en-US" w:eastAsia="zh-CN"/>
          <w14:textFill>
            <w14:solidFill>
              <w14:schemeClr w14:val="tx1"/>
            </w14:solidFill>
          </w14:textFill>
        </w:rPr>
        <w:t>在</w:t>
      </w:r>
      <w:r>
        <w:rPr>
          <w:rFonts w:hint="default" w:eastAsiaTheme="minorEastAsia"/>
          <w:color w:val="000000" w:themeColor="text1"/>
          <w:szCs w:val="28"/>
          <w:lang w:val="en-US" w:eastAsia="zh-CN"/>
          <w14:textFill>
            <w14:solidFill>
              <w14:schemeClr w14:val="tx1"/>
            </w14:solidFill>
          </w14:textFill>
        </w:rPr>
        <w:t>安装阶段</w:t>
      </w:r>
      <w:r>
        <w:rPr>
          <w:rFonts w:hint="eastAsia" w:eastAsiaTheme="minorEastAsia"/>
          <w:color w:val="000000" w:themeColor="text1"/>
          <w:szCs w:val="28"/>
          <w:lang w:val="en-US" w:eastAsia="zh-CN"/>
          <w14:textFill>
            <w14:solidFill>
              <w14:schemeClr w14:val="tx1"/>
            </w14:solidFill>
          </w14:textFill>
        </w:rPr>
        <w:t>，</w:t>
      </w:r>
      <w:r>
        <w:rPr>
          <w:rFonts w:hint="default" w:eastAsiaTheme="minorEastAsia"/>
          <w:color w:val="000000" w:themeColor="text1"/>
          <w:szCs w:val="28"/>
          <w:lang w:val="en-US" w:eastAsia="zh-CN"/>
          <w14:textFill>
            <w14:solidFill>
              <w14:schemeClr w14:val="tx1"/>
            </w14:solidFill>
          </w14:textFill>
        </w:rPr>
        <w:t>软膜天花需通过 “张拉工艺” 固定在龙骨上，拉伸强度不足会导致安装时膜体被拉断，或出现局部拉伸变形（如鼓包、松弛），</w:t>
      </w:r>
      <w:r>
        <w:rPr>
          <w:rFonts w:hint="eastAsia" w:eastAsiaTheme="minorEastAsia"/>
          <w:color w:val="000000" w:themeColor="text1"/>
          <w:szCs w:val="28"/>
          <w:lang w:val="en-US" w:eastAsia="zh-CN"/>
          <w14:textFill>
            <w14:solidFill>
              <w14:schemeClr w14:val="tx1"/>
            </w14:solidFill>
          </w14:textFill>
        </w:rPr>
        <w:t>影响使用</w:t>
      </w:r>
      <w:r>
        <w:rPr>
          <w:rFonts w:hint="default" w:eastAsiaTheme="minorEastAsia"/>
          <w:color w:val="000000" w:themeColor="text1"/>
          <w:szCs w:val="28"/>
          <w:lang w:val="en-US" w:eastAsia="zh-CN"/>
          <w14:textFill>
            <w14:solidFill>
              <w14:schemeClr w14:val="tx1"/>
            </w14:solidFill>
          </w14:textFill>
        </w:rPr>
        <w:t>外观；使用阶段</w:t>
      </w:r>
      <w:r>
        <w:rPr>
          <w:rFonts w:hint="eastAsia" w:eastAsiaTheme="minorEastAsia"/>
          <w:color w:val="000000" w:themeColor="text1"/>
          <w:szCs w:val="28"/>
          <w:lang w:val="en-US" w:eastAsia="zh-CN"/>
          <w14:textFill>
            <w14:solidFill>
              <w14:schemeClr w14:val="tx1"/>
            </w14:solidFill>
          </w14:textFill>
        </w:rPr>
        <w:t>，</w:t>
      </w:r>
      <w:r>
        <w:rPr>
          <w:rFonts w:hint="default" w:eastAsiaTheme="minorEastAsia"/>
          <w:color w:val="000000" w:themeColor="text1"/>
          <w:szCs w:val="28"/>
          <w:lang w:val="en-US" w:eastAsia="zh-CN"/>
          <w14:textFill>
            <w14:solidFill>
              <w14:schemeClr w14:val="tx1"/>
            </w14:solidFill>
          </w14:textFill>
        </w:rPr>
        <w:t>PVC 软膜室内用需承受自身重量、轻微外力（如检修时的触碰），PVC/PVDF 复合软膜因覆盖 “室外型”，还需抵抗风荷载、雪荷载（如室外走廊吊顶受风拉扯），更高的拉伸强度（30MPa）可避免膜体断裂，确保结构可靠。</w:t>
      </w:r>
    </w:p>
    <w:p w14:paraId="7D01876A">
      <w:pPr>
        <w:numPr>
          <w:ilvl w:val="0"/>
          <w:numId w:val="0"/>
        </w:numPr>
        <w:spacing w:line="360" w:lineRule="auto"/>
        <w:ind w:firstLine="420" w:firstLineChars="0"/>
        <w:jc w:val="both"/>
        <w:rPr>
          <w:rFonts w:hint="default" w:eastAsiaTheme="minorEastAsia"/>
          <w:color w:val="000000" w:themeColor="text1"/>
          <w:szCs w:val="28"/>
          <w:lang w:val="en-US" w:eastAsia="zh-CN"/>
          <w14:textFill>
            <w14:solidFill>
              <w14:schemeClr w14:val="tx1"/>
            </w14:solidFill>
          </w14:textFill>
        </w:rPr>
      </w:pPr>
      <w:r>
        <w:rPr>
          <w:rFonts w:hint="default" w:eastAsiaTheme="minorEastAsia"/>
          <w:color w:val="000000" w:themeColor="text1"/>
          <w:szCs w:val="28"/>
          <w:lang w:val="en-US" w:eastAsia="zh-CN"/>
          <w14:textFill>
            <w14:solidFill>
              <w14:schemeClr w14:val="tx1"/>
            </w14:solidFill>
          </w14:textFill>
        </w:rPr>
        <w:t>结合软膜天花 “吊顶装饰” 的受力需求，将 PVC 室内型拉伸强度提高至≥15MPa（确保张拉安全），断裂伸长率≥160%（适配造型）；PVC/PVDF 复合软膜因 PVDF 涂层增强强度，故拉伸强度提高至≥30MPa。</w:t>
      </w:r>
    </w:p>
    <w:p w14:paraId="36839361">
      <w:pPr>
        <w:numPr>
          <w:ilvl w:val="0"/>
          <w:numId w:val="17"/>
        </w:numPr>
        <w:spacing w:line="360" w:lineRule="auto"/>
        <w:ind w:left="0" w:leftChars="0" w:firstLine="480" w:firstLineChars="200"/>
        <w:jc w:val="both"/>
        <w:rPr>
          <w:rFonts w:hint="default" w:eastAsiaTheme="minorEastAsia"/>
          <w:color w:val="000000" w:themeColor="text1"/>
          <w:szCs w:val="28"/>
          <w:lang w:val="en-US" w:eastAsia="zh-CN"/>
          <w14:textFill>
            <w14:solidFill>
              <w14:schemeClr w14:val="tx1"/>
            </w14:solidFill>
          </w14:textFill>
        </w:rPr>
      </w:pPr>
      <w:r>
        <w:rPr>
          <w:rFonts w:hint="default" w:eastAsiaTheme="minorEastAsia"/>
          <w:color w:val="000000" w:themeColor="text1"/>
          <w:szCs w:val="28"/>
          <w:lang w:val="en-US" w:eastAsia="zh-CN"/>
          <w14:textFill>
            <w14:solidFill>
              <w14:schemeClr w14:val="tx1"/>
            </w14:solidFill>
          </w14:textFill>
        </w:rPr>
        <w:t>断裂伸长率</w:t>
      </w:r>
    </w:p>
    <w:p w14:paraId="1CF4444E">
      <w:pPr>
        <w:numPr>
          <w:ilvl w:val="0"/>
          <w:numId w:val="0"/>
        </w:numPr>
        <w:spacing w:line="360" w:lineRule="auto"/>
        <w:ind w:firstLine="420" w:firstLineChars="0"/>
        <w:jc w:val="both"/>
        <w:rPr>
          <w:rFonts w:hint="default" w:eastAsiaTheme="minorEastAsia"/>
          <w:color w:val="000000" w:themeColor="text1"/>
          <w:szCs w:val="28"/>
          <w:lang w:val="en-US" w:eastAsia="zh-CN"/>
          <w14:textFill>
            <w14:solidFill>
              <w14:schemeClr w14:val="tx1"/>
            </w14:solidFill>
          </w14:textFill>
        </w:rPr>
      </w:pPr>
      <w:r>
        <w:rPr>
          <w:rFonts w:hint="default" w:eastAsiaTheme="minorEastAsia"/>
          <w:color w:val="000000" w:themeColor="text1"/>
          <w:szCs w:val="28"/>
          <w:lang w:val="en-US" w:eastAsia="zh-CN"/>
          <w14:textFill>
            <w14:solidFill>
              <w14:schemeClr w14:val="tx1"/>
            </w14:solidFill>
          </w14:textFill>
        </w:rPr>
        <w:t>提出原因：满足软膜的造型适配性与抗变形能力</w:t>
      </w:r>
    </w:p>
    <w:p w14:paraId="25E90414">
      <w:pPr>
        <w:numPr>
          <w:ilvl w:val="0"/>
          <w:numId w:val="0"/>
        </w:numPr>
        <w:spacing w:line="360" w:lineRule="auto"/>
        <w:ind w:firstLine="420" w:firstLineChars="0"/>
        <w:jc w:val="both"/>
        <w:rPr>
          <w:rFonts w:hint="default" w:eastAsiaTheme="minorEastAsia"/>
          <w:color w:val="000000" w:themeColor="text1"/>
          <w:szCs w:val="28"/>
          <w:lang w:val="en-US" w:eastAsia="zh-CN"/>
          <w14:textFill>
            <w14:solidFill>
              <w14:schemeClr w14:val="tx1"/>
            </w14:solidFill>
          </w14:textFill>
        </w:rPr>
      </w:pPr>
      <w:r>
        <w:rPr>
          <w:rFonts w:hint="eastAsia" w:eastAsiaTheme="minorEastAsia"/>
          <w:color w:val="000000" w:themeColor="text1"/>
          <w:szCs w:val="28"/>
          <w:lang w:val="en-US" w:eastAsia="zh-CN"/>
          <w14:textFill>
            <w14:solidFill>
              <w14:schemeClr w14:val="tx1"/>
            </w14:solidFill>
          </w14:textFill>
        </w:rPr>
        <w:t>首先需要满足</w:t>
      </w:r>
      <w:r>
        <w:rPr>
          <w:rFonts w:hint="default" w:eastAsiaTheme="minorEastAsia"/>
          <w:color w:val="000000" w:themeColor="text1"/>
          <w:szCs w:val="28"/>
          <w:lang w:val="en-US" w:eastAsia="zh-CN"/>
          <w14:textFill>
            <w14:solidFill>
              <w14:schemeClr w14:val="tx1"/>
            </w14:solidFill>
          </w14:textFill>
        </w:rPr>
        <w:t>造型需求</w:t>
      </w:r>
      <w:r>
        <w:rPr>
          <w:rFonts w:hint="eastAsia" w:eastAsiaTheme="minorEastAsia"/>
          <w:color w:val="000000" w:themeColor="text1"/>
          <w:szCs w:val="28"/>
          <w:lang w:val="en-US" w:eastAsia="zh-CN"/>
          <w14:textFill>
            <w14:solidFill>
              <w14:schemeClr w14:val="tx1"/>
            </w14:solidFill>
          </w14:textFill>
        </w:rPr>
        <w:t>，</w:t>
      </w:r>
      <w:r>
        <w:rPr>
          <w:rFonts w:hint="default" w:eastAsiaTheme="minorEastAsia"/>
          <w:color w:val="000000" w:themeColor="text1"/>
          <w:szCs w:val="28"/>
          <w:lang w:val="en-US" w:eastAsia="zh-CN"/>
          <w14:textFill>
            <w14:solidFill>
              <w14:schemeClr w14:val="tx1"/>
            </w14:solidFill>
          </w14:textFill>
        </w:rPr>
        <w:t>软膜天花常用于弧形、异形吊顶（如商场中庭、酒店大堂），需通过拉伸实现设计造型，断裂伸长率不足会导致拉伸时膜体开裂，无法适配复杂造型；</w:t>
      </w:r>
      <w:r>
        <w:rPr>
          <w:rFonts w:hint="eastAsia" w:eastAsiaTheme="minorEastAsia"/>
          <w:color w:val="000000" w:themeColor="text1"/>
          <w:szCs w:val="28"/>
          <w:lang w:val="en-US" w:eastAsia="zh-CN"/>
          <w14:textFill>
            <w14:solidFill>
              <w14:schemeClr w14:val="tx1"/>
            </w14:solidFill>
          </w14:textFill>
        </w:rPr>
        <w:t>此外，</w:t>
      </w:r>
      <w:r>
        <w:rPr>
          <w:rFonts w:hint="default" w:eastAsiaTheme="minorEastAsia"/>
          <w:color w:val="000000" w:themeColor="text1"/>
          <w:szCs w:val="28"/>
          <w:lang w:val="en-US" w:eastAsia="zh-CN"/>
          <w14:textFill>
            <w14:solidFill>
              <w14:schemeClr w14:val="tx1"/>
            </w14:solidFill>
          </w14:textFill>
        </w:rPr>
        <w:t>室内外温度波动会导致软膜热胀冷缩，足够的伸长率（150% 以上）可缓冲温度应力，避免膜体因收缩被拉裂，PVC/PVDF 复合软膜侧重耐候性，伸长率适度降低但仍满足变形需求。</w:t>
      </w:r>
    </w:p>
    <w:p w14:paraId="7CCDE81B">
      <w:pPr>
        <w:numPr>
          <w:ilvl w:val="0"/>
          <w:numId w:val="17"/>
        </w:numPr>
        <w:spacing w:line="360" w:lineRule="auto"/>
        <w:ind w:left="0" w:leftChars="0" w:firstLine="480" w:firstLineChars="200"/>
        <w:jc w:val="both"/>
        <w:rPr>
          <w:rFonts w:hint="default" w:eastAsiaTheme="minorEastAsia"/>
          <w:color w:val="000000" w:themeColor="text1"/>
          <w:szCs w:val="28"/>
          <w:lang w:val="en-US" w:eastAsia="zh-CN"/>
          <w14:textFill>
            <w14:solidFill>
              <w14:schemeClr w14:val="tx1"/>
            </w14:solidFill>
          </w14:textFill>
        </w:rPr>
      </w:pPr>
      <w:r>
        <w:rPr>
          <w:rFonts w:hint="default" w:eastAsiaTheme="minorEastAsia"/>
          <w:color w:val="000000" w:themeColor="text1"/>
          <w:szCs w:val="28"/>
          <w:lang w:val="en-US" w:eastAsia="zh-CN"/>
          <w14:textFill>
            <w14:solidFill>
              <w14:schemeClr w14:val="tx1"/>
            </w14:solidFill>
          </w14:textFill>
        </w:rPr>
        <w:t>直角撕裂强度</w:t>
      </w:r>
    </w:p>
    <w:p w14:paraId="22A9B046">
      <w:pPr>
        <w:numPr>
          <w:ilvl w:val="0"/>
          <w:numId w:val="0"/>
        </w:numPr>
        <w:spacing w:line="360" w:lineRule="auto"/>
        <w:ind w:firstLine="420" w:firstLineChars="0"/>
        <w:jc w:val="both"/>
        <w:rPr>
          <w:rFonts w:hint="default" w:eastAsiaTheme="minorEastAsia"/>
          <w:color w:val="000000" w:themeColor="text1"/>
          <w:szCs w:val="28"/>
          <w:lang w:val="en-US" w:eastAsia="zh-CN"/>
          <w14:textFill>
            <w14:solidFill>
              <w14:schemeClr w14:val="tx1"/>
            </w14:solidFill>
          </w14:textFill>
        </w:rPr>
      </w:pPr>
      <w:r>
        <w:rPr>
          <w:rFonts w:hint="default" w:eastAsiaTheme="minorEastAsia"/>
          <w:color w:val="000000" w:themeColor="text1"/>
          <w:szCs w:val="28"/>
          <w:lang w:val="en-US" w:eastAsia="zh-CN"/>
          <w14:textFill>
            <w14:solidFill>
              <w14:schemeClr w14:val="tx1"/>
            </w14:solidFill>
          </w14:textFill>
        </w:rPr>
        <w:t>提出原因：规避安装与使用中的撕裂风险</w:t>
      </w:r>
    </w:p>
    <w:p w14:paraId="1AFFC56C">
      <w:pPr>
        <w:numPr>
          <w:ilvl w:val="0"/>
          <w:numId w:val="0"/>
        </w:numPr>
        <w:spacing w:line="360" w:lineRule="auto"/>
        <w:ind w:firstLine="420" w:firstLineChars="0"/>
        <w:jc w:val="both"/>
        <w:rPr>
          <w:rFonts w:hint="default" w:eastAsiaTheme="minorEastAsia"/>
          <w:color w:val="000000" w:themeColor="text1"/>
          <w:szCs w:val="28"/>
          <w:lang w:val="en-US" w:eastAsia="zh-CN"/>
          <w14:textFill>
            <w14:solidFill>
              <w14:schemeClr w14:val="tx1"/>
            </w14:solidFill>
          </w14:textFill>
        </w:rPr>
      </w:pPr>
      <w:r>
        <w:rPr>
          <w:rFonts w:hint="default" w:eastAsiaTheme="minorEastAsia"/>
          <w:color w:val="000000" w:themeColor="text1"/>
          <w:szCs w:val="28"/>
          <w:lang w:val="en-US" w:eastAsia="zh-CN"/>
          <w14:textFill>
            <w14:solidFill>
              <w14:schemeClr w14:val="tx1"/>
            </w14:solidFill>
          </w14:textFill>
        </w:rPr>
        <w:t>软膜裁剪后边缘易受力（如搬运时边角磕碰、安装时拉扯），直角撕裂强度不足会导致从边缘开始撕裂，引发整体破损；室内外可能存在意外刮擦（如室内设备检修时工具刮碰、室外树枝刮擦），40kN/m 的撕裂强度可抵抗常见刮擦力，避免小破损扩大。</w:t>
      </w:r>
    </w:p>
    <w:p w14:paraId="552290BF">
      <w:pPr>
        <w:numPr>
          <w:ilvl w:val="0"/>
          <w:numId w:val="0"/>
        </w:numPr>
        <w:spacing w:line="360" w:lineRule="auto"/>
        <w:ind w:firstLine="420" w:firstLineChars="0"/>
        <w:jc w:val="both"/>
        <w:rPr>
          <w:rFonts w:hint="default" w:eastAsiaTheme="minorEastAsia"/>
          <w:color w:val="000000" w:themeColor="text1"/>
          <w:szCs w:val="28"/>
          <w:lang w:val="en-US" w:eastAsia="zh-CN"/>
          <w14:textFill>
            <w14:solidFill>
              <w14:schemeClr w14:val="tx1"/>
            </w14:solidFill>
          </w14:textFill>
        </w:rPr>
      </w:pPr>
      <w:r>
        <w:rPr>
          <w:rFonts w:hint="default" w:eastAsiaTheme="minorEastAsia"/>
          <w:color w:val="000000" w:themeColor="text1"/>
          <w:szCs w:val="28"/>
          <w:lang w:val="en-US" w:eastAsia="zh-CN"/>
          <w14:textFill>
            <w14:solidFill>
              <w14:schemeClr w14:val="tx1"/>
            </w14:solidFill>
          </w14:textFill>
        </w:rPr>
        <w:t>测试方法按 QB/T 1130《塑料直角撕裂性能试验方法》，数据参考 GB/T 3830 中 PVC 薄膜的撕裂强度要求（通常≥35kN/m），结合软膜安装时的撕裂风险，上调至≥40kN/m，确保抗撕裂冗余。</w:t>
      </w:r>
    </w:p>
    <w:p w14:paraId="296BD3EF">
      <w:pPr>
        <w:numPr>
          <w:ilvl w:val="0"/>
          <w:numId w:val="17"/>
        </w:numPr>
        <w:spacing w:line="360" w:lineRule="auto"/>
        <w:ind w:left="0" w:leftChars="0" w:firstLine="480" w:firstLineChars="200"/>
        <w:jc w:val="both"/>
        <w:rPr>
          <w:rFonts w:hint="default" w:eastAsiaTheme="minorEastAsia"/>
          <w:color w:val="000000" w:themeColor="text1"/>
          <w:szCs w:val="28"/>
          <w:lang w:val="en-US" w:eastAsia="zh-CN"/>
          <w14:textFill>
            <w14:solidFill>
              <w14:schemeClr w14:val="tx1"/>
            </w14:solidFill>
          </w14:textFill>
        </w:rPr>
      </w:pPr>
      <w:r>
        <w:rPr>
          <w:rFonts w:hint="default" w:eastAsiaTheme="minorEastAsia"/>
          <w:color w:val="000000" w:themeColor="text1"/>
          <w:szCs w:val="28"/>
          <w:lang w:val="en-US" w:eastAsia="zh-CN"/>
          <w14:textFill>
            <w14:solidFill>
              <w14:schemeClr w14:val="tx1"/>
            </w14:solidFill>
          </w14:textFill>
        </w:rPr>
        <w:t>可焊性</w:t>
      </w:r>
    </w:p>
    <w:p w14:paraId="09CF1C2D">
      <w:pPr>
        <w:numPr>
          <w:ilvl w:val="0"/>
          <w:numId w:val="0"/>
        </w:numPr>
        <w:spacing w:line="360" w:lineRule="auto"/>
        <w:ind w:firstLine="420" w:firstLineChars="0"/>
        <w:jc w:val="both"/>
        <w:rPr>
          <w:rFonts w:hint="default" w:eastAsiaTheme="minorEastAsia"/>
          <w:color w:val="000000" w:themeColor="text1"/>
          <w:szCs w:val="28"/>
          <w:lang w:val="en-US" w:eastAsia="zh-CN"/>
          <w14:textFill>
            <w14:solidFill>
              <w14:schemeClr w14:val="tx1"/>
            </w14:solidFill>
          </w14:textFill>
        </w:rPr>
      </w:pPr>
      <w:r>
        <w:rPr>
          <w:rFonts w:hint="default" w:eastAsiaTheme="minorEastAsia"/>
          <w:color w:val="000000" w:themeColor="text1"/>
          <w:szCs w:val="28"/>
          <w:lang w:val="en-US" w:eastAsia="zh-CN"/>
          <w14:textFill>
            <w14:solidFill>
              <w14:schemeClr w14:val="tx1"/>
            </w14:solidFill>
          </w14:textFill>
        </w:rPr>
        <w:t>提出原因：确保大面积拼接的结构完整性</w:t>
      </w:r>
    </w:p>
    <w:p w14:paraId="5D3C6C96">
      <w:pPr>
        <w:numPr>
          <w:ilvl w:val="0"/>
          <w:numId w:val="0"/>
        </w:numPr>
        <w:spacing w:line="360" w:lineRule="auto"/>
        <w:ind w:firstLine="420" w:firstLineChars="0"/>
        <w:jc w:val="both"/>
        <w:rPr>
          <w:rFonts w:hint="default" w:eastAsiaTheme="minorEastAsia"/>
          <w:color w:val="000000" w:themeColor="text1"/>
          <w:szCs w:val="28"/>
          <w:lang w:val="en-US" w:eastAsia="zh-CN"/>
          <w14:textFill>
            <w14:solidFill>
              <w14:schemeClr w14:val="tx1"/>
            </w14:solidFill>
          </w14:textFill>
        </w:rPr>
      </w:pPr>
      <w:r>
        <w:rPr>
          <w:rFonts w:hint="default" w:eastAsiaTheme="minorEastAsia"/>
          <w:color w:val="000000" w:themeColor="text1"/>
          <w:szCs w:val="28"/>
          <w:lang w:val="en-US" w:eastAsia="zh-CN"/>
          <w14:textFill>
            <w14:solidFill>
              <w14:schemeClr w14:val="tx1"/>
            </w14:solidFill>
          </w14:textFill>
        </w:rPr>
        <w:t>软膜天花多为大面积应用（如医院门诊大厅、大型超市），需通过热合拼接实现整体覆盖，若拼接处强度过低（低于母材 80%），会成为 “结构薄弱点”，长期使用中易因振动、温度变化导致拼接缝开裂，出现漏光（透光型软膜）、进水（室外型）等问题；</w:t>
      </w:r>
      <w:r>
        <w:rPr>
          <w:rFonts w:hint="eastAsia" w:eastAsiaTheme="minorEastAsia"/>
          <w:color w:val="000000" w:themeColor="text1"/>
          <w:szCs w:val="28"/>
          <w:lang w:val="en-US" w:eastAsia="zh-CN"/>
          <w14:textFill>
            <w14:solidFill>
              <w14:schemeClr w14:val="tx1"/>
            </w14:solidFill>
          </w14:textFill>
        </w:rPr>
        <w:t>此外，</w:t>
      </w:r>
      <w:r>
        <w:rPr>
          <w:rFonts w:hint="default" w:eastAsiaTheme="minorEastAsia"/>
          <w:color w:val="000000" w:themeColor="text1"/>
          <w:szCs w:val="28"/>
          <w:lang w:val="en-US" w:eastAsia="zh-CN"/>
          <w14:textFill>
            <w14:solidFill>
              <w14:schemeClr w14:val="tx1"/>
            </w14:solidFill>
          </w14:textFill>
        </w:rPr>
        <w:t>该要求为施工质量提供判定基准，避免企业以 “拼接强度达标” 为由掩盖工艺缺陷。行业内软膜热合工艺普遍能达到 “母材 80% 以上” 的强度，故以此为基准，确保拼接可靠。</w:t>
      </w:r>
    </w:p>
    <w:p w14:paraId="7F0D6DF9">
      <w:pPr>
        <w:numPr>
          <w:ilvl w:val="0"/>
          <w:numId w:val="17"/>
        </w:numPr>
        <w:spacing w:line="360" w:lineRule="auto"/>
        <w:ind w:left="0" w:leftChars="0" w:firstLine="480" w:firstLineChars="200"/>
        <w:jc w:val="both"/>
        <w:rPr>
          <w:rFonts w:hint="default" w:eastAsiaTheme="minorEastAsia"/>
          <w:color w:val="000000" w:themeColor="text1"/>
          <w:szCs w:val="28"/>
          <w:lang w:val="en-US" w:eastAsia="zh-CN"/>
          <w14:textFill>
            <w14:solidFill>
              <w14:schemeClr w14:val="tx1"/>
            </w14:solidFill>
          </w14:textFill>
        </w:rPr>
      </w:pPr>
      <w:r>
        <w:rPr>
          <w:rFonts w:hint="default" w:eastAsiaTheme="minorEastAsia"/>
          <w:color w:val="000000" w:themeColor="text1"/>
          <w:szCs w:val="28"/>
          <w:lang w:val="en-US" w:eastAsia="zh-CN"/>
          <w14:textFill>
            <w14:solidFill>
              <w14:schemeClr w14:val="tx1"/>
            </w14:solidFill>
          </w14:textFill>
        </w:rPr>
        <w:t>尺寸变化率</w:t>
      </w:r>
    </w:p>
    <w:p w14:paraId="0F69406A">
      <w:pPr>
        <w:numPr>
          <w:ilvl w:val="0"/>
          <w:numId w:val="0"/>
        </w:numPr>
        <w:spacing w:line="360" w:lineRule="auto"/>
        <w:ind w:firstLine="420" w:firstLineChars="0"/>
        <w:jc w:val="both"/>
        <w:rPr>
          <w:rFonts w:hint="default" w:eastAsiaTheme="minorEastAsia"/>
          <w:color w:val="000000" w:themeColor="text1"/>
          <w:szCs w:val="28"/>
          <w:lang w:val="en-US" w:eastAsia="zh-CN"/>
          <w14:textFill>
            <w14:solidFill>
              <w14:schemeClr w14:val="tx1"/>
            </w14:solidFill>
          </w14:textFill>
        </w:rPr>
      </w:pPr>
      <w:r>
        <w:rPr>
          <w:rFonts w:hint="default" w:eastAsiaTheme="minorEastAsia"/>
          <w:color w:val="000000" w:themeColor="text1"/>
          <w:szCs w:val="28"/>
          <w:lang w:val="en-US" w:eastAsia="zh-CN"/>
          <w14:textFill>
            <w14:solidFill>
              <w14:schemeClr w14:val="tx1"/>
            </w14:solidFill>
          </w14:textFill>
        </w:rPr>
        <w:t>提出原因：保障软膜长期使用的外观稳定性</w:t>
      </w:r>
    </w:p>
    <w:p w14:paraId="6BEE1B18">
      <w:pPr>
        <w:numPr>
          <w:ilvl w:val="0"/>
          <w:numId w:val="0"/>
        </w:numPr>
        <w:spacing w:line="360" w:lineRule="auto"/>
        <w:ind w:firstLine="420" w:firstLineChars="0"/>
        <w:jc w:val="both"/>
        <w:rPr>
          <w:rFonts w:hint="default" w:eastAsiaTheme="minorEastAsia"/>
          <w:color w:val="000000" w:themeColor="text1"/>
          <w:szCs w:val="28"/>
          <w:lang w:val="en-US" w:eastAsia="zh-CN"/>
          <w14:textFill>
            <w14:solidFill>
              <w14:schemeClr w14:val="tx1"/>
            </w14:solidFill>
          </w14:textFill>
        </w:rPr>
      </w:pPr>
      <w:r>
        <w:rPr>
          <w:rFonts w:hint="default" w:eastAsiaTheme="minorEastAsia"/>
          <w:color w:val="000000" w:themeColor="text1"/>
          <w:szCs w:val="28"/>
          <w:lang w:val="en-US" w:eastAsia="zh-CN"/>
          <w14:textFill>
            <w14:solidFill>
              <w14:schemeClr w14:val="tx1"/>
            </w14:solidFill>
          </w14:textFill>
        </w:rPr>
        <w:t>软膜在使用中会经历温度变化（如室内空调启停、室外昼夜温差），尺寸变化率过大会导致吊顶起皱（收缩）或拉扯龙骨（膨胀），破坏 “表面平整” 的外观；</w:t>
      </w:r>
      <w:r>
        <w:rPr>
          <w:rFonts w:hint="eastAsia" w:eastAsiaTheme="minorEastAsia"/>
          <w:color w:val="000000" w:themeColor="text1"/>
          <w:szCs w:val="28"/>
          <w:lang w:val="en-US" w:eastAsia="zh-CN"/>
          <w14:textFill>
            <w14:solidFill>
              <w14:schemeClr w14:val="tx1"/>
            </w14:solidFill>
          </w14:textFill>
        </w:rPr>
        <w:t>另外，</w:t>
      </w:r>
      <w:r>
        <w:rPr>
          <w:rFonts w:hint="default" w:eastAsiaTheme="minorEastAsia"/>
          <w:color w:val="000000" w:themeColor="text1"/>
          <w:szCs w:val="28"/>
          <w:lang w:val="en-US" w:eastAsia="zh-CN"/>
          <w14:textFill>
            <w14:solidFill>
              <w14:schemeClr w14:val="tx1"/>
            </w14:solidFill>
          </w14:textFill>
        </w:rPr>
        <w:t>尺寸变化率≤5% 可确保软膜安装后，即使温度波动，也不会因尺寸偏差过大导致与龙骨脱离。PVC 材料在该条件下的常见尺寸变化率为 3%</w:t>
      </w:r>
      <w:r>
        <w:rPr>
          <w:rFonts w:hint="eastAsia" w:eastAsiaTheme="minorEastAsia"/>
          <w:color w:val="000000" w:themeColor="text1"/>
          <w:szCs w:val="28"/>
          <w:lang w:val="en-US" w:eastAsia="zh-CN"/>
          <w14:textFill>
            <w14:solidFill>
              <w14:schemeClr w14:val="tx1"/>
            </w14:solidFill>
          </w14:textFill>
        </w:rPr>
        <w:t>～</w:t>
      </w:r>
      <w:r>
        <w:rPr>
          <w:rFonts w:hint="default" w:eastAsiaTheme="minorEastAsia"/>
          <w:color w:val="000000" w:themeColor="text1"/>
          <w:szCs w:val="28"/>
          <w:lang w:val="en-US" w:eastAsia="zh-CN"/>
          <w14:textFill>
            <w14:solidFill>
              <w14:schemeClr w14:val="tx1"/>
            </w14:solidFill>
          </w14:textFill>
        </w:rPr>
        <w:t>5%，故限定≤5%，兼容材料特性与使用需求。</w:t>
      </w:r>
    </w:p>
    <w:p w14:paraId="0400FA59">
      <w:pPr>
        <w:numPr>
          <w:ilvl w:val="0"/>
          <w:numId w:val="17"/>
        </w:numPr>
        <w:spacing w:line="360" w:lineRule="auto"/>
        <w:ind w:left="0" w:leftChars="0" w:firstLine="480" w:firstLineChars="200"/>
        <w:jc w:val="both"/>
        <w:rPr>
          <w:rFonts w:hint="default" w:eastAsiaTheme="minorEastAsia"/>
          <w:color w:val="000000" w:themeColor="text1"/>
          <w:szCs w:val="28"/>
          <w:lang w:val="en-US" w:eastAsia="zh-CN"/>
          <w14:textFill>
            <w14:solidFill>
              <w14:schemeClr w14:val="tx1"/>
            </w14:solidFill>
          </w14:textFill>
        </w:rPr>
      </w:pPr>
      <w:r>
        <w:rPr>
          <w:rFonts w:hint="default" w:eastAsiaTheme="minorEastAsia"/>
          <w:color w:val="000000" w:themeColor="text1"/>
          <w:szCs w:val="28"/>
          <w:lang w:val="en-US" w:eastAsia="zh-CN"/>
          <w14:textFill>
            <w14:solidFill>
              <w14:schemeClr w14:val="tx1"/>
            </w14:solidFill>
          </w14:textFill>
        </w:rPr>
        <w:t>加热损失率</w:t>
      </w:r>
    </w:p>
    <w:p w14:paraId="6D797BBE">
      <w:pPr>
        <w:numPr>
          <w:ilvl w:val="0"/>
          <w:numId w:val="0"/>
        </w:numPr>
        <w:spacing w:line="360" w:lineRule="auto"/>
        <w:ind w:firstLine="420" w:firstLineChars="0"/>
        <w:jc w:val="both"/>
        <w:rPr>
          <w:rFonts w:hint="default" w:eastAsiaTheme="minorEastAsia"/>
          <w:color w:val="000000" w:themeColor="text1"/>
          <w:szCs w:val="28"/>
          <w:lang w:val="en-US" w:eastAsia="zh-CN"/>
          <w14:textFill>
            <w14:solidFill>
              <w14:schemeClr w14:val="tx1"/>
            </w14:solidFill>
          </w14:textFill>
        </w:rPr>
      </w:pPr>
      <w:r>
        <w:rPr>
          <w:rFonts w:hint="default" w:eastAsiaTheme="minorEastAsia"/>
          <w:color w:val="000000" w:themeColor="text1"/>
          <w:szCs w:val="28"/>
          <w:lang w:val="en-US" w:eastAsia="zh-CN"/>
          <w14:textFill>
            <w14:solidFill>
              <w14:schemeClr w14:val="tx1"/>
            </w14:solidFill>
          </w14:textFill>
        </w:rPr>
        <w:t>提出原因：控制软膜的老化速度，延长使用寿命</w:t>
      </w:r>
    </w:p>
    <w:p w14:paraId="6637FE90">
      <w:pPr>
        <w:numPr>
          <w:ilvl w:val="0"/>
          <w:numId w:val="0"/>
        </w:numPr>
        <w:spacing w:line="360" w:lineRule="auto"/>
        <w:ind w:firstLine="420" w:firstLineChars="0"/>
        <w:jc w:val="both"/>
        <w:rPr>
          <w:rFonts w:hint="default" w:eastAsiaTheme="minorEastAsia"/>
          <w:color w:val="000000" w:themeColor="text1"/>
          <w:szCs w:val="28"/>
          <w:lang w:val="en-US" w:eastAsia="zh-CN"/>
          <w14:textFill>
            <w14:solidFill>
              <w14:schemeClr w14:val="tx1"/>
            </w14:solidFill>
          </w14:textFill>
        </w:rPr>
      </w:pPr>
      <w:r>
        <w:rPr>
          <w:rFonts w:hint="default" w:eastAsiaTheme="minorEastAsia"/>
          <w:color w:val="000000" w:themeColor="text1"/>
          <w:szCs w:val="28"/>
          <w:lang w:val="en-US" w:eastAsia="zh-CN"/>
          <w14:textFill>
            <w14:solidFill>
              <w14:schemeClr w14:val="tx1"/>
            </w14:solidFill>
          </w14:textFill>
        </w:rPr>
        <w:t>PVC 软膜含增塑剂等易挥发成分，加热损失率反映此类成分的含量 —— 损失率过高（＞2%），长期使用中增塑剂挥发会导致膜体变硬、变脆，拉伸强度、断裂伸长率大幅下降，出现开裂、脱落；易挥发成分过量挥发可能影响室内空气质量，控制加热损失率（≤2%）可减少挥发物释放。</w:t>
      </w:r>
    </w:p>
    <w:p w14:paraId="4844E9C9">
      <w:pPr>
        <w:numPr>
          <w:ilvl w:val="0"/>
          <w:numId w:val="0"/>
        </w:numPr>
        <w:spacing w:line="360" w:lineRule="auto"/>
        <w:ind w:firstLine="420" w:firstLineChars="0"/>
        <w:jc w:val="both"/>
        <w:rPr>
          <w:rFonts w:hint="default" w:eastAsiaTheme="minorEastAsia"/>
          <w:color w:val="000000" w:themeColor="text1"/>
          <w:szCs w:val="28"/>
          <w:lang w:val="en-US" w:eastAsia="zh-CN"/>
          <w14:textFill>
            <w14:solidFill>
              <w14:schemeClr w14:val="tx1"/>
            </w14:solidFill>
          </w14:textFill>
        </w:rPr>
      </w:pPr>
      <w:r>
        <w:rPr>
          <w:rFonts w:hint="default" w:eastAsiaTheme="minorEastAsia"/>
          <w:color w:val="000000" w:themeColor="text1"/>
          <w:szCs w:val="28"/>
          <w:lang w:val="en-US" w:eastAsia="zh-CN"/>
          <w14:textFill>
            <w14:solidFill>
              <w14:schemeClr w14:val="tx1"/>
            </w14:solidFill>
          </w14:textFill>
        </w:rPr>
        <w:t>测试方法按 GB/T 3830，该标准对 PVC 薄膜的加热损失率要求为≤2%，软膜天花作为长期使用的装饰材料，沿用此指标以控制易挥发成分含量，避免老化。</w:t>
      </w:r>
    </w:p>
    <w:p w14:paraId="42D60FE0">
      <w:pPr>
        <w:numPr>
          <w:ilvl w:val="0"/>
          <w:numId w:val="17"/>
        </w:numPr>
        <w:spacing w:line="360" w:lineRule="auto"/>
        <w:ind w:left="0" w:leftChars="0" w:firstLine="480" w:firstLineChars="200"/>
        <w:jc w:val="both"/>
        <w:rPr>
          <w:rFonts w:hint="default" w:eastAsiaTheme="minorEastAsia"/>
          <w:color w:val="000000" w:themeColor="text1"/>
          <w:szCs w:val="28"/>
          <w:lang w:val="en-US" w:eastAsia="zh-CN"/>
          <w14:textFill>
            <w14:solidFill>
              <w14:schemeClr w14:val="tx1"/>
            </w14:solidFill>
          </w14:textFill>
        </w:rPr>
      </w:pPr>
      <w:r>
        <w:rPr>
          <w:rFonts w:hint="default" w:eastAsiaTheme="minorEastAsia"/>
          <w:color w:val="000000" w:themeColor="text1"/>
          <w:szCs w:val="28"/>
          <w:lang w:val="en-US" w:eastAsia="zh-CN"/>
          <w14:textFill>
            <w14:solidFill>
              <w14:schemeClr w14:val="tx1"/>
            </w14:solidFill>
          </w14:textFill>
        </w:rPr>
        <w:t>防霉等级</w:t>
      </w:r>
    </w:p>
    <w:p w14:paraId="0F8EF315">
      <w:pPr>
        <w:numPr>
          <w:ilvl w:val="0"/>
          <w:numId w:val="0"/>
        </w:numPr>
        <w:spacing w:line="360" w:lineRule="auto"/>
        <w:ind w:firstLine="420" w:firstLineChars="0"/>
        <w:jc w:val="both"/>
        <w:rPr>
          <w:rFonts w:hint="default" w:eastAsiaTheme="minorEastAsia"/>
          <w:color w:val="000000" w:themeColor="text1"/>
          <w:szCs w:val="28"/>
          <w:lang w:val="en-US" w:eastAsia="zh-CN"/>
          <w14:textFill>
            <w14:solidFill>
              <w14:schemeClr w14:val="tx1"/>
            </w14:solidFill>
          </w14:textFill>
        </w:rPr>
      </w:pPr>
      <w:r>
        <w:rPr>
          <w:rFonts w:hint="default" w:eastAsiaTheme="minorEastAsia"/>
          <w:color w:val="000000" w:themeColor="text1"/>
          <w:szCs w:val="28"/>
          <w:lang w:val="en-US" w:eastAsia="zh-CN"/>
          <w14:textFill>
            <w14:solidFill>
              <w14:schemeClr w14:val="tx1"/>
            </w14:solidFill>
          </w14:textFill>
        </w:rPr>
        <w:t>提出原因：适应潮湿室内环境，保障卫生与外观</w:t>
      </w:r>
    </w:p>
    <w:p w14:paraId="24C5114E">
      <w:pPr>
        <w:numPr>
          <w:ilvl w:val="0"/>
          <w:numId w:val="0"/>
        </w:numPr>
        <w:spacing w:line="360" w:lineRule="auto"/>
        <w:ind w:firstLine="420" w:firstLineChars="0"/>
        <w:jc w:val="both"/>
        <w:rPr>
          <w:rFonts w:hint="default" w:eastAsiaTheme="minorEastAsia"/>
          <w:color w:val="000000" w:themeColor="text1"/>
          <w:szCs w:val="28"/>
          <w:lang w:val="en-US" w:eastAsia="zh-CN"/>
          <w14:textFill>
            <w14:solidFill>
              <w14:schemeClr w14:val="tx1"/>
            </w14:solidFill>
          </w14:textFill>
        </w:rPr>
      </w:pPr>
      <w:r>
        <w:rPr>
          <w:rFonts w:hint="default" w:eastAsiaTheme="minorEastAsia"/>
          <w:color w:val="000000" w:themeColor="text1"/>
          <w:szCs w:val="28"/>
          <w:lang w:val="en-US" w:eastAsia="zh-CN"/>
          <w14:textFill>
            <w14:solidFill>
              <w14:schemeClr w14:val="tx1"/>
            </w14:solidFill>
          </w14:textFill>
        </w:rPr>
        <w:t>PVC 软膜、PVC/PVDF 复合软膜室内型常应用于卫生间、医院诊室、地下车库等湿度较高的场景，易滋生霉菌 —— 霉菌会破坏膜体表面（出现黑斑）、产生异味，影响卫生安全与装饰效果；0 级是 GB/T 24128《塑料 塑料防霉剂的防霉效果评估》中的最高防霉等级（无霉菌生长），可确保软膜在潮湿环境下长期使用不发霉。</w:t>
      </w:r>
    </w:p>
    <w:p w14:paraId="76AAAEF2">
      <w:pPr>
        <w:numPr>
          <w:ilvl w:val="0"/>
          <w:numId w:val="16"/>
        </w:numPr>
        <w:spacing w:line="360" w:lineRule="auto"/>
        <w:ind w:left="425" w:leftChars="0" w:hanging="425" w:firstLineChars="0"/>
        <w:jc w:val="both"/>
        <w:rPr>
          <w:rFonts w:hint="default" w:eastAsiaTheme="minorEastAsia"/>
          <w:b/>
          <w:bCs/>
          <w:color w:val="000000" w:themeColor="text1"/>
          <w:szCs w:val="28"/>
          <w:lang w:val="en-US" w:eastAsia="zh-CN"/>
          <w14:textFill>
            <w14:solidFill>
              <w14:schemeClr w14:val="tx1"/>
            </w14:solidFill>
          </w14:textFill>
        </w:rPr>
      </w:pPr>
      <w:r>
        <w:rPr>
          <w:rFonts w:hint="eastAsia" w:eastAsiaTheme="minorEastAsia"/>
          <w:b/>
          <w:bCs/>
          <w:color w:val="000000" w:themeColor="text1"/>
          <w:szCs w:val="28"/>
          <w:lang w:val="en-US" w:eastAsia="zh-CN"/>
          <w14:textFill>
            <w14:solidFill>
              <w14:schemeClr w14:val="tx1"/>
            </w14:solidFill>
          </w14:textFill>
        </w:rPr>
        <w:t>ETFE软膜的理化性能指标</w:t>
      </w:r>
    </w:p>
    <w:p w14:paraId="2237E006">
      <w:pPr>
        <w:numPr>
          <w:ilvl w:val="0"/>
          <w:numId w:val="0"/>
        </w:numPr>
        <w:spacing w:line="360" w:lineRule="auto"/>
        <w:ind w:firstLine="420" w:firstLineChars="0"/>
        <w:jc w:val="both"/>
        <w:rPr>
          <w:rFonts w:hint="eastAsia" w:eastAsiaTheme="minorEastAsia"/>
          <w:color w:val="000000" w:themeColor="text1"/>
          <w:szCs w:val="28"/>
          <w:lang w:val="en-US" w:eastAsia="zh-CN"/>
          <w14:textFill>
            <w14:solidFill>
              <w14:schemeClr w14:val="tx1"/>
            </w14:solidFill>
          </w14:textFill>
        </w:rPr>
      </w:pPr>
      <w:r>
        <w:rPr>
          <w:rFonts w:hint="default" w:eastAsiaTheme="minorEastAsia"/>
          <w:color w:val="000000" w:themeColor="text1"/>
          <w:szCs w:val="28"/>
          <w:lang w:val="en-US" w:eastAsia="zh-CN"/>
          <w14:textFill>
            <w14:solidFill>
              <w14:schemeClr w14:val="tx1"/>
            </w14:solidFill>
          </w14:textFill>
        </w:rPr>
        <w:t>ETFE 软膜常应用于室外吊顶（如商业综合体户外连廊、景观亭），需承受风荷载、雪荷载（如积雪积压产生的竖向拉力），40MPa 的拉伸强度可确保膜体在极端荷载下（如 8 级风、5cm 积雪）不被拉断，避免结构坍塌风险</w:t>
      </w:r>
      <w:r>
        <w:rPr>
          <w:rFonts w:hint="eastAsia" w:eastAsiaTheme="minorEastAsia"/>
          <w:color w:val="000000" w:themeColor="text1"/>
          <w:szCs w:val="28"/>
          <w:lang w:val="en-US" w:eastAsia="zh-CN"/>
          <w14:textFill>
            <w14:solidFill>
              <w14:schemeClr w14:val="tx1"/>
            </w14:solidFill>
          </w14:textFill>
        </w:rPr>
        <w:t>。室内高端场景（如机场航站楼、大型展览馆）的 ETFE 软膜吊顶，可能存在大面积张拉（单块膜面积超 10㎡），高拉伸强度可避免膜体因自身重量或轻微外力（如检修人员临时踩踏）导致的拉伸变形，维持 “表面平整” 的外观。</w:t>
      </w:r>
    </w:p>
    <w:p w14:paraId="43D9DC35">
      <w:pPr>
        <w:numPr>
          <w:ilvl w:val="0"/>
          <w:numId w:val="0"/>
        </w:numPr>
        <w:spacing w:line="360" w:lineRule="auto"/>
        <w:ind w:firstLine="420" w:firstLineChars="0"/>
        <w:jc w:val="both"/>
        <w:rPr>
          <w:rFonts w:hint="eastAsia" w:eastAsiaTheme="minorEastAsia"/>
          <w:color w:val="000000" w:themeColor="text1"/>
          <w:szCs w:val="28"/>
          <w:lang w:val="en-US" w:eastAsia="zh-CN"/>
          <w14:textFill>
            <w14:solidFill>
              <w14:schemeClr w14:val="tx1"/>
            </w14:solidFill>
          </w14:textFill>
        </w:rPr>
      </w:pPr>
      <w:r>
        <w:rPr>
          <w:rFonts w:hint="eastAsia" w:eastAsiaTheme="minorEastAsia"/>
          <w:color w:val="000000" w:themeColor="text1"/>
          <w:szCs w:val="28"/>
          <w:lang w:val="en-US" w:eastAsia="zh-CN"/>
          <w14:textFill>
            <w14:solidFill>
              <w14:schemeClr w14:val="tx1"/>
            </w14:solidFill>
          </w14:textFill>
        </w:rPr>
        <w:t>ETFE 软膜因柔韧性极佳，常用于弧形、穹顶等复杂异形吊顶，400% 的断裂伸长率可允许膜体在安装时大幅拉伸（如拉伸至原长度的 3 倍）而不破裂，精准实现设计造型，避免因伸长率不足导致的开裂报废；室外 ETFE 软膜需承受昼夜温差（如北方地区昼夜温差 20℃以上）与季节温差，高伸长率可缓冲热胀冷缩产生的应力，避免膜体因收缩拉裂或膨胀挤压龙骨，避免安装后因环境变化导致故障。</w:t>
      </w:r>
    </w:p>
    <w:p w14:paraId="45AFCF74">
      <w:pPr>
        <w:numPr>
          <w:ilvl w:val="0"/>
          <w:numId w:val="0"/>
        </w:numPr>
        <w:spacing w:line="360" w:lineRule="auto"/>
        <w:ind w:firstLine="420" w:firstLineChars="0"/>
        <w:jc w:val="both"/>
        <w:rPr>
          <w:rFonts w:hint="eastAsia" w:eastAsiaTheme="minorEastAsia"/>
          <w:color w:val="000000" w:themeColor="text1"/>
          <w:szCs w:val="28"/>
          <w:lang w:val="en-US" w:eastAsia="zh-CN"/>
          <w14:textFill>
            <w14:solidFill>
              <w14:schemeClr w14:val="tx1"/>
            </w14:solidFill>
          </w14:textFill>
        </w:rPr>
      </w:pPr>
      <w:r>
        <w:rPr>
          <w:rFonts w:hint="default" w:eastAsiaTheme="minorEastAsia"/>
          <w:color w:val="000000" w:themeColor="text1"/>
          <w:szCs w:val="28"/>
          <w:lang w:val="en-US" w:eastAsia="zh-CN"/>
          <w14:textFill>
            <w14:solidFill>
              <w14:schemeClr w14:val="tx1"/>
            </w14:solidFill>
          </w14:textFill>
        </w:rPr>
        <w:t>ETFE 软膜吊顶多为大面积应用（如体育场馆附属用房、商业中庭），需通过热合拼接实现整体覆盖，若拼接处强度过低（低于母材 80%），会成为 “结构薄弱点”—— 室外场景中，风荷载反复作用易导致拼接缝开裂，出现漏雨；室内透光型 ETFE 软膜则会因拼接缝开裂导致出光不均，破坏装饰效果</w:t>
      </w:r>
      <w:r>
        <w:rPr>
          <w:rFonts w:hint="eastAsia" w:eastAsiaTheme="minorEastAsia"/>
          <w:color w:val="000000" w:themeColor="text1"/>
          <w:szCs w:val="28"/>
          <w:lang w:val="en-US" w:eastAsia="zh-CN"/>
          <w14:textFill>
            <w14:solidFill>
              <w14:schemeClr w14:val="tx1"/>
            </w14:solidFill>
          </w14:textFill>
        </w:rPr>
        <w:t>。</w:t>
      </w:r>
    </w:p>
    <w:p w14:paraId="27A8F1CF">
      <w:pPr>
        <w:numPr>
          <w:ilvl w:val="0"/>
          <w:numId w:val="0"/>
        </w:numPr>
        <w:spacing w:line="360" w:lineRule="auto"/>
        <w:ind w:firstLine="420" w:firstLineChars="0"/>
        <w:jc w:val="both"/>
        <w:rPr>
          <w:rFonts w:hint="eastAsia" w:eastAsiaTheme="minorEastAsia"/>
          <w:color w:val="000000" w:themeColor="text1"/>
          <w:szCs w:val="28"/>
          <w:lang w:val="en-US" w:eastAsia="zh-CN"/>
          <w14:textFill>
            <w14:solidFill>
              <w14:schemeClr w14:val="tx1"/>
            </w14:solidFill>
          </w14:textFill>
        </w:rPr>
      </w:pPr>
      <w:r>
        <w:rPr>
          <w:rFonts w:hint="eastAsia" w:eastAsiaTheme="minorEastAsia"/>
          <w:color w:val="000000" w:themeColor="text1"/>
          <w:szCs w:val="28"/>
          <w:lang w:val="en-US" w:eastAsia="zh-CN"/>
          <w14:textFill>
            <w14:solidFill>
              <w14:schemeClr w14:val="tx1"/>
            </w14:solidFill>
          </w14:textFill>
        </w:rPr>
        <w:t>尺寸变化率、防霉性能的要求依据与PVC软膜一致。</w:t>
      </w:r>
    </w:p>
    <w:p w14:paraId="3B99BB9F">
      <w:pPr>
        <w:numPr>
          <w:ilvl w:val="0"/>
          <w:numId w:val="16"/>
        </w:numPr>
        <w:spacing w:line="360" w:lineRule="auto"/>
        <w:ind w:left="425" w:leftChars="0" w:hanging="425" w:firstLineChars="0"/>
        <w:jc w:val="both"/>
        <w:rPr>
          <w:rFonts w:hint="default" w:eastAsiaTheme="minorEastAsia"/>
          <w:b/>
          <w:bCs/>
          <w:color w:val="000000" w:themeColor="text1"/>
          <w:szCs w:val="28"/>
          <w:lang w:val="en-US" w:eastAsia="zh-CN"/>
          <w14:textFill>
            <w14:solidFill>
              <w14:schemeClr w14:val="tx1"/>
            </w14:solidFill>
          </w14:textFill>
        </w:rPr>
      </w:pPr>
      <w:r>
        <w:rPr>
          <w:rFonts w:hint="default" w:eastAsiaTheme="minorEastAsia"/>
          <w:b/>
          <w:bCs/>
          <w:color w:val="000000" w:themeColor="text1"/>
          <w:szCs w:val="28"/>
          <w:lang w:val="en-US" w:eastAsia="zh-CN"/>
          <w14:textFill>
            <w14:solidFill>
              <w14:schemeClr w14:val="tx1"/>
            </w14:solidFill>
          </w14:textFill>
        </w:rPr>
        <w:t>玻璃纤维涂层织物软膜</w:t>
      </w:r>
    </w:p>
    <w:p w14:paraId="4ACDCFDE">
      <w:pPr>
        <w:numPr>
          <w:ilvl w:val="0"/>
          <w:numId w:val="0"/>
        </w:numPr>
        <w:spacing w:line="360" w:lineRule="auto"/>
        <w:ind w:firstLine="420" w:firstLineChars="0"/>
        <w:jc w:val="both"/>
        <w:rPr>
          <w:rFonts w:hint="default" w:eastAsiaTheme="minorEastAsia"/>
          <w:color w:val="000000" w:themeColor="text1"/>
          <w:szCs w:val="28"/>
          <w:lang w:val="en-US" w:eastAsia="zh-CN"/>
          <w14:textFill>
            <w14:solidFill>
              <w14:schemeClr w14:val="tx1"/>
            </w14:solidFill>
          </w14:textFill>
        </w:rPr>
      </w:pPr>
    </w:p>
    <w:p w14:paraId="1F5ACB25">
      <w:pPr>
        <w:numPr>
          <w:ilvl w:val="0"/>
          <w:numId w:val="0"/>
        </w:numPr>
        <w:spacing w:line="360" w:lineRule="auto"/>
        <w:ind w:firstLine="420" w:firstLineChars="0"/>
        <w:jc w:val="both"/>
        <w:rPr>
          <w:rFonts w:hint="default" w:eastAsiaTheme="minorEastAsia"/>
          <w:color w:val="000000" w:themeColor="text1"/>
          <w:szCs w:val="28"/>
          <w:lang w:val="en-US" w:eastAsia="zh-CN"/>
          <w14:textFill>
            <w14:solidFill>
              <w14:schemeClr w14:val="tx1"/>
            </w14:solidFill>
          </w14:textFill>
        </w:rPr>
      </w:pPr>
      <w:r>
        <w:rPr>
          <w:rFonts w:hint="eastAsia" w:eastAsiaTheme="minorEastAsia"/>
          <w:color w:val="000000" w:themeColor="text1"/>
          <w:szCs w:val="28"/>
          <w:lang w:val="en-US" w:eastAsia="zh-CN"/>
          <w14:textFill>
            <w14:solidFill>
              <w14:schemeClr w14:val="tx1"/>
            </w14:solidFill>
          </w14:textFill>
        </w:rPr>
        <w:t>国家针对玻璃纤维涂层织物软膜制定了国家标准</w:t>
      </w:r>
      <w:r>
        <w:rPr>
          <w:rFonts w:hint="default" w:eastAsiaTheme="minorEastAsia"/>
          <w:color w:val="000000" w:themeColor="text1"/>
          <w:szCs w:val="28"/>
          <w:lang w:val="en-US" w:eastAsia="zh-CN"/>
          <w14:textFill>
            <w14:solidFill>
              <w14:schemeClr w14:val="tx1"/>
            </w14:solidFill>
          </w14:textFill>
        </w:rPr>
        <w:t>GB/T 25042-2024</w:t>
      </w:r>
      <w:r>
        <w:rPr>
          <w:rFonts w:hint="eastAsia" w:eastAsiaTheme="minorEastAsia"/>
          <w:color w:val="000000" w:themeColor="text1"/>
          <w:szCs w:val="28"/>
          <w:lang w:val="en-US" w:eastAsia="zh-CN"/>
          <w14:textFill>
            <w14:solidFill>
              <w14:schemeClr w14:val="tx1"/>
            </w14:solidFill>
          </w14:textFill>
        </w:rPr>
        <w:t>，其中规定了内膜、外膜、网格膜等不同类型和用途软膜产品的性能要求。本标准对于玻璃纤维涂层织物软膜这类产品的理化性能，直接等同采用</w:t>
      </w:r>
    </w:p>
    <w:p w14:paraId="6F07BA7F">
      <w:pPr>
        <w:numPr>
          <w:ilvl w:val="0"/>
          <w:numId w:val="0"/>
        </w:numPr>
        <w:spacing w:line="360" w:lineRule="auto"/>
        <w:ind w:firstLine="420" w:firstLineChars="0"/>
        <w:jc w:val="both"/>
        <w:rPr>
          <w:rFonts w:hint="default" w:eastAsiaTheme="minorEastAsia"/>
          <w:color w:val="000000" w:themeColor="text1"/>
          <w:szCs w:val="28"/>
          <w:lang w:val="en-US" w:eastAsia="zh-CN"/>
          <w14:textFill>
            <w14:solidFill>
              <w14:schemeClr w14:val="tx1"/>
            </w14:solidFill>
          </w14:textFill>
        </w:rPr>
      </w:pPr>
      <w:r>
        <w:rPr>
          <w:rFonts w:hint="default" w:eastAsiaTheme="minorEastAsia"/>
          <w:color w:val="000000" w:themeColor="text1"/>
          <w:szCs w:val="28"/>
          <w:lang w:val="en-US" w:eastAsia="zh-CN"/>
          <w14:textFill>
            <w14:solidFill>
              <w14:schemeClr w14:val="tx1"/>
            </w14:solidFill>
          </w14:textFill>
        </w:rPr>
        <w:t>室外用玻璃纤维涂层织物软膜理化性能应符合GB/T 25042-2024中B类软膜的规定；室内用玻璃纤维涂层织物软膜理化性能应符合GB/T 25042-2024中内膜的规定；玻璃纤维涂层织物网格膜理化性能应符合GB/T 25042-2024中W类软膜的规定。</w:t>
      </w:r>
    </w:p>
    <w:p w14:paraId="1ACB7EBA">
      <w:pPr>
        <w:numPr>
          <w:ilvl w:val="0"/>
          <w:numId w:val="16"/>
        </w:numPr>
        <w:spacing w:line="360" w:lineRule="auto"/>
        <w:ind w:left="425" w:leftChars="0" w:hanging="425" w:firstLineChars="0"/>
        <w:jc w:val="both"/>
        <w:rPr>
          <w:rFonts w:hint="default" w:eastAsiaTheme="minorEastAsia"/>
          <w:b/>
          <w:bCs/>
          <w:color w:val="000000" w:themeColor="text1"/>
          <w:szCs w:val="28"/>
          <w:lang w:val="en-US" w:eastAsia="zh-CN"/>
          <w14:textFill>
            <w14:solidFill>
              <w14:schemeClr w14:val="tx1"/>
            </w14:solidFill>
          </w14:textFill>
        </w:rPr>
      </w:pPr>
      <w:r>
        <w:rPr>
          <w:rFonts w:hint="default" w:eastAsiaTheme="minorEastAsia"/>
          <w:b/>
          <w:bCs/>
          <w:color w:val="000000" w:themeColor="text1"/>
          <w:szCs w:val="28"/>
          <w:lang w:val="en-US" w:eastAsia="zh-CN"/>
          <w14:textFill>
            <w14:solidFill>
              <w14:schemeClr w14:val="tx1"/>
            </w14:solidFill>
          </w14:textFill>
        </w:rPr>
        <w:t>聚酯纤维涂层织物软膜</w:t>
      </w:r>
    </w:p>
    <w:p w14:paraId="67FDE55C">
      <w:pPr>
        <w:numPr>
          <w:ilvl w:val="0"/>
          <w:numId w:val="0"/>
        </w:numPr>
        <w:spacing w:line="360" w:lineRule="auto"/>
        <w:ind w:firstLine="420" w:firstLineChars="0"/>
        <w:jc w:val="both"/>
        <w:rPr>
          <w:rFonts w:hint="eastAsia" w:eastAsiaTheme="minorEastAsia"/>
          <w:color w:val="000000" w:themeColor="text1"/>
          <w:szCs w:val="28"/>
          <w:lang w:val="en-US" w:eastAsia="zh-CN"/>
          <w14:textFill>
            <w14:solidFill>
              <w14:schemeClr w14:val="tx1"/>
            </w14:solidFill>
          </w14:textFill>
        </w:rPr>
      </w:pPr>
      <w:r>
        <w:rPr>
          <w:rFonts w:hint="default" w:eastAsiaTheme="minorEastAsia"/>
          <w:color w:val="000000" w:themeColor="text1"/>
          <w:szCs w:val="28"/>
          <w:lang w:val="en-US" w:eastAsia="zh-CN"/>
          <w14:textFill>
            <w14:solidFill>
              <w14:schemeClr w14:val="tx1"/>
            </w14:solidFill>
          </w14:textFill>
        </w:rPr>
        <w:t>聚酯纤维织物具有 “经向（织造方向）强度高、纬向强度略低” 的固有特性，软膜天花标准据此区分经 / 纬向抗拉强度指标；室外型需承受风荷载、雪荷载（如户外走廊吊顶受风拉扯、积雪积压），故抗拉强度（3200/3000N/50mm）显著高于室内型（1900/1600N/50mm），确保结构安全</w:t>
      </w:r>
      <w:r>
        <w:rPr>
          <w:rFonts w:hint="eastAsia" w:eastAsiaTheme="minorEastAsia"/>
          <w:color w:val="000000" w:themeColor="text1"/>
          <w:szCs w:val="28"/>
          <w:lang w:val="en-US" w:eastAsia="zh-CN"/>
          <w14:textFill>
            <w14:solidFill>
              <w14:schemeClr w14:val="tx1"/>
            </w14:solidFill>
          </w14:textFill>
        </w:rPr>
        <w:t>。</w:t>
      </w:r>
    </w:p>
    <w:p w14:paraId="319ADE6A">
      <w:pPr>
        <w:numPr>
          <w:ilvl w:val="0"/>
          <w:numId w:val="0"/>
        </w:numPr>
        <w:spacing w:line="360" w:lineRule="auto"/>
        <w:ind w:firstLine="420" w:firstLineChars="0"/>
        <w:jc w:val="both"/>
        <w:rPr>
          <w:rFonts w:hint="default" w:eastAsiaTheme="minorEastAsia"/>
          <w:color w:val="000000" w:themeColor="text1"/>
          <w:szCs w:val="28"/>
          <w:lang w:val="en-US" w:eastAsia="zh-CN"/>
          <w14:textFill>
            <w14:solidFill>
              <w14:schemeClr w14:val="tx1"/>
            </w14:solidFill>
          </w14:textFill>
        </w:rPr>
      </w:pPr>
      <w:r>
        <w:rPr>
          <w:rFonts w:hint="default" w:eastAsiaTheme="minorEastAsia"/>
          <w:color w:val="000000" w:themeColor="text1"/>
          <w:szCs w:val="28"/>
          <w:lang w:val="en-US" w:eastAsia="zh-CN"/>
          <w14:textFill>
            <w14:solidFill>
              <w14:schemeClr w14:val="tx1"/>
            </w14:solidFill>
          </w14:textFill>
        </w:rPr>
        <w:t>可焊性（热合强力）、尺寸变化率</w:t>
      </w:r>
      <w:r>
        <w:rPr>
          <w:rFonts w:hint="eastAsia" w:eastAsiaTheme="minorEastAsia"/>
          <w:color w:val="000000" w:themeColor="text1"/>
          <w:szCs w:val="28"/>
          <w:lang w:val="en-US" w:eastAsia="zh-CN"/>
          <w14:textFill>
            <w14:solidFill>
              <w14:schemeClr w14:val="tx1"/>
            </w14:solidFill>
          </w14:textFill>
        </w:rPr>
        <w:t>：聚酯纤维涂层织物软膜常用于大面积吊顶（如商场中庭、学校礼堂），需通过热合拼接实现整体覆盖，“热合强力不低于母材 80%” 可确保拼接处不成为 “结构薄弱点”—— 避免室内场景因人员触碰、室外场景因风荷载导致拼接缝开裂；聚酯纤维织物与涂层在温度变化（如室内空调启停、室外昼夜温差）下易产生尺寸收缩 / 膨胀，“尺寸变化率≤2%” 可确保软膜安装后不出现褶皱（收缩）或拉扯龙骨（膨胀），维持 “表面平整” 的外观</w:t>
      </w:r>
    </w:p>
    <w:p w14:paraId="484AC37D">
      <w:pPr>
        <w:numPr>
          <w:ilvl w:val="0"/>
          <w:numId w:val="0"/>
        </w:numPr>
        <w:spacing w:line="360" w:lineRule="auto"/>
        <w:ind w:firstLine="420" w:firstLineChars="0"/>
        <w:jc w:val="both"/>
        <w:rPr>
          <w:rFonts w:hint="eastAsia" w:eastAsiaTheme="minorEastAsia"/>
          <w:color w:val="000000" w:themeColor="text1"/>
          <w:szCs w:val="28"/>
          <w:lang w:val="en-US" w:eastAsia="zh-CN"/>
          <w14:textFill>
            <w14:solidFill>
              <w14:schemeClr w14:val="tx1"/>
            </w14:solidFill>
          </w14:textFill>
        </w:rPr>
      </w:pPr>
      <w:r>
        <w:rPr>
          <w:rFonts w:hint="default" w:eastAsiaTheme="minorEastAsia"/>
          <w:color w:val="000000" w:themeColor="text1"/>
          <w:szCs w:val="28"/>
          <w:lang w:val="en-US" w:eastAsia="zh-CN"/>
          <w14:textFill>
            <w14:solidFill>
              <w14:schemeClr w14:val="tx1"/>
            </w14:solidFill>
          </w14:textFill>
        </w:rPr>
        <w:t>耐低温性</w:t>
      </w:r>
      <w:r>
        <w:rPr>
          <w:rFonts w:hint="eastAsia" w:eastAsiaTheme="minorEastAsia"/>
          <w:color w:val="000000" w:themeColor="text1"/>
          <w:szCs w:val="28"/>
          <w:lang w:val="en-US" w:eastAsia="zh-CN"/>
          <w14:textFill>
            <w14:solidFill>
              <w14:schemeClr w14:val="tx1"/>
            </w14:solidFill>
          </w14:textFill>
        </w:rPr>
        <w:t>：</w:t>
      </w:r>
      <w:r>
        <w:rPr>
          <w:rFonts w:hint="default" w:eastAsiaTheme="minorEastAsia"/>
          <w:color w:val="000000" w:themeColor="text1"/>
          <w:szCs w:val="28"/>
          <w:lang w:val="en-US" w:eastAsia="zh-CN"/>
          <w14:textFill>
            <w14:solidFill>
              <w14:schemeClr w14:val="tx1"/>
            </w14:solidFill>
          </w14:textFill>
        </w:rPr>
        <w:t>环境适应性能</w:t>
      </w:r>
      <w:r>
        <w:rPr>
          <w:rFonts w:hint="eastAsia" w:eastAsiaTheme="minorEastAsia"/>
          <w:color w:val="000000" w:themeColor="text1"/>
          <w:szCs w:val="28"/>
          <w:lang w:val="en-US" w:eastAsia="zh-CN"/>
          <w14:textFill>
            <w14:solidFill>
              <w14:schemeClr w14:val="tx1"/>
            </w14:solidFill>
          </w14:textFill>
        </w:rPr>
        <w:t>体现，聚酯纤维涂层织物软膜室外型需适应寒冷地区冬季低温（如北方地区冬季气温常低于 - 20℃），低温易导致涂层变硬、脆化，弯曲时易开裂；“-25℃×4h 弯曲无裂纹” 的要求，可确保软膜在极端低温下仍保持柔韧性，避免因低温老化导致破损。</w:t>
      </w:r>
    </w:p>
    <w:p w14:paraId="33709476">
      <w:pPr>
        <w:numPr>
          <w:ilvl w:val="0"/>
          <w:numId w:val="16"/>
        </w:numPr>
        <w:spacing w:line="360" w:lineRule="auto"/>
        <w:ind w:left="425" w:leftChars="0" w:hanging="425" w:firstLineChars="0"/>
        <w:jc w:val="both"/>
        <w:rPr>
          <w:rFonts w:hint="default" w:eastAsiaTheme="minorEastAsia"/>
          <w:b/>
          <w:bCs/>
          <w:color w:val="000000" w:themeColor="text1"/>
          <w:szCs w:val="28"/>
          <w:lang w:val="en-US" w:eastAsia="zh-CN"/>
          <w14:textFill>
            <w14:solidFill>
              <w14:schemeClr w14:val="tx1"/>
            </w14:solidFill>
          </w14:textFill>
        </w:rPr>
      </w:pPr>
      <w:r>
        <w:rPr>
          <w:rFonts w:hint="eastAsia" w:eastAsiaTheme="minorEastAsia"/>
          <w:b/>
          <w:bCs/>
          <w:color w:val="000000" w:themeColor="text1"/>
          <w:szCs w:val="28"/>
          <w:lang w:val="en-US" w:eastAsia="zh-CN"/>
          <w14:textFill>
            <w14:solidFill>
              <w14:schemeClr w14:val="tx1"/>
            </w14:solidFill>
          </w14:textFill>
        </w:rPr>
        <w:t>聚芳酯</w:t>
      </w:r>
      <w:r>
        <w:rPr>
          <w:rFonts w:hint="default" w:eastAsiaTheme="minorEastAsia"/>
          <w:b/>
          <w:bCs/>
          <w:color w:val="000000" w:themeColor="text1"/>
          <w:szCs w:val="28"/>
          <w:lang w:val="en-US" w:eastAsia="zh-CN"/>
          <w14:textFill>
            <w14:solidFill>
              <w14:schemeClr w14:val="tx1"/>
            </w14:solidFill>
          </w14:textFill>
        </w:rPr>
        <w:t>纤维织物软膜（STFE）</w:t>
      </w:r>
      <w:r>
        <w:rPr>
          <w:rFonts w:hint="eastAsia" w:eastAsiaTheme="minorEastAsia"/>
          <w:b/>
          <w:bCs/>
          <w:color w:val="000000" w:themeColor="text1"/>
          <w:szCs w:val="28"/>
          <w:lang w:val="en-US" w:eastAsia="zh-CN"/>
          <w14:textFill>
            <w14:solidFill>
              <w14:schemeClr w14:val="tx1"/>
            </w14:solidFill>
          </w14:textFill>
        </w:rPr>
        <w:t>理化性能要求</w:t>
      </w:r>
    </w:p>
    <w:p w14:paraId="7240B442">
      <w:pPr>
        <w:numPr>
          <w:ilvl w:val="0"/>
          <w:numId w:val="0"/>
        </w:numPr>
        <w:spacing w:line="360" w:lineRule="auto"/>
        <w:ind w:firstLine="420" w:firstLineChars="0"/>
        <w:jc w:val="both"/>
        <w:rPr>
          <w:rFonts w:hint="default" w:eastAsiaTheme="minorEastAsia"/>
          <w:color w:val="000000" w:themeColor="text1"/>
          <w:szCs w:val="28"/>
          <w:lang w:val="en-US" w:eastAsia="zh-CN"/>
          <w14:textFill>
            <w14:solidFill>
              <w14:schemeClr w14:val="tx1"/>
            </w14:solidFill>
          </w14:textFill>
        </w:rPr>
      </w:pPr>
      <w:r>
        <w:rPr>
          <w:rFonts w:hint="default" w:eastAsiaTheme="minorEastAsia"/>
          <w:color w:val="000000" w:themeColor="text1"/>
          <w:szCs w:val="28"/>
          <w:lang w:val="en-US" w:eastAsia="zh-CN"/>
          <w14:textFill>
            <w14:solidFill>
              <w14:schemeClr w14:val="tx1"/>
            </w14:solidFill>
          </w14:textFill>
        </w:rPr>
        <w:t>STFE不是化学成分的英文缩写，而是膜材商品名的英文缩写（Structural、Transparent、Fluorinated、Envelope），其本质是网格覆膜。区别在于其织物基材，不同于PVC膜材的聚酯纤维纱线，也不同于PTFE膜材的玻璃纤维纱线，而是挤压特殊涂层的聚芳酯纱线；覆膜为特种含氟聚合物，单面覆膜。覆膜的清晰度较好，可实现一定程度的透景。同时，由于有织物基材提高了膜材强度，抗拉强度可达4000N/5cm。即使不加拉索，膜单元跨度一般在3m以上。</w:t>
      </w:r>
    </w:p>
    <w:p w14:paraId="717E9052">
      <w:pPr>
        <w:numPr>
          <w:ilvl w:val="0"/>
          <w:numId w:val="0"/>
        </w:numPr>
        <w:spacing w:line="360" w:lineRule="auto"/>
        <w:jc w:val="both"/>
      </w:pPr>
      <w:r>
        <w:drawing>
          <wp:inline distT="0" distB="0" distL="114300" distR="114300">
            <wp:extent cx="6011545" cy="3474720"/>
            <wp:effectExtent l="0" t="0" r="8255" b="1143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6011545" cy="3474720"/>
                    </a:xfrm>
                    <a:prstGeom prst="rect">
                      <a:avLst/>
                    </a:prstGeom>
                    <a:noFill/>
                    <a:ln>
                      <a:noFill/>
                    </a:ln>
                  </pic:spPr>
                </pic:pic>
              </a:graphicData>
            </a:graphic>
          </wp:inline>
        </w:drawing>
      </w:r>
    </w:p>
    <w:p w14:paraId="14EB7B18">
      <w:pPr>
        <w:numPr>
          <w:ilvl w:val="0"/>
          <w:numId w:val="0"/>
        </w:numPr>
        <w:spacing w:line="360" w:lineRule="auto"/>
        <w:jc w:val="center"/>
        <w:rPr>
          <w:rFonts w:hint="default" w:eastAsia="宋体"/>
          <w:lang w:val="en-US" w:eastAsia="zh-CN"/>
        </w:rPr>
      </w:pPr>
      <w:r>
        <w:rPr>
          <w:rFonts w:hint="eastAsia"/>
          <w:lang w:val="en-US" w:eastAsia="zh-CN"/>
        </w:rPr>
        <w:t>图1  STFE软膜性能特点</w:t>
      </w:r>
    </w:p>
    <w:p w14:paraId="49A5FFDC">
      <w:pPr>
        <w:numPr>
          <w:ilvl w:val="0"/>
          <w:numId w:val="16"/>
        </w:numPr>
        <w:spacing w:line="360" w:lineRule="auto"/>
        <w:ind w:left="425" w:leftChars="0" w:hanging="425" w:firstLineChars="0"/>
        <w:jc w:val="both"/>
        <w:rPr>
          <w:rFonts w:hint="default" w:eastAsiaTheme="minorEastAsia"/>
          <w:b/>
          <w:bCs/>
          <w:color w:val="000000" w:themeColor="text1"/>
          <w:szCs w:val="28"/>
          <w:lang w:val="en-US" w:eastAsia="zh-CN"/>
          <w14:textFill>
            <w14:solidFill>
              <w14:schemeClr w14:val="tx1"/>
            </w14:solidFill>
          </w14:textFill>
        </w:rPr>
      </w:pPr>
      <w:r>
        <w:rPr>
          <w:rFonts w:hint="eastAsia" w:eastAsiaTheme="minorEastAsia"/>
          <w:b/>
          <w:bCs/>
          <w:color w:val="000000" w:themeColor="text1"/>
          <w:szCs w:val="28"/>
          <w:lang w:val="en-US" w:eastAsia="zh-CN"/>
          <w14:textFill>
            <w14:solidFill>
              <w14:schemeClr w14:val="tx1"/>
            </w14:solidFill>
          </w14:textFill>
        </w:rPr>
        <w:t>燃烧性能等级</w:t>
      </w:r>
    </w:p>
    <w:p w14:paraId="1BAF36F0">
      <w:pPr>
        <w:numPr>
          <w:ilvl w:val="0"/>
          <w:numId w:val="0"/>
        </w:numPr>
        <w:spacing w:line="360" w:lineRule="auto"/>
        <w:ind w:firstLine="420" w:firstLineChars="0"/>
        <w:jc w:val="both"/>
        <w:rPr>
          <w:rFonts w:hint="default" w:eastAsiaTheme="minorEastAsia"/>
          <w:color w:val="000000" w:themeColor="text1"/>
          <w:szCs w:val="28"/>
          <w:lang w:val="en-US" w:eastAsia="zh-CN"/>
          <w14:textFill>
            <w14:solidFill>
              <w14:schemeClr w14:val="tx1"/>
            </w14:solidFill>
          </w14:textFill>
        </w:rPr>
      </w:pPr>
      <w:r>
        <w:rPr>
          <w:rFonts w:hint="eastAsia" w:eastAsiaTheme="minorEastAsia"/>
          <w:color w:val="000000" w:themeColor="text1"/>
          <w:szCs w:val="28"/>
          <w:lang w:val="en-US" w:eastAsia="zh-CN"/>
          <w14:textFill>
            <w14:solidFill>
              <w14:schemeClr w14:val="tx1"/>
            </w14:solidFill>
          </w14:textFill>
        </w:rPr>
        <w:t>目前的软膜产品，除了玻璃纤维织物软膜外，大部分产品能达到B级标准，结合建筑装饰装修防火的要求，最低燃烧性能等级要求达到B1级，玻璃纤维织物软膜为A级。</w:t>
      </w:r>
    </w:p>
    <w:p w14:paraId="66BC4952">
      <w:pPr>
        <w:numPr>
          <w:ilvl w:val="0"/>
          <w:numId w:val="16"/>
        </w:numPr>
        <w:spacing w:line="360" w:lineRule="auto"/>
        <w:ind w:left="425" w:leftChars="0" w:hanging="425" w:firstLineChars="0"/>
        <w:jc w:val="both"/>
        <w:rPr>
          <w:rFonts w:hint="default" w:eastAsiaTheme="minorEastAsia"/>
          <w:b/>
          <w:bCs/>
          <w:color w:val="000000" w:themeColor="text1"/>
          <w:szCs w:val="28"/>
          <w:lang w:val="en-US" w:eastAsia="zh-CN"/>
          <w14:textFill>
            <w14:solidFill>
              <w14:schemeClr w14:val="tx1"/>
            </w14:solidFill>
          </w14:textFill>
        </w:rPr>
      </w:pPr>
      <w:r>
        <w:rPr>
          <w:rFonts w:hint="default" w:eastAsiaTheme="minorEastAsia"/>
          <w:b/>
          <w:bCs/>
          <w:color w:val="000000" w:themeColor="text1"/>
          <w:szCs w:val="28"/>
          <w:lang w:val="en-US" w:eastAsia="zh-CN"/>
          <w14:textFill>
            <w14:solidFill>
              <w14:schemeClr w14:val="tx1"/>
            </w14:solidFill>
          </w14:textFill>
        </w:rPr>
        <w:t>耐热老化性能</w:t>
      </w:r>
    </w:p>
    <w:p w14:paraId="065FDEC8">
      <w:pPr>
        <w:numPr>
          <w:ilvl w:val="0"/>
          <w:numId w:val="0"/>
        </w:numPr>
        <w:spacing w:line="360" w:lineRule="auto"/>
        <w:ind w:firstLine="420" w:firstLineChars="0"/>
        <w:jc w:val="both"/>
        <w:rPr>
          <w:rFonts w:hint="default" w:eastAsiaTheme="minorEastAsia"/>
          <w:color w:val="000000" w:themeColor="text1"/>
          <w:szCs w:val="28"/>
          <w:lang w:val="en-US" w:eastAsia="zh-CN"/>
          <w14:textFill>
            <w14:solidFill>
              <w14:schemeClr w14:val="tx1"/>
            </w14:solidFill>
          </w14:textFill>
        </w:rPr>
      </w:pPr>
      <w:r>
        <w:rPr>
          <w:rFonts w:hint="default" w:eastAsiaTheme="minorEastAsia"/>
          <w:color w:val="000000" w:themeColor="text1"/>
          <w:szCs w:val="28"/>
          <w:lang w:val="en-US" w:eastAsia="zh-CN"/>
          <w14:textFill>
            <w14:solidFill>
              <w14:schemeClr w14:val="tx1"/>
            </w14:solidFill>
          </w14:textFill>
        </w:rPr>
        <w:t>PVC、ETFE、PVC/PVDF 均为热塑性软膜，长期处于高温环境（如夏季室外暴晒表面温度达 70℃以上、室内空调出风口附近高温），会出现分子链松弛、增塑剂挥发（仅 PVC）、涂层软化等老化现象，导致拉伸强度下降 —— 若强度保留率过低（如低于 80%），会直接影响软膜的结构安全（如室外软膜受风荷载时断裂、室内软膜张拉后松弛）。此类软膜广泛应用于 “可能接触短期高温” 的场景（如商场顶楼吊顶、户外连廊），80% 的强度保留率可确保其在服役周期内（通常 3-5 年），即便经历多次高温循环，仍能满足基本力学性能需求（如抵抗自身重量、轻微外力），避免因热老化导致 “未到设计寿命即失效”。</w:t>
      </w:r>
    </w:p>
    <w:p w14:paraId="55E3F9B3">
      <w:pPr>
        <w:numPr>
          <w:ilvl w:val="0"/>
          <w:numId w:val="0"/>
        </w:numPr>
        <w:spacing w:line="360" w:lineRule="auto"/>
        <w:ind w:firstLine="420" w:firstLineChars="0"/>
        <w:jc w:val="both"/>
        <w:rPr>
          <w:rFonts w:hint="default" w:eastAsiaTheme="minorEastAsia"/>
          <w:color w:val="000000" w:themeColor="text1"/>
          <w:szCs w:val="28"/>
          <w:lang w:val="en-US" w:eastAsia="zh-CN"/>
          <w14:textFill>
            <w14:solidFill>
              <w14:schemeClr w14:val="tx1"/>
            </w14:solidFill>
          </w14:textFill>
        </w:rPr>
      </w:pPr>
      <w:r>
        <w:rPr>
          <w:rFonts w:hint="default" w:eastAsiaTheme="minorEastAsia"/>
          <w:color w:val="000000" w:themeColor="text1"/>
          <w:szCs w:val="28"/>
          <w:lang w:val="en-US" w:eastAsia="zh-CN"/>
          <w14:textFill>
            <w14:solidFill>
              <w14:schemeClr w14:val="tx1"/>
            </w14:solidFill>
          </w14:textFill>
        </w:rPr>
        <w:t>涂层织物软膜（如聚酯纤维涂 PVC、玻璃纤维涂 PTFE）由 “织物基布 + 功能涂层” 构成，织物基布（尤其是玻璃纤维、聚芳酯纤维）本身耐热性优异（长期使用温度可达 100℃以上），涂层与基布的结合能进一步抑制高温下的性能衰减 —— 相比纯热塑性软膜，其热稳定性更强，故可提出更高的强度保留要求</w:t>
      </w:r>
      <w:r>
        <w:rPr>
          <w:rFonts w:hint="eastAsia" w:eastAsiaTheme="minorEastAsia"/>
          <w:color w:val="000000" w:themeColor="text1"/>
          <w:szCs w:val="28"/>
          <w:lang w:val="en-US" w:eastAsia="zh-CN"/>
          <w14:textFill>
            <w14:solidFill>
              <w14:schemeClr w14:val="tx1"/>
            </w14:solidFill>
          </w14:textFill>
        </w:rPr>
        <w:t>。涂层织物软膜常应用于 “对耐久性要求更高” 的场景（如医院手术室、大型场馆吊顶），此类场景维修成本高、对材料长期性能稳定性要求严格，95% 的高温强度保留率可确保其在长期高温环境下（如空调长期运行的密闭空间），仍能维持稳定的力学性能，避免因强度下降导致吊顶变形、开裂。</w:t>
      </w:r>
    </w:p>
    <w:p w14:paraId="7D1CCD7C">
      <w:pPr>
        <w:numPr>
          <w:ilvl w:val="0"/>
          <w:numId w:val="16"/>
        </w:numPr>
        <w:spacing w:line="360" w:lineRule="auto"/>
        <w:ind w:left="425" w:leftChars="0" w:hanging="425" w:firstLineChars="0"/>
        <w:jc w:val="both"/>
        <w:rPr>
          <w:rFonts w:hint="default" w:eastAsiaTheme="minorEastAsia"/>
          <w:b/>
          <w:bCs/>
          <w:color w:val="000000" w:themeColor="text1"/>
          <w:szCs w:val="28"/>
          <w:lang w:val="en-US" w:eastAsia="zh-CN"/>
          <w14:textFill>
            <w14:solidFill>
              <w14:schemeClr w14:val="tx1"/>
            </w14:solidFill>
          </w14:textFill>
        </w:rPr>
      </w:pPr>
      <w:r>
        <w:rPr>
          <w:rFonts w:hint="default" w:eastAsiaTheme="minorEastAsia"/>
          <w:b/>
          <w:bCs/>
          <w:color w:val="000000" w:themeColor="text1"/>
          <w:szCs w:val="28"/>
          <w:lang w:val="en-US" w:eastAsia="zh-CN"/>
          <w14:textFill>
            <w14:solidFill>
              <w14:schemeClr w14:val="tx1"/>
            </w14:solidFill>
          </w14:textFill>
        </w:rPr>
        <w:t>耐光老化性能</w:t>
      </w:r>
    </w:p>
    <w:p w14:paraId="4ACB8328">
      <w:pPr>
        <w:numPr>
          <w:ilvl w:val="0"/>
          <w:numId w:val="0"/>
        </w:numPr>
        <w:spacing w:line="360" w:lineRule="auto"/>
        <w:ind w:firstLine="420" w:firstLineChars="0"/>
        <w:jc w:val="both"/>
        <w:rPr>
          <w:rFonts w:hint="default" w:eastAsiaTheme="minorEastAsia"/>
          <w:color w:val="000000" w:themeColor="text1"/>
          <w:szCs w:val="28"/>
          <w:lang w:val="en-US" w:eastAsia="zh-CN"/>
          <w14:textFill>
            <w14:solidFill>
              <w14:schemeClr w14:val="tx1"/>
            </w14:solidFill>
          </w14:textFill>
        </w:rPr>
      </w:pPr>
      <w:r>
        <w:rPr>
          <w:rFonts w:hint="default" w:eastAsiaTheme="minorEastAsia"/>
          <w:color w:val="000000" w:themeColor="text1"/>
          <w:szCs w:val="28"/>
          <w:lang w:val="en-US" w:eastAsia="zh-CN"/>
          <w14:textFill>
            <w14:solidFill>
              <w14:schemeClr w14:val="tx1"/>
            </w14:solidFill>
          </w14:textFill>
        </w:rPr>
        <w:t>室外型软膜长期暴露于太阳紫外线（尤其是 300-400nm 的 UV-B/C 波段），紫外线会断裂软膜分子链（如 PVC 的 C-Cl 键、ETFE 的 C-C 键），导致材料脆化、拉伸强度下降 —— 若强度保留率过低（如低于 90%），室外软膜在风荷载、雪荷载作用下易断裂，引发安全事故（如吊顶坠落）。270MJ/m² 的紫外辐照能量，相当于室外自然暴晒 3-5 年的累积紫外线剂量（按我国华南地区年紫外辐照量约 50-70MJ/m² 换算），要求拉伸强度保留率≥90%，可确保软膜在设计服役周期内（通常 5-8 年），即便经历长期紫外线照射，仍能维持足够的力学性能抵御室外荷载。</w:t>
      </w:r>
    </w:p>
    <w:p w14:paraId="451E3EE0">
      <w:pPr>
        <w:numPr>
          <w:ilvl w:val="0"/>
          <w:numId w:val="16"/>
        </w:numPr>
        <w:spacing w:line="360" w:lineRule="auto"/>
        <w:ind w:left="425" w:leftChars="0" w:hanging="425" w:firstLineChars="0"/>
        <w:jc w:val="both"/>
        <w:rPr>
          <w:rFonts w:hint="default" w:eastAsiaTheme="minorEastAsia"/>
          <w:b/>
          <w:bCs/>
          <w:color w:val="000000" w:themeColor="text1"/>
          <w:szCs w:val="28"/>
          <w:lang w:val="en-US" w:eastAsia="zh-CN"/>
          <w14:textFill>
            <w14:solidFill>
              <w14:schemeClr w14:val="tx1"/>
            </w14:solidFill>
          </w14:textFill>
        </w:rPr>
      </w:pPr>
      <w:r>
        <w:rPr>
          <w:rFonts w:hint="default" w:eastAsiaTheme="minorEastAsia"/>
          <w:b/>
          <w:bCs/>
          <w:color w:val="000000" w:themeColor="text1"/>
          <w:szCs w:val="28"/>
          <w:lang w:val="en-US" w:eastAsia="zh-CN"/>
          <w14:textFill>
            <w14:solidFill>
              <w14:schemeClr w14:val="tx1"/>
            </w14:solidFill>
          </w14:textFill>
        </w:rPr>
        <w:t>有害物质限量</w:t>
      </w:r>
    </w:p>
    <w:p w14:paraId="7ED1D690">
      <w:pPr>
        <w:numPr>
          <w:ilvl w:val="0"/>
          <w:numId w:val="0"/>
        </w:numPr>
        <w:spacing w:line="360" w:lineRule="auto"/>
        <w:ind w:firstLine="420" w:firstLineChars="0"/>
        <w:jc w:val="both"/>
        <w:rPr>
          <w:rFonts w:hint="eastAsia" w:eastAsiaTheme="minorEastAsia"/>
          <w:color w:val="000000" w:themeColor="text1"/>
          <w:szCs w:val="28"/>
          <w:lang w:val="en-US" w:eastAsia="zh-CN"/>
          <w14:textFill>
            <w14:solidFill>
              <w14:schemeClr w14:val="tx1"/>
            </w14:solidFill>
          </w14:textFill>
        </w:rPr>
      </w:pPr>
      <w:r>
        <w:rPr>
          <w:rFonts w:hint="eastAsia" w:eastAsiaTheme="minorEastAsia"/>
          <w:color w:val="000000" w:themeColor="text1"/>
          <w:szCs w:val="28"/>
          <w:lang w:val="en-US" w:eastAsia="zh-CN"/>
          <w14:textFill>
            <w14:solidFill>
              <w14:schemeClr w14:val="tx1"/>
            </w14:solidFill>
          </w14:textFill>
        </w:rPr>
        <w:t>室内用软膜应严格控制有害物质限量，本标准中重金属、聚乙烯单体含量、TVOC与GB 18585 《室内装饰装修材料 壁纸中有害物质限量》的最新要求相协调，邻苯二甲酸酯要求高于GB 18585。</w:t>
      </w:r>
    </w:p>
    <w:p w14:paraId="219557BF">
      <w:pPr>
        <w:numPr>
          <w:ilvl w:val="0"/>
          <w:numId w:val="16"/>
        </w:numPr>
        <w:spacing w:line="360" w:lineRule="auto"/>
        <w:ind w:left="425" w:leftChars="0" w:hanging="425" w:firstLineChars="0"/>
        <w:jc w:val="both"/>
        <w:rPr>
          <w:rFonts w:hint="default" w:eastAsiaTheme="minorEastAsia"/>
          <w:b/>
          <w:bCs/>
          <w:color w:val="000000" w:themeColor="text1"/>
          <w:szCs w:val="28"/>
          <w:lang w:val="en-US" w:eastAsia="zh-CN"/>
          <w14:textFill>
            <w14:solidFill>
              <w14:schemeClr w14:val="tx1"/>
            </w14:solidFill>
          </w14:textFill>
        </w:rPr>
      </w:pPr>
      <w:r>
        <w:rPr>
          <w:rFonts w:hint="default" w:eastAsiaTheme="minorEastAsia"/>
          <w:b/>
          <w:bCs/>
          <w:color w:val="000000" w:themeColor="text1"/>
          <w:szCs w:val="28"/>
          <w:lang w:val="en-US" w:eastAsia="zh-CN"/>
          <w14:textFill>
            <w14:solidFill>
              <w14:schemeClr w14:val="tx1"/>
            </w14:solidFill>
          </w14:textFill>
        </w:rPr>
        <w:t>气味强度</w:t>
      </w:r>
    </w:p>
    <w:p w14:paraId="5A921798">
      <w:pPr>
        <w:numPr>
          <w:ilvl w:val="0"/>
          <w:numId w:val="0"/>
        </w:numPr>
        <w:spacing w:line="360" w:lineRule="auto"/>
        <w:ind w:firstLine="420" w:firstLineChars="0"/>
        <w:jc w:val="both"/>
        <w:rPr>
          <w:rFonts w:hint="default" w:eastAsiaTheme="minorEastAsia"/>
          <w:color w:val="000000" w:themeColor="text1"/>
          <w:szCs w:val="28"/>
          <w:lang w:val="en-US" w:eastAsia="zh-CN"/>
          <w14:textFill>
            <w14:solidFill>
              <w14:schemeClr w14:val="tx1"/>
            </w14:solidFill>
          </w14:textFill>
        </w:rPr>
      </w:pPr>
      <w:r>
        <w:rPr>
          <w:rFonts w:hint="default" w:eastAsiaTheme="minorEastAsia"/>
          <w:color w:val="000000" w:themeColor="text1"/>
          <w:szCs w:val="28"/>
          <w:lang w:val="en-US" w:eastAsia="zh-CN"/>
          <w14:textFill>
            <w14:solidFill>
              <w14:schemeClr w14:val="tx1"/>
            </w14:solidFill>
          </w14:textFill>
        </w:rPr>
        <w:t>GB/T 43353《建材产品的气味释放测试 环境测试舱法》将建材产品的气味强度划分为六个等级，其中 1 级表示 “非常弱” 的气味 。在《装饰装修用软膜天花》中，要求室内型软膜气味强度等级不低于 1 级，这意味着软膜天花在室内使用时，散发的气味非常微弱，几乎难以察觉。这对于营造健康、舒适的室内环境至关重要，尤其是在住宅、医院、学校、办公室等人员长时间停留的场所，低气味的软膜天花可以有效减少气味对人体的刺激和潜在危害，保障使用者的健康。</w:t>
      </w:r>
    </w:p>
    <w:p w14:paraId="66ED7FC3">
      <w:pPr>
        <w:pStyle w:val="5"/>
        <w:rPr>
          <w:rFonts w:hint="default" w:eastAsia="宋体"/>
          <w:color w:val="000000" w:themeColor="text1"/>
          <w:lang w:val="en-US" w:eastAsia="zh-CN"/>
          <w14:textFill>
            <w14:solidFill>
              <w14:schemeClr w14:val="tx1"/>
            </w14:solidFill>
          </w14:textFill>
        </w:rPr>
      </w:pPr>
      <w:r>
        <w:rPr>
          <w:color w:val="000000" w:themeColor="text1"/>
          <w14:textFill>
            <w14:solidFill>
              <w14:schemeClr w14:val="tx1"/>
            </w14:solidFill>
          </w14:textFill>
        </w:rPr>
        <w:t>2.2.</w:t>
      </w:r>
      <w:r>
        <w:rPr>
          <w:rFonts w:hint="eastAsia"/>
          <w:color w:val="000000" w:themeColor="text1"/>
          <w:lang w:val="en-US" w:eastAsia="zh-CN"/>
          <w14:textFill>
            <w14:solidFill>
              <w14:schemeClr w14:val="tx1"/>
            </w14:solidFill>
          </w14:textFill>
        </w:rPr>
        <w:t>6</w:t>
      </w:r>
      <w:r>
        <w:rPr>
          <w:color w:val="000000" w:themeColor="text1"/>
          <w14:textFill>
            <w14:solidFill>
              <w14:schemeClr w14:val="tx1"/>
            </w14:solidFill>
          </w14:textFill>
        </w:rPr>
        <w:t xml:space="preserve">  </w:t>
      </w:r>
      <w:r>
        <w:rPr>
          <w:rFonts w:hint="eastAsia"/>
          <w:color w:val="000000" w:themeColor="text1"/>
          <w:lang w:val="en-US" w:eastAsia="zh-CN"/>
          <w14:textFill>
            <w14:solidFill>
              <w14:schemeClr w14:val="tx1"/>
            </w14:solidFill>
          </w14:textFill>
        </w:rPr>
        <w:t>试验方法</w:t>
      </w:r>
    </w:p>
    <w:p w14:paraId="412048D5">
      <w:pPr>
        <w:numPr>
          <w:ilvl w:val="0"/>
          <w:numId w:val="0"/>
        </w:numPr>
        <w:spacing w:line="360" w:lineRule="auto"/>
        <w:ind w:firstLine="420" w:firstLineChars="0"/>
        <w:jc w:val="both"/>
        <w:rPr>
          <w:rFonts w:hint="default" w:eastAsiaTheme="minorEastAsia"/>
          <w:color w:val="000000" w:themeColor="text1"/>
          <w:szCs w:val="28"/>
          <w:lang w:val="en-US" w:eastAsia="zh-CN"/>
          <w14:textFill>
            <w14:solidFill>
              <w14:schemeClr w14:val="tx1"/>
            </w14:solidFill>
          </w14:textFill>
        </w:rPr>
      </w:pPr>
      <w:r>
        <w:rPr>
          <w:rFonts w:hint="default" w:eastAsiaTheme="minorEastAsia"/>
          <w:color w:val="000000" w:themeColor="text1"/>
          <w:szCs w:val="28"/>
          <w:lang w:val="en-US" w:eastAsia="zh-CN"/>
          <w14:textFill>
            <w14:solidFill>
              <w14:schemeClr w14:val="tx1"/>
            </w14:solidFill>
          </w14:textFill>
        </w:rPr>
        <w:t>对应 “要求” 章节，明确各指标的测试流程：</w:t>
      </w:r>
    </w:p>
    <w:p w14:paraId="396FFEA8">
      <w:pPr>
        <w:numPr>
          <w:ilvl w:val="0"/>
          <w:numId w:val="0"/>
        </w:numPr>
        <w:spacing w:line="360" w:lineRule="auto"/>
        <w:ind w:firstLine="420" w:firstLineChars="0"/>
        <w:jc w:val="both"/>
        <w:rPr>
          <w:rFonts w:hint="default" w:eastAsiaTheme="minorEastAsia"/>
          <w:color w:val="000000" w:themeColor="text1"/>
          <w:szCs w:val="28"/>
          <w:lang w:val="en-US" w:eastAsia="zh-CN"/>
          <w14:textFill>
            <w14:solidFill>
              <w14:schemeClr w14:val="tx1"/>
            </w14:solidFill>
          </w14:textFill>
        </w:rPr>
      </w:pPr>
      <w:r>
        <w:rPr>
          <w:rFonts w:hint="eastAsia" w:eastAsiaTheme="minorEastAsia"/>
          <w:color w:val="000000" w:themeColor="text1"/>
          <w:szCs w:val="28"/>
          <w:lang w:val="en-US" w:eastAsia="zh-CN"/>
          <w14:textFill>
            <w14:solidFill>
              <w14:schemeClr w14:val="tx1"/>
            </w14:solidFill>
          </w14:textFill>
        </w:rPr>
        <w:t>（1）</w:t>
      </w:r>
      <w:r>
        <w:rPr>
          <w:rFonts w:hint="default" w:eastAsiaTheme="minorEastAsia"/>
          <w:color w:val="000000" w:themeColor="text1"/>
          <w:szCs w:val="28"/>
          <w:lang w:val="en-US" w:eastAsia="zh-CN"/>
          <w14:textFill>
            <w14:solidFill>
              <w14:schemeClr w14:val="tx1"/>
            </w14:solidFill>
          </w14:textFill>
        </w:rPr>
        <w:t>取样：规定从膜卷末端舍去 2m 后裁样，避免边缘偏差影响结果；</w:t>
      </w:r>
    </w:p>
    <w:p w14:paraId="74C9AB81">
      <w:pPr>
        <w:numPr>
          <w:ilvl w:val="0"/>
          <w:numId w:val="0"/>
        </w:numPr>
        <w:spacing w:line="360" w:lineRule="auto"/>
        <w:ind w:firstLine="420" w:firstLineChars="0"/>
        <w:jc w:val="both"/>
        <w:rPr>
          <w:rFonts w:hint="default" w:eastAsiaTheme="minorEastAsia"/>
          <w:color w:val="000000" w:themeColor="text1"/>
          <w:szCs w:val="28"/>
          <w:lang w:val="en-US" w:eastAsia="zh-CN"/>
          <w14:textFill>
            <w14:solidFill>
              <w14:schemeClr w14:val="tx1"/>
            </w14:solidFill>
          </w14:textFill>
        </w:rPr>
      </w:pPr>
      <w:r>
        <w:rPr>
          <w:rFonts w:hint="eastAsia" w:eastAsiaTheme="minorEastAsia"/>
          <w:color w:val="000000" w:themeColor="text1"/>
          <w:szCs w:val="28"/>
          <w:lang w:val="en-US" w:eastAsia="zh-CN"/>
          <w14:textFill>
            <w14:solidFill>
              <w14:schemeClr w14:val="tx1"/>
            </w14:solidFill>
          </w14:textFill>
        </w:rPr>
        <w:t>（2）</w:t>
      </w:r>
      <w:r>
        <w:rPr>
          <w:rFonts w:hint="default" w:eastAsiaTheme="minorEastAsia"/>
          <w:color w:val="000000" w:themeColor="text1"/>
          <w:szCs w:val="28"/>
          <w:lang w:val="en-US" w:eastAsia="zh-CN"/>
          <w14:textFill>
            <w14:solidFill>
              <w14:schemeClr w14:val="tx1"/>
            </w14:solidFill>
          </w14:textFill>
        </w:rPr>
        <w:t>状态调节：按 GB/T 2918-2018 规定 “（23±2）℃、（50±10）% RH”，调节时间≥4h；</w:t>
      </w:r>
    </w:p>
    <w:p w14:paraId="30623EEC">
      <w:pPr>
        <w:numPr>
          <w:ilvl w:val="0"/>
          <w:numId w:val="0"/>
        </w:numPr>
        <w:spacing w:line="360" w:lineRule="auto"/>
        <w:ind w:firstLine="420" w:firstLineChars="0"/>
        <w:jc w:val="both"/>
        <w:rPr>
          <w:rFonts w:hint="default" w:eastAsiaTheme="minorEastAsia"/>
          <w:color w:val="000000" w:themeColor="text1"/>
          <w:szCs w:val="28"/>
          <w:lang w:val="en-US" w:eastAsia="zh-CN"/>
          <w14:textFill>
            <w14:solidFill>
              <w14:schemeClr w14:val="tx1"/>
            </w14:solidFill>
          </w14:textFill>
        </w:rPr>
      </w:pPr>
      <w:r>
        <w:rPr>
          <w:rFonts w:hint="eastAsia" w:eastAsiaTheme="minorEastAsia"/>
          <w:color w:val="000000" w:themeColor="text1"/>
          <w:szCs w:val="28"/>
          <w:lang w:val="en-US" w:eastAsia="zh-CN"/>
          <w14:textFill>
            <w14:solidFill>
              <w14:schemeClr w14:val="tx1"/>
            </w14:solidFill>
          </w14:textFill>
        </w:rPr>
        <w:t>（3）检测</w:t>
      </w:r>
      <w:r>
        <w:rPr>
          <w:rFonts w:hint="default" w:eastAsiaTheme="minorEastAsia"/>
          <w:color w:val="000000" w:themeColor="text1"/>
          <w:szCs w:val="28"/>
          <w:lang w:val="en-US" w:eastAsia="zh-CN"/>
          <w14:textFill>
            <w14:solidFill>
              <w14:schemeClr w14:val="tx1"/>
            </w14:solidFill>
          </w14:textFill>
        </w:rPr>
        <w:t>方法：</w:t>
      </w:r>
      <w:r>
        <w:rPr>
          <w:rFonts w:hint="eastAsia" w:eastAsiaTheme="minorEastAsia"/>
          <w:color w:val="000000" w:themeColor="text1"/>
          <w:szCs w:val="28"/>
          <w:lang w:val="en-US" w:eastAsia="zh-CN"/>
          <w14:textFill>
            <w14:solidFill>
              <w14:schemeClr w14:val="tx1"/>
            </w14:solidFill>
          </w14:textFill>
        </w:rPr>
        <w:t>基本引用现有国家和行业标准，专项检测</w:t>
      </w:r>
      <w:r>
        <w:rPr>
          <w:rFonts w:hint="default" w:eastAsiaTheme="minorEastAsia"/>
          <w:color w:val="000000" w:themeColor="text1"/>
          <w:szCs w:val="28"/>
          <w:lang w:val="en-US" w:eastAsia="zh-CN"/>
          <w14:textFill>
            <w14:solidFill>
              <w14:schemeClr w14:val="tx1"/>
            </w14:solidFill>
          </w14:textFill>
        </w:rPr>
        <w:t>如可焊性测试 “按实际使用工艺热熔焊接后，按拉伸强度方法检测”，透光率测试 “PVC/ETFE 软膜用 GB/T 2410，涂层织物用 FZ/T 01009”，确保测试结果准确可比。</w:t>
      </w:r>
    </w:p>
    <w:p w14:paraId="05382F54">
      <w:pPr>
        <w:pStyle w:val="5"/>
        <w:rPr>
          <w:rFonts w:hint="eastAsia"/>
          <w:color w:val="000000" w:themeColor="text1"/>
          <w14:textFill>
            <w14:solidFill>
              <w14:schemeClr w14:val="tx1"/>
            </w14:solidFill>
          </w14:textFill>
        </w:rPr>
      </w:pPr>
      <w:bookmarkStart w:id="17" w:name="_Toc108389252"/>
      <w:bookmarkStart w:id="18" w:name="BookMark8"/>
      <w:r>
        <w:rPr>
          <w:rFonts w:hint="eastAsia"/>
          <w:color w:val="000000" w:themeColor="text1"/>
          <w14:textFill>
            <w14:solidFill>
              <w14:schemeClr w14:val="tx1"/>
            </w14:solidFill>
          </w14:textFill>
        </w:rPr>
        <w:t>2.2.7 检验规则</w:t>
      </w:r>
    </w:p>
    <w:p w14:paraId="76EFA1A5">
      <w:pPr>
        <w:numPr>
          <w:ilvl w:val="0"/>
          <w:numId w:val="0"/>
        </w:numPr>
        <w:spacing w:line="360" w:lineRule="auto"/>
        <w:ind w:firstLine="420" w:firstLineChars="0"/>
        <w:jc w:val="both"/>
        <w:rPr>
          <w:rFonts w:hint="eastAsia" w:eastAsiaTheme="minorEastAsia"/>
          <w:color w:val="000000" w:themeColor="text1"/>
          <w:szCs w:val="28"/>
          <w:lang w:val="en-US" w:eastAsia="zh-CN"/>
          <w14:textFill>
            <w14:solidFill>
              <w14:schemeClr w14:val="tx1"/>
            </w14:solidFill>
          </w14:textFill>
        </w:rPr>
      </w:pPr>
      <w:r>
        <w:rPr>
          <w:rFonts w:hint="eastAsia" w:eastAsiaTheme="minorEastAsia"/>
          <w:color w:val="000000" w:themeColor="text1"/>
          <w:szCs w:val="28"/>
          <w:lang w:val="en-US" w:eastAsia="zh-CN"/>
          <w14:textFill>
            <w14:solidFill>
              <w14:schemeClr w14:val="tx1"/>
            </w14:solidFill>
          </w14:textFill>
        </w:rPr>
        <w:t>分 “出厂检验” 与 “型式检验”：</w:t>
      </w:r>
    </w:p>
    <w:p w14:paraId="0EEF4C3A">
      <w:pPr>
        <w:numPr>
          <w:ilvl w:val="0"/>
          <w:numId w:val="0"/>
        </w:numPr>
        <w:spacing w:line="360" w:lineRule="auto"/>
        <w:ind w:firstLine="420" w:firstLineChars="0"/>
        <w:jc w:val="both"/>
        <w:rPr>
          <w:rFonts w:hint="eastAsia" w:eastAsiaTheme="minorEastAsia"/>
          <w:color w:val="000000" w:themeColor="text1"/>
          <w:szCs w:val="28"/>
          <w:lang w:val="en-US" w:eastAsia="zh-CN"/>
          <w14:textFill>
            <w14:solidFill>
              <w14:schemeClr w14:val="tx1"/>
            </w14:solidFill>
          </w14:textFill>
        </w:rPr>
      </w:pPr>
      <w:r>
        <w:rPr>
          <w:rFonts w:hint="eastAsia" w:eastAsiaTheme="minorEastAsia"/>
          <w:color w:val="000000" w:themeColor="text1"/>
          <w:szCs w:val="28"/>
          <w:lang w:val="en-US" w:eastAsia="zh-CN"/>
          <w14:textFill>
            <w14:solidFill>
              <w14:schemeClr w14:val="tx1"/>
            </w14:solidFill>
          </w14:textFill>
        </w:rPr>
        <w:t>（1）出厂检验：项目包括外观、厚度偏差、单位面积质量偏差、拉伸强度（力），采用 GB/T 2828.1 二次抽样方案（AQL 6.5），确保出厂产品基本合格；</w:t>
      </w:r>
    </w:p>
    <w:p w14:paraId="52A21BEC">
      <w:pPr>
        <w:numPr>
          <w:ilvl w:val="0"/>
          <w:numId w:val="0"/>
        </w:numPr>
        <w:spacing w:line="360" w:lineRule="auto"/>
        <w:ind w:firstLine="420" w:firstLineChars="0"/>
        <w:jc w:val="both"/>
        <w:rPr>
          <w:rFonts w:hint="eastAsia" w:eastAsiaTheme="minorEastAsia"/>
          <w:color w:val="000000" w:themeColor="text1"/>
          <w:szCs w:val="28"/>
          <w:lang w:val="en-US" w:eastAsia="zh-CN"/>
          <w14:textFill>
            <w14:solidFill>
              <w14:schemeClr w14:val="tx1"/>
            </w14:solidFill>
          </w14:textFill>
        </w:rPr>
      </w:pPr>
      <w:r>
        <w:rPr>
          <w:rFonts w:hint="eastAsia" w:eastAsiaTheme="minorEastAsia"/>
          <w:color w:val="000000" w:themeColor="text1"/>
          <w:szCs w:val="28"/>
          <w:lang w:val="en-US" w:eastAsia="zh-CN"/>
          <w14:textFill>
            <w14:solidFill>
              <w14:schemeClr w14:val="tx1"/>
            </w14:solidFill>
          </w14:textFill>
        </w:rPr>
        <w:t>（2）型式检验：每 2 年一次，或在新产品试制、工艺改变、停产半年恢复生产时进行，覆盖第 5 章全部项目，保障产品长期稳定性。</w:t>
      </w:r>
    </w:p>
    <w:p w14:paraId="45CE2A44">
      <w:pPr>
        <w:pStyle w:val="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2.2.8 标志、包装、运输及贮存</w:t>
      </w:r>
    </w:p>
    <w:p w14:paraId="28E4CB54">
      <w:pPr>
        <w:numPr>
          <w:ilvl w:val="0"/>
          <w:numId w:val="0"/>
        </w:numPr>
        <w:spacing w:line="360" w:lineRule="auto"/>
        <w:ind w:firstLine="420" w:firstLineChars="0"/>
        <w:jc w:val="both"/>
        <w:rPr>
          <w:rFonts w:hint="eastAsia" w:eastAsiaTheme="minorEastAsia"/>
          <w:color w:val="000000" w:themeColor="text1"/>
          <w:szCs w:val="28"/>
          <w:lang w:val="en-US" w:eastAsia="zh-CN"/>
          <w14:textFill>
            <w14:solidFill>
              <w14:schemeClr w14:val="tx1"/>
            </w14:solidFill>
          </w14:textFill>
        </w:rPr>
      </w:pPr>
      <w:r>
        <w:rPr>
          <w:rFonts w:hint="eastAsia" w:eastAsiaTheme="minorEastAsia"/>
          <w:color w:val="000000" w:themeColor="text1"/>
          <w:szCs w:val="28"/>
          <w:lang w:val="en-US" w:eastAsia="zh-CN"/>
          <w14:textFill>
            <w14:solidFill>
              <w14:schemeClr w14:val="tx1"/>
            </w14:solidFill>
          </w14:textFill>
        </w:rPr>
        <w:t>（1）标志：每卷需标注产品名称、规格、重量、生产日期、生产企业、执行标准等，确保溯源；</w:t>
      </w:r>
    </w:p>
    <w:p w14:paraId="307A34C3">
      <w:pPr>
        <w:numPr>
          <w:ilvl w:val="0"/>
          <w:numId w:val="0"/>
        </w:numPr>
        <w:spacing w:line="360" w:lineRule="auto"/>
        <w:ind w:firstLine="420" w:firstLineChars="0"/>
        <w:jc w:val="both"/>
        <w:rPr>
          <w:rFonts w:hint="eastAsia" w:eastAsiaTheme="minorEastAsia"/>
          <w:color w:val="000000" w:themeColor="text1"/>
          <w:szCs w:val="28"/>
          <w:lang w:val="en-US" w:eastAsia="zh-CN"/>
          <w14:textFill>
            <w14:solidFill>
              <w14:schemeClr w14:val="tx1"/>
            </w14:solidFill>
          </w14:textFill>
        </w:rPr>
      </w:pPr>
      <w:r>
        <w:rPr>
          <w:rFonts w:hint="eastAsia" w:eastAsiaTheme="minorEastAsia"/>
          <w:color w:val="000000" w:themeColor="text1"/>
          <w:szCs w:val="28"/>
          <w:lang w:val="en-US" w:eastAsia="zh-CN"/>
          <w14:textFill>
            <w14:solidFill>
              <w14:schemeClr w14:val="tx1"/>
            </w14:solidFill>
          </w14:textFill>
        </w:rPr>
        <w:t>（2）包装：用塑料薄膜 / 牛皮纸包装，避免运输损伤；</w:t>
      </w:r>
    </w:p>
    <w:p w14:paraId="6623C19B">
      <w:pPr>
        <w:numPr>
          <w:ilvl w:val="0"/>
          <w:numId w:val="0"/>
        </w:numPr>
        <w:spacing w:line="360" w:lineRule="auto"/>
        <w:ind w:firstLine="420" w:firstLineChars="0"/>
        <w:jc w:val="both"/>
        <w:rPr>
          <w:rFonts w:hint="default" w:eastAsiaTheme="minorEastAsia"/>
          <w:color w:val="000000" w:themeColor="text1"/>
          <w:szCs w:val="28"/>
          <w:lang w:val="en-US" w:eastAsia="zh-CN"/>
          <w14:textFill>
            <w14:solidFill>
              <w14:schemeClr w14:val="tx1"/>
            </w14:solidFill>
          </w14:textFill>
        </w:rPr>
      </w:pPr>
      <w:r>
        <w:rPr>
          <w:rFonts w:hint="eastAsia" w:eastAsiaTheme="minorEastAsia"/>
          <w:color w:val="000000" w:themeColor="text1"/>
          <w:szCs w:val="28"/>
          <w:lang w:val="en-US" w:eastAsia="zh-CN"/>
          <w14:textFill>
            <w14:solidFill>
              <w14:schemeClr w14:val="tx1"/>
            </w14:solidFill>
          </w14:textFill>
        </w:rPr>
        <w:t>（3）贮存：要求清洁、通风、远离烟火，防止材质老化（如 PVC 软膜避免高温暴晒）。</w:t>
      </w:r>
    </w:p>
    <w:p w14:paraId="572B86C8">
      <w:pPr>
        <w:pStyle w:val="27"/>
        <w:spacing w:before="326" w:beforeLines="100" w:after="326" w:afterLines="100"/>
        <w:rPr>
          <w:rFonts w:ascii="Times New Roman"/>
          <w:color w:val="000000" w:themeColor="text1"/>
          <w:sz w:val="28"/>
          <w:szCs w:val="28"/>
          <w14:textFill>
            <w14:solidFill>
              <w14:schemeClr w14:val="tx1"/>
            </w14:solidFill>
          </w14:textFill>
        </w:rPr>
      </w:pPr>
      <w:r>
        <w:rPr>
          <w:rFonts w:ascii="Times New Roman"/>
          <w:color w:val="000000" w:themeColor="text1"/>
          <w:sz w:val="28"/>
          <w:szCs w:val="28"/>
          <w14:textFill>
            <w14:solidFill>
              <w14:schemeClr w14:val="tx1"/>
            </w14:solidFill>
          </w14:textFill>
        </w:rPr>
        <w:t xml:space="preserve">3 </w:t>
      </w:r>
      <w:r>
        <w:rPr>
          <w:rFonts w:hint="eastAsia" w:ascii="Times New Roman"/>
          <w:color w:val="000000" w:themeColor="text1"/>
          <w:sz w:val="28"/>
          <w:szCs w:val="28"/>
          <w14:textFill>
            <w14:solidFill>
              <w14:schemeClr w14:val="tx1"/>
            </w14:solidFill>
          </w14:textFill>
        </w:rPr>
        <w:t>标准验证情况</w:t>
      </w:r>
      <w:bookmarkEnd w:id="17"/>
    </w:p>
    <w:p w14:paraId="3DB333FC">
      <w:pPr>
        <w:numPr>
          <w:ilvl w:val="0"/>
          <w:numId w:val="0"/>
        </w:numPr>
        <w:spacing w:line="360" w:lineRule="auto"/>
        <w:ind w:firstLine="420" w:firstLineChars="0"/>
        <w:jc w:val="both"/>
        <w:rPr>
          <w:rFonts w:hint="eastAsia" w:eastAsiaTheme="minorEastAsia"/>
          <w:color w:val="000000" w:themeColor="text1"/>
          <w:szCs w:val="28"/>
          <w:lang w:val="en-US" w:eastAsia="zh-CN"/>
          <w14:textFill>
            <w14:solidFill>
              <w14:schemeClr w14:val="tx1"/>
            </w14:solidFill>
          </w14:textFill>
        </w:rPr>
      </w:pPr>
      <w:r>
        <w:rPr>
          <w:rFonts w:hint="eastAsia" w:eastAsiaTheme="minorEastAsia"/>
          <w:color w:val="000000" w:themeColor="text1"/>
          <w:szCs w:val="28"/>
          <w:lang w:val="en-US" w:eastAsia="zh-CN"/>
          <w14:textFill>
            <w14:solidFill>
              <w14:schemeClr w14:val="tx1"/>
            </w14:solidFill>
          </w14:textFill>
        </w:rPr>
        <w:t>本标准在编制过程中针对企业的多款产品进行测试和检验，主要检测数据如下：</w:t>
      </w:r>
    </w:p>
    <w:p w14:paraId="02121682">
      <w:pPr>
        <w:numPr>
          <w:ilvl w:val="0"/>
          <w:numId w:val="0"/>
        </w:numPr>
        <w:spacing w:line="360" w:lineRule="auto"/>
        <w:ind w:firstLine="420" w:firstLineChars="0"/>
        <w:jc w:val="both"/>
        <w:rPr>
          <w:rFonts w:hint="default" w:eastAsiaTheme="minorEastAsia"/>
          <w:color w:val="000000" w:themeColor="text1"/>
          <w:szCs w:val="28"/>
          <w:lang w:val="en-US" w:eastAsia="zh-CN"/>
          <w14:textFill>
            <w14:solidFill>
              <w14:schemeClr w14:val="tx1"/>
            </w14:solidFill>
          </w14:textFill>
        </w:rPr>
      </w:pPr>
      <w:r>
        <w:rPr>
          <w:rFonts w:hint="eastAsia" w:eastAsiaTheme="minorEastAsia"/>
          <w:color w:val="000000" w:themeColor="text1"/>
          <w:szCs w:val="28"/>
          <w:lang w:val="en-US" w:eastAsia="zh-CN"/>
          <w14:textFill>
            <w14:solidFill>
              <w14:schemeClr w14:val="tx1"/>
            </w14:solidFill>
          </w14:textFill>
        </w:rPr>
        <w:t>1.PVC、</w:t>
      </w:r>
      <w:r>
        <w:rPr>
          <w:rFonts w:hint="eastAsia"/>
          <w:color w:val="000000"/>
          <w:lang w:val="en-US" w:eastAsia="zh-CN"/>
        </w:rPr>
        <w:t>PVC/PVDF、ETFE软膜验证数据</w:t>
      </w:r>
    </w:p>
    <w:tbl>
      <w:tblPr>
        <w:tblStyle w:val="19"/>
        <w:tblW w:w="499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1"/>
        <w:gridCol w:w="1771"/>
        <w:gridCol w:w="1283"/>
        <w:gridCol w:w="1448"/>
        <w:gridCol w:w="1169"/>
        <w:gridCol w:w="1171"/>
        <w:gridCol w:w="1171"/>
        <w:gridCol w:w="1175"/>
      </w:tblGrid>
      <w:tr w14:paraId="5EBB9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 w:type="pct"/>
            <w:vMerge w:val="restart"/>
            <w:tcBorders>
              <w:top w:val="single" w:color="000000" w:sz="12" w:space="0"/>
              <w:left w:val="single" w:color="000000" w:sz="12" w:space="0"/>
              <w:bottom w:val="single" w:color="000000" w:sz="4" w:space="0"/>
              <w:right w:val="single" w:color="000000" w:sz="4" w:space="0"/>
              <w:tl2br w:val="nil"/>
            </w:tcBorders>
            <w:shd w:val="clear" w:color="auto" w:fill="FFFFFF"/>
            <w:vAlign w:val="center"/>
          </w:tcPr>
          <w:p w14:paraId="1DB31C34">
            <w:pPr>
              <w:jc w:val="center"/>
              <w:rPr>
                <w:rFonts w:eastAsiaTheme="minorEastAsia"/>
                <w:color w:val="000000"/>
              </w:rPr>
            </w:pPr>
            <w:r>
              <w:rPr>
                <w:rFonts w:hint="eastAsia"/>
                <w:color w:val="000000"/>
              </w:rPr>
              <w:t>序号</w:t>
            </w:r>
          </w:p>
        </w:tc>
        <w:tc>
          <w:tcPr>
            <w:tcW w:w="915" w:type="pct"/>
            <w:vMerge w:val="restart"/>
            <w:tcBorders>
              <w:top w:val="single" w:color="000000" w:sz="12" w:space="0"/>
              <w:left w:val="single" w:color="000000" w:sz="4" w:space="0"/>
              <w:bottom w:val="single" w:color="000000" w:sz="4" w:space="0"/>
              <w:right w:val="single" w:color="auto" w:sz="4" w:space="0"/>
            </w:tcBorders>
            <w:shd w:val="clear" w:color="auto" w:fill="FFFFFF"/>
            <w:vAlign w:val="center"/>
          </w:tcPr>
          <w:p w14:paraId="652E1D1D">
            <w:pPr>
              <w:jc w:val="center"/>
              <w:rPr>
                <w:rFonts w:eastAsiaTheme="minorEastAsia"/>
                <w:color w:val="000000"/>
              </w:rPr>
            </w:pPr>
            <w:r>
              <w:rPr>
                <w:rFonts w:hint="eastAsia"/>
                <w:color w:val="000000"/>
              </w:rPr>
              <w:t>性能</w:t>
            </w:r>
          </w:p>
        </w:tc>
        <w:tc>
          <w:tcPr>
            <w:tcW w:w="663" w:type="pct"/>
            <w:tcBorders>
              <w:top w:val="single" w:color="auto" w:sz="12" w:space="0"/>
              <w:left w:val="single" w:color="auto" w:sz="4" w:space="0"/>
              <w:bottom w:val="single" w:color="auto" w:sz="4" w:space="0"/>
              <w:right w:val="single" w:color="auto" w:sz="4" w:space="0"/>
            </w:tcBorders>
            <w:shd w:val="clear" w:color="auto" w:fill="FFFFFF"/>
          </w:tcPr>
          <w:p w14:paraId="567AA8BF">
            <w:pPr>
              <w:jc w:val="center"/>
              <w:rPr>
                <w:rFonts w:hint="default" w:eastAsia="宋体"/>
                <w:color w:val="000000"/>
                <w:lang w:val="en-US" w:eastAsia="zh-CN"/>
              </w:rPr>
            </w:pPr>
            <w:r>
              <w:rPr>
                <w:rFonts w:hint="eastAsia"/>
                <w:color w:val="000000"/>
                <w:lang w:val="en-US" w:eastAsia="zh-CN"/>
              </w:rPr>
              <w:t>产品1</w:t>
            </w:r>
          </w:p>
        </w:tc>
        <w:tc>
          <w:tcPr>
            <w:tcW w:w="748" w:type="pct"/>
            <w:tcBorders>
              <w:top w:val="single" w:color="auto" w:sz="12" w:space="0"/>
              <w:left w:val="single" w:color="auto" w:sz="4" w:space="0"/>
              <w:bottom w:val="single" w:color="auto" w:sz="4" w:space="0"/>
              <w:right w:val="single" w:color="auto" w:sz="4" w:space="0"/>
            </w:tcBorders>
            <w:shd w:val="clear" w:color="auto" w:fill="FFFFFF"/>
          </w:tcPr>
          <w:p w14:paraId="2CF1E992">
            <w:pPr>
              <w:jc w:val="center"/>
              <w:rPr>
                <w:rFonts w:hint="default" w:eastAsia="宋体"/>
                <w:color w:val="000000"/>
                <w:lang w:val="en-US" w:eastAsia="zh-CN"/>
              </w:rPr>
            </w:pPr>
            <w:r>
              <w:rPr>
                <w:rFonts w:hint="eastAsia"/>
                <w:color w:val="000000"/>
                <w:lang w:val="en-US" w:eastAsia="zh-CN"/>
              </w:rPr>
              <w:t>产品2</w:t>
            </w:r>
          </w:p>
        </w:tc>
        <w:tc>
          <w:tcPr>
            <w:tcW w:w="604" w:type="pct"/>
            <w:tcBorders>
              <w:top w:val="single" w:color="auto" w:sz="12" w:space="0"/>
              <w:left w:val="single" w:color="auto" w:sz="4" w:space="0"/>
              <w:bottom w:val="single" w:color="auto" w:sz="4" w:space="0"/>
              <w:right w:val="single" w:color="auto" w:sz="4" w:space="0"/>
            </w:tcBorders>
            <w:shd w:val="clear" w:color="auto" w:fill="FFFFFF"/>
          </w:tcPr>
          <w:p w14:paraId="061FFA26">
            <w:pPr>
              <w:jc w:val="center"/>
              <w:rPr>
                <w:rFonts w:hint="default"/>
                <w:color w:val="000000"/>
                <w:lang w:val="en-US" w:eastAsia="zh-CN"/>
              </w:rPr>
            </w:pPr>
            <w:r>
              <w:rPr>
                <w:rFonts w:hint="eastAsia"/>
                <w:color w:val="000000"/>
                <w:lang w:val="en-US" w:eastAsia="zh-CN"/>
              </w:rPr>
              <w:t>产品3</w:t>
            </w:r>
          </w:p>
        </w:tc>
        <w:tc>
          <w:tcPr>
            <w:tcW w:w="605" w:type="pct"/>
            <w:tcBorders>
              <w:top w:val="single" w:color="auto" w:sz="12" w:space="0"/>
              <w:left w:val="single" w:color="auto" w:sz="4" w:space="0"/>
              <w:bottom w:val="single" w:color="auto" w:sz="4" w:space="0"/>
              <w:right w:val="single" w:color="auto" w:sz="4" w:space="0"/>
            </w:tcBorders>
            <w:shd w:val="clear" w:color="auto" w:fill="FFFFFF"/>
          </w:tcPr>
          <w:p w14:paraId="2671701E">
            <w:pPr>
              <w:jc w:val="center"/>
              <w:rPr>
                <w:rFonts w:hint="default"/>
                <w:color w:val="000000"/>
                <w:lang w:val="en-US" w:eastAsia="zh-CN"/>
              </w:rPr>
            </w:pPr>
            <w:r>
              <w:rPr>
                <w:rFonts w:hint="eastAsia"/>
                <w:color w:val="000000"/>
                <w:lang w:val="en-US" w:eastAsia="zh-CN"/>
              </w:rPr>
              <w:t>产品4</w:t>
            </w:r>
          </w:p>
        </w:tc>
        <w:tc>
          <w:tcPr>
            <w:tcW w:w="605" w:type="pct"/>
            <w:tcBorders>
              <w:top w:val="single" w:color="auto" w:sz="12" w:space="0"/>
              <w:left w:val="single" w:color="auto" w:sz="4" w:space="0"/>
              <w:bottom w:val="single" w:color="auto" w:sz="4" w:space="0"/>
              <w:right w:val="single" w:color="auto" w:sz="4" w:space="0"/>
            </w:tcBorders>
            <w:shd w:val="clear" w:color="auto" w:fill="FFFFFF"/>
            <w:vAlign w:val="top"/>
          </w:tcPr>
          <w:p w14:paraId="47E2F6ED">
            <w:pPr>
              <w:jc w:val="center"/>
              <w:rPr>
                <w:rFonts w:hint="eastAsia"/>
                <w:color w:val="000000"/>
                <w:lang w:val="en-US" w:eastAsia="zh-CN"/>
              </w:rPr>
            </w:pPr>
            <w:r>
              <w:rPr>
                <w:rFonts w:hint="eastAsia"/>
                <w:color w:val="000000"/>
                <w:lang w:val="en-US" w:eastAsia="zh-CN"/>
              </w:rPr>
              <w:t>产品5</w:t>
            </w:r>
          </w:p>
        </w:tc>
        <w:tc>
          <w:tcPr>
            <w:tcW w:w="607" w:type="pct"/>
            <w:tcBorders>
              <w:top w:val="single" w:color="auto" w:sz="12" w:space="0"/>
              <w:left w:val="single" w:color="auto" w:sz="4" w:space="0"/>
              <w:bottom w:val="single" w:color="auto" w:sz="4" w:space="0"/>
              <w:right w:val="single" w:color="auto" w:sz="12" w:space="0"/>
            </w:tcBorders>
            <w:shd w:val="clear" w:color="auto" w:fill="FFFFFF"/>
            <w:vAlign w:val="top"/>
          </w:tcPr>
          <w:p w14:paraId="2DD36467">
            <w:pPr>
              <w:jc w:val="center"/>
              <w:rPr>
                <w:rFonts w:hint="eastAsia"/>
                <w:color w:val="000000"/>
                <w:lang w:val="en-US" w:eastAsia="zh-CN"/>
              </w:rPr>
            </w:pPr>
            <w:r>
              <w:rPr>
                <w:rFonts w:hint="eastAsia"/>
                <w:color w:val="000000"/>
                <w:lang w:val="en-US" w:eastAsia="zh-CN"/>
              </w:rPr>
              <w:t>产品6</w:t>
            </w:r>
          </w:p>
        </w:tc>
      </w:tr>
      <w:tr w14:paraId="5392F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49" w:type="pct"/>
            <w:vMerge w:val="continue"/>
            <w:tcBorders>
              <w:top w:val="single" w:color="000000" w:sz="4" w:space="0"/>
              <w:left w:val="single" w:color="000000" w:sz="12" w:space="0"/>
              <w:bottom w:val="single" w:color="000000" w:sz="4" w:space="0"/>
              <w:right w:val="single" w:color="000000" w:sz="4" w:space="0"/>
              <w:tl2br w:val="nil"/>
            </w:tcBorders>
            <w:shd w:val="clear" w:color="auto" w:fill="FFFFFF"/>
          </w:tcPr>
          <w:p w14:paraId="4CBAB58E">
            <w:pPr>
              <w:jc w:val="center"/>
              <w:rPr>
                <w:rFonts w:eastAsiaTheme="minorEastAsia"/>
                <w:color w:val="000000"/>
              </w:rPr>
            </w:pPr>
          </w:p>
        </w:tc>
        <w:tc>
          <w:tcPr>
            <w:tcW w:w="915" w:type="pct"/>
            <w:vMerge w:val="continue"/>
            <w:tcBorders>
              <w:top w:val="single" w:color="000000" w:sz="4" w:space="0"/>
              <w:left w:val="single" w:color="000000" w:sz="4" w:space="0"/>
              <w:bottom w:val="single" w:color="000000" w:sz="4" w:space="0"/>
              <w:right w:val="single" w:color="auto" w:sz="4" w:space="0"/>
            </w:tcBorders>
            <w:shd w:val="clear" w:color="auto" w:fill="FFFFFF"/>
          </w:tcPr>
          <w:p w14:paraId="2D33053B">
            <w:pPr>
              <w:jc w:val="center"/>
              <w:rPr>
                <w:rFonts w:eastAsiaTheme="minorEastAsia"/>
                <w:color w:val="000000"/>
              </w:rPr>
            </w:pPr>
          </w:p>
        </w:tc>
        <w:tc>
          <w:tcPr>
            <w:tcW w:w="663" w:type="pct"/>
            <w:tcBorders>
              <w:top w:val="single" w:color="auto" w:sz="4" w:space="0"/>
              <w:left w:val="single" w:color="auto" w:sz="4" w:space="0"/>
              <w:bottom w:val="single" w:color="auto" w:sz="4" w:space="0"/>
              <w:right w:val="single" w:color="auto" w:sz="4" w:space="0"/>
            </w:tcBorders>
            <w:shd w:val="clear" w:color="auto" w:fill="FFFFFF"/>
          </w:tcPr>
          <w:p w14:paraId="1093586A">
            <w:pPr>
              <w:jc w:val="center"/>
              <w:rPr>
                <w:rFonts w:hint="default" w:eastAsiaTheme="minorEastAsia"/>
                <w:color w:val="000000"/>
                <w:lang w:val="en-US" w:eastAsia="zh-CN"/>
              </w:rPr>
            </w:pPr>
            <w:r>
              <w:rPr>
                <w:rFonts w:hint="eastAsia" w:eastAsiaTheme="minorEastAsia"/>
                <w:color w:val="000000"/>
                <w:lang w:val="en-US" w:eastAsia="zh-CN"/>
              </w:rPr>
              <w:t>PVC</w:t>
            </w:r>
          </w:p>
        </w:tc>
        <w:tc>
          <w:tcPr>
            <w:tcW w:w="748" w:type="pct"/>
            <w:tcBorders>
              <w:top w:val="single" w:color="auto" w:sz="4" w:space="0"/>
              <w:left w:val="single" w:color="auto" w:sz="4" w:space="0"/>
              <w:bottom w:val="single" w:color="auto" w:sz="4" w:space="0"/>
              <w:right w:val="single" w:color="auto" w:sz="4" w:space="0"/>
            </w:tcBorders>
            <w:shd w:val="clear" w:color="auto" w:fill="FFFFFF"/>
          </w:tcPr>
          <w:p w14:paraId="698E0F97">
            <w:pPr>
              <w:jc w:val="center"/>
              <w:rPr>
                <w:rFonts w:hint="default" w:eastAsia="宋体"/>
                <w:color w:val="000000"/>
                <w:lang w:val="en-US" w:eastAsia="zh-CN"/>
              </w:rPr>
            </w:pPr>
            <w:r>
              <w:rPr>
                <w:rFonts w:hint="eastAsia"/>
                <w:color w:val="000000"/>
                <w:lang w:val="en-US" w:eastAsia="zh-CN"/>
              </w:rPr>
              <w:t>PVC/PVDF</w:t>
            </w:r>
          </w:p>
        </w:tc>
        <w:tc>
          <w:tcPr>
            <w:tcW w:w="604" w:type="pct"/>
            <w:tcBorders>
              <w:top w:val="single" w:color="auto" w:sz="4" w:space="0"/>
              <w:left w:val="single" w:color="auto" w:sz="4" w:space="0"/>
              <w:bottom w:val="single" w:color="auto" w:sz="4" w:space="0"/>
              <w:right w:val="single" w:color="auto" w:sz="4" w:space="0"/>
            </w:tcBorders>
            <w:shd w:val="clear" w:color="auto" w:fill="FFFFFF"/>
          </w:tcPr>
          <w:p w14:paraId="4B3539DA">
            <w:pPr>
              <w:jc w:val="center"/>
              <w:rPr>
                <w:rFonts w:hint="default"/>
                <w:color w:val="000000"/>
                <w:lang w:val="en-US" w:eastAsia="zh-CN"/>
              </w:rPr>
            </w:pPr>
            <w:r>
              <w:rPr>
                <w:rFonts w:hint="eastAsia"/>
                <w:color w:val="000000"/>
                <w:lang w:val="en-US" w:eastAsia="zh-CN"/>
              </w:rPr>
              <w:t>PVC</w:t>
            </w:r>
          </w:p>
        </w:tc>
        <w:tc>
          <w:tcPr>
            <w:tcW w:w="605" w:type="pct"/>
            <w:tcBorders>
              <w:top w:val="single" w:color="auto" w:sz="4" w:space="0"/>
              <w:left w:val="single" w:color="auto" w:sz="4" w:space="0"/>
              <w:bottom w:val="single" w:color="auto" w:sz="4" w:space="0"/>
              <w:right w:val="single" w:color="auto" w:sz="4" w:space="0"/>
            </w:tcBorders>
            <w:shd w:val="clear" w:color="auto" w:fill="FFFFFF"/>
          </w:tcPr>
          <w:p w14:paraId="40A7A572">
            <w:pPr>
              <w:jc w:val="center"/>
              <w:rPr>
                <w:rFonts w:hint="default"/>
                <w:color w:val="000000"/>
                <w:lang w:val="en-US" w:eastAsia="zh-CN"/>
              </w:rPr>
            </w:pPr>
            <w:r>
              <w:rPr>
                <w:rFonts w:hint="eastAsia"/>
                <w:color w:val="000000"/>
                <w:lang w:val="en-US" w:eastAsia="zh-CN"/>
              </w:rPr>
              <w:t>PVC</w:t>
            </w:r>
          </w:p>
        </w:tc>
        <w:tc>
          <w:tcPr>
            <w:tcW w:w="605" w:type="pct"/>
            <w:tcBorders>
              <w:top w:val="single" w:color="auto" w:sz="4" w:space="0"/>
              <w:left w:val="single" w:color="auto" w:sz="4" w:space="0"/>
              <w:bottom w:val="single" w:color="auto" w:sz="4" w:space="0"/>
              <w:right w:val="single" w:color="auto" w:sz="4" w:space="0"/>
            </w:tcBorders>
            <w:shd w:val="clear" w:color="auto" w:fill="FFFFFF"/>
            <w:vAlign w:val="top"/>
          </w:tcPr>
          <w:p w14:paraId="148351CA">
            <w:pPr>
              <w:jc w:val="center"/>
              <w:rPr>
                <w:rFonts w:hint="default"/>
                <w:color w:val="000000"/>
                <w:lang w:val="en-US" w:eastAsia="zh-CN"/>
              </w:rPr>
            </w:pPr>
            <w:r>
              <w:rPr>
                <w:rFonts w:hint="eastAsia"/>
                <w:color w:val="000000"/>
                <w:lang w:val="en-US" w:eastAsia="zh-CN"/>
              </w:rPr>
              <w:t>PVC</w:t>
            </w:r>
          </w:p>
        </w:tc>
        <w:tc>
          <w:tcPr>
            <w:tcW w:w="607" w:type="pct"/>
            <w:tcBorders>
              <w:top w:val="single" w:color="auto" w:sz="4" w:space="0"/>
              <w:left w:val="single" w:color="auto" w:sz="4" w:space="0"/>
              <w:bottom w:val="single" w:color="auto" w:sz="4" w:space="0"/>
              <w:right w:val="single" w:color="auto" w:sz="12" w:space="0"/>
            </w:tcBorders>
            <w:shd w:val="clear" w:color="auto" w:fill="FFFFFF"/>
            <w:vAlign w:val="top"/>
          </w:tcPr>
          <w:p w14:paraId="1CA57A42">
            <w:pPr>
              <w:jc w:val="center"/>
              <w:rPr>
                <w:rFonts w:hint="eastAsia"/>
                <w:color w:val="000000"/>
                <w:lang w:val="en-US" w:eastAsia="zh-CN"/>
              </w:rPr>
            </w:pPr>
            <w:r>
              <w:rPr>
                <w:rFonts w:hint="eastAsia"/>
                <w:color w:val="000000"/>
                <w:lang w:val="en-US" w:eastAsia="zh-CN"/>
              </w:rPr>
              <w:t>PVC</w:t>
            </w:r>
          </w:p>
        </w:tc>
      </w:tr>
      <w:tr w14:paraId="0B55F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 w:type="pct"/>
            <w:tcBorders>
              <w:top w:val="single" w:color="000000" w:sz="4" w:space="0"/>
              <w:left w:val="single" w:color="000000" w:sz="12" w:space="0"/>
              <w:bottom w:val="single" w:color="000000" w:sz="4" w:space="0"/>
              <w:right w:val="single" w:color="000000" w:sz="4" w:space="0"/>
            </w:tcBorders>
            <w:shd w:val="clear" w:color="auto" w:fill="FFFFFF"/>
          </w:tcPr>
          <w:p w14:paraId="053BBE46">
            <w:pPr>
              <w:jc w:val="center"/>
              <w:rPr>
                <w:rFonts w:asciiTheme="minorHAnsi" w:hAnsiTheme="minorHAnsi" w:eastAsiaTheme="minorEastAsia" w:cstheme="minorBidi"/>
                <w:color w:val="000000"/>
                <w:szCs w:val="24"/>
              </w:rPr>
            </w:pPr>
            <w:r>
              <w:rPr>
                <w:rFonts w:hint="eastAsia" w:cstheme="minorBidi"/>
                <w:color w:val="000000"/>
                <w:szCs w:val="24"/>
              </w:rPr>
              <w:t>1</w:t>
            </w:r>
          </w:p>
        </w:tc>
        <w:tc>
          <w:tcPr>
            <w:tcW w:w="915" w:type="pct"/>
            <w:tcBorders>
              <w:top w:val="single" w:color="000000" w:sz="4" w:space="0"/>
              <w:left w:val="single" w:color="000000" w:sz="4" w:space="0"/>
              <w:bottom w:val="single" w:color="000000" w:sz="4" w:space="0"/>
              <w:right w:val="single" w:color="auto" w:sz="4" w:space="0"/>
            </w:tcBorders>
            <w:shd w:val="clear" w:color="auto" w:fill="FFFFFF"/>
          </w:tcPr>
          <w:p w14:paraId="02E9454B">
            <w:pPr>
              <w:jc w:val="center"/>
              <w:rPr>
                <w:rFonts w:asciiTheme="minorHAnsi" w:hAnsiTheme="minorHAnsi" w:cstheme="minorBidi"/>
                <w:color w:val="000000"/>
                <w:szCs w:val="24"/>
              </w:rPr>
            </w:pPr>
            <w:r>
              <w:rPr>
                <w:rFonts w:hint="eastAsia"/>
                <w:color w:val="000000"/>
              </w:rPr>
              <w:t>拉伸强度/MPa</w:t>
            </w:r>
          </w:p>
        </w:tc>
        <w:tc>
          <w:tcPr>
            <w:tcW w:w="663" w:type="pct"/>
            <w:tcBorders>
              <w:top w:val="single" w:color="auto" w:sz="4" w:space="0"/>
              <w:left w:val="single" w:color="auto" w:sz="4" w:space="0"/>
              <w:bottom w:val="single" w:color="auto" w:sz="4" w:space="0"/>
              <w:right w:val="single" w:color="auto" w:sz="4" w:space="0"/>
            </w:tcBorders>
            <w:shd w:val="clear" w:color="auto" w:fill="FFFFFF"/>
          </w:tcPr>
          <w:p w14:paraId="6E1A77E0">
            <w:pPr>
              <w:jc w:val="center"/>
              <w:rPr>
                <w:rFonts w:eastAsiaTheme="minorEastAsia"/>
                <w:color w:val="000000"/>
              </w:rPr>
            </w:pPr>
            <w:r>
              <w:rPr>
                <w:rFonts w:hint="eastAsia"/>
                <w:color w:val="000000"/>
                <w:lang w:val="en-US" w:eastAsia="zh-CN"/>
              </w:rPr>
              <w:t>22.5</w:t>
            </w:r>
          </w:p>
        </w:tc>
        <w:tc>
          <w:tcPr>
            <w:tcW w:w="748" w:type="pct"/>
            <w:tcBorders>
              <w:top w:val="single" w:color="auto" w:sz="4" w:space="0"/>
              <w:left w:val="single" w:color="auto" w:sz="4" w:space="0"/>
              <w:bottom w:val="single" w:color="auto" w:sz="4" w:space="0"/>
              <w:right w:val="single" w:color="auto" w:sz="4" w:space="0"/>
            </w:tcBorders>
            <w:shd w:val="clear" w:color="auto" w:fill="FFFFFF"/>
          </w:tcPr>
          <w:p w14:paraId="17262525">
            <w:pPr>
              <w:jc w:val="center"/>
              <w:rPr>
                <w:color w:val="000000"/>
              </w:rPr>
            </w:pPr>
            <w:r>
              <w:rPr>
                <w:rFonts w:hint="eastAsia"/>
                <w:color w:val="000000"/>
                <w:lang w:val="en-US" w:eastAsia="zh-CN"/>
              </w:rPr>
              <w:t>33.4</w:t>
            </w:r>
          </w:p>
        </w:tc>
        <w:tc>
          <w:tcPr>
            <w:tcW w:w="604" w:type="pct"/>
            <w:tcBorders>
              <w:top w:val="single" w:color="auto" w:sz="4" w:space="0"/>
              <w:left w:val="single" w:color="auto" w:sz="4" w:space="0"/>
              <w:bottom w:val="single" w:color="auto" w:sz="4" w:space="0"/>
              <w:right w:val="single" w:color="auto" w:sz="4" w:space="0"/>
            </w:tcBorders>
            <w:shd w:val="clear" w:color="auto" w:fill="FFFFFF"/>
            <w:vAlign w:val="top"/>
          </w:tcPr>
          <w:p w14:paraId="2A1BF5E6">
            <w:pPr>
              <w:jc w:val="center"/>
              <w:rPr>
                <w:rFonts w:hint="eastAsia" w:ascii="宋体" w:hAnsi="宋体" w:eastAsia="宋体" w:cs="宋体"/>
                <w:color w:val="000000"/>
                <w:sz w:val="24"/>
                <w:szCs w:val="24"/>
                <w:lang w:val="en-US" w:eastAsia="zh-CN" w:bidi="ar-SA"/>
              </w:rPr>
            </w:pPr>
            <w:r>
              <w:rPr>
                <w:rFonts w:hint="eastAsia"/>
                <w:color w:val="000000"/>
                <w:lang w:val="en-US" w:eastAsia="zh-CN"/>
              </w:rPr>
              <w:t>22.6</w:t>
            </w:r>
          </w:p>
        </w:tc>
        <w:tc>
          <w:tcPr>
            <w:tcW w:w="605" w:type="pct"/>
            <w:tcBorders>
              <w:top w:val="single" w:color="auto" w:sz="4" w:space="0"/>
              <w:left w:val="single" w:color="auto" w:sz="4" w:space="0"/>
              <w:bottom w:val="single" w:color="auto" w:sz="4" w:space="0"/>
              <w:right w:val="single" w:color="auto" w:sz="4" w:space="0"/>
            </w:tcBorders>
            <w:shd w:val="clear" w:color="auto" w:fill="FFFFFF"/>
            <w:vAlign w:val="top"/>
          </w:tcPr>
          <w:p w14:paraId="6FCA8284">
            <w:pPr>
              <w:jc w:val="center"/>
              <w:rPr>
                <w:rFonts w:hint="eastAsia"/>
                <w:color w:val="000000"/>
              </w:rPr>
            </w:pPr>
            <w:r>
              <w:rPr>
                <w:rFonts w:hint="eastAsia"/>
                <w:color w:val="000000"/>
                <w:lang w:val="en-US" w:eastAsia="zh-CN"/>
              </w:rPr>
              <w:t>18.3</w:t>
            </w:r>
          </w:p>
        </w:tc>
        <w:tc>
          <w:tcPr>
            <w:tcW w:w="605" w:type="pct"/>
            <w:tcBorders>
              <w:top w:val="single" w:color="auto" w:sz="4" w:space="0"/>
              <w:left w:val="single" w:color="auto" w:sz="4" w:space="0"/>
              <w:bottom w:val="single" w:color="auto" w:sz="4" w:space="0"/>
              <w:right w:val="single" w:color="auto" w:sz="4" w:space="0"/>
            </w:tcBorders>
            <w:shd w:val="clear" w:color="auto" w:fill="FFFFFF"/>
          </w:tcPr>
          <w:p w14:paraId="6509E1EF">
            <w:pPr>
              <w:jc w:val="center"/>
              <w:rPr>
                <w:rFonts w:hint="default" w:eastAsia="宋体"/>
                <w:color w:val="000000"/>
                <w:lang w:val="en-US" w:eastAsia="zh-CN"/>
              </w:rPr>
            </w:pPr>
            <w:r>
              <w:rPr>
                <w:rFonts w:hint="eastAsia"/>
                <w:color w:val="000000"/>
                <w:lang w:val="en-US" w:eastAsia="zh-CN"/>
              </w:rPr>
              <w:t>27.15</w:t>
            </w:r>
          </w:p>
        </w:tc>
        <w:tc>
          <w:tcPr>
            <w:tcW w:w="607" w:type="pct"/>
            <w:tcBorders>
              <w:top w:val="single" w:color="auto" w:sz="4" w:space="0"/>
              <w:left w:val="single" w:color="auto" w:sz="4" w:space="0"/>
              <w:bottom w:val="single" w:color="auto" w:sz="4" w:space="0"/>
              <w:right w:val="single" w:color="auto" w:sz="12" w:space="0"/>
            </w:tcBorders>
            <w:shd w:val="clear" w:color="auto" w:fill="FFFFFF"/>
          </w:tcPr>
          <w:p w14:paraId="5FAE2A0F">
            <w:pPr>
              <w:jc w:val="center"/>
              <w:rPr>
                <w:rFonts w:hint="default" w:eastAsia="宋体"/>
                <w:color w:val="000000"/>
                <w:lang w:val="en-US" w:eastAsia="zh-CN"/>
              </w:rPr>
            </w:pPr>
            <w:r>
              <w:rPr>
                <w:rFonts w:hint="eastAsia"/>
                <w:color w:val="000000"/>
                <w:lang w:val="en-US" w:eastAsia="zh-CN"/>
              </w:rPr>
              <w:t>14.2</w:t>
            </w:r>
          </w:p>
        </w:tc>
      </w:tr>
      <w:tr w14:paraId="2D581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 w:type="pct"/>
            <w:tcBorders>
              <w:top w:val="single" w:color="000000" w:sz="4" w:space="0"/>
              <w:left w:val="single" w:color="000000" w:sz="12" w:space="0"/>
              <w:bottom w:val="single" w:color="000000" w:sz="4" w:space="0"/>
              <w:right w:val="single" w:color="000000" w:sz="4" w:space="0"/>
            </w:tcBorders>
            <w:shd w:val="clear" w:color="auto" w:fill="FFFFFF"/>
          </w:tcPr>
          <w:p w14:paraId="523BBCF9">
            <w:pPr>
              <w:jc w:val="center"/>
              <w:rPr>
                <w:rFonts w:asciiTheme="minorHAnsi" w:hAnsiTheme="minorHAnsi" w:eastAsiaTheme="minorEastAsia" w:cstheme="minorBidi"/>
                <w:color w:val="000000"/>
                <w:szCs w:val="24"/>
              </w:rPr>
            </w:pPr>
            <w:r>
              <w:rPr>
                <w:rFonts w:hint="eastAsia" w:cstheme="minorBidi"/>
                <w:color w:val="000000"/>
                <w:szCs w:val="24"/>
              </w:rPr>
              <w:t>2</w:t>
            </w:r>
          </w:p>
        </w:tc>
        <w:tc>
          <w:tcPr>
            <w:tcW w:w="915" w:type="pct"/>
            <w:tcBorders>
              <w:top w:val="single" w:color="000000" w:sz="4" w:space="0"/>
              <w:left w:val="single" w:color="000000" w:sz="4" w:space="0"/>
              <w:bottom w:val="single" w:color="000000" w:sz="4" w:space="0"/>
              <w:right w:val="single" w:color="auto" w:sz="4" w:space="0"/>
            </w:tcBorders>
            <w:shd w:val="clear" w:color="auto" w:fill="FFFFFF"/>
          </w:tcPr>
          <w:p w14:paraId="59788843">
            <w:pPr>
              <w:jc w:val="center"/>
              <w:rPr>
                <w:rFonts w:asciiTheme="minorHAnsi" w:hAnsiTheme="minorHAnsi" w:cstheme="minorBidi"/>
                <w:color w:val="000000"/>
                <w:szCs w:val="24"/>
              </w:rPr>
            </w:pPr>
            <w:r>
              <w:rPr>
                <w:rFonts w:hint="eastAsia"/>
                <w:color w:val="000000"/>
              </w:rPr>
              <w:t>断裂伸长率/%</w:t>
            </w:r>
          </w:p>
        </w:tc>
        <w:tc>
          <w:tcPr>
            <w:tcW w:w="663" w:type="pct"/>
            <w:tcBorders>
              <w:top w:val="single" w:color="auto" w:sz="4" w:space="0"/>
              <w:left w:val="single" w:color="auto" w:sz="4" w:space="0"/>
              <w:bottom w:val="single" w:color="auto" w:sz="4" w:space="0"/>
              <w:right w:val="single" w:color="auto" w:sz="4" w:space="0"/>
            </w:tcBorders>
            <w:shd w:val="clear" w:color="auto" w:fill="FFFFFF"/>
          </w:tcPr>
          <w:p w14:paraId="4EEA78F0">
            <w:pPr>
              <w:jc w:val="center"/>
              <w:rPr>
                <w:color w:val="000000"/>
              </w:rPr>
            </w:pPr>
            <w:r>
              <w:rPr>
                <w:rFonts w:hint="eastAsia"/>
                <w:color w:val="000000"/>
                <w:lang w:val="en-US" w:eastAsia="zh-CN"/>
              </w:rPr>
              <w:t>247%</w:t>
            </w:r>
          </w:p>
        </w:tc>
        <w:tc>
          <w:tcPr>
            <w:tcW w:w="748" w:type="pct"/>
            <w:tcBorders>
              <w:top w:val="single" w:color="auto" w:sz="4" w:space="0"/>
              <w:left w:val="single" w:color="auto" w:sz="4" w:space="0"/>
              <w:bottom w:val="single" w:color="auto" w:sz="4" w:space="0"/>
              <w:right w:val="single" w:color="auto" w:sz="4" w:space="0"/>
            </w:tcBorders>
            <w:shd w:val="clear" w:color="auto" w:fill="FFFFFF"/>
          </w:tcPr>
          <w:p w14:paraId="171D0FB5">
            <w:pPr>
              <w:jc w:val="center"/>
              <w:rPr>
                <w:color w:val="000000"/>
              </w:rPr>
            </w:pPr>
            <w:r>
              <w:rPr>
                <w:rFonts w:hint="eastAsia"/>
                <w:color w:val="000000"/>
                <w:lang w:val="en-US" w:eastAsia="zh-CN"/>
              </w:rPr>
              <w:t>186%</w:t>
            </w:r>
          </w:p>
        </w:tc>
        <w:tc>
          <w:tcPr>
            <w:tcW w:w="604" w:type="pct"/>
            <w:tcBorders>
              <w:top w:val="single" w:color="auto" w:sz="4" w:space="0"/>
              <w:left w:val="single" w:color="auto" w:sz="4" w:space="0"/>
              <w:bottom w:val="single" w:color="auto" w:sz="4" w:space="0"/>
              <w:right w:val="single" w:color="auto" w:sz="4" w:space="0"/>
            </w:tcBorders>
            <w:shd w:val="clear" w:color="auto" w:fill="FFFFFF"/>
            <w:vAlign w:val="top"/>
          </w:tcPr>
          <w:p w14:paraId="48B41C77">
            <w:pPr>
              <w:jc w:val="center"/>
              <w:rPr>
                <w:rFonts w:hint="eastAsia" w:ascii="宋体" w:hAnsi="宋体" w:eastAsia="宋体" w:cs="宋体"/>
                <w:color w:val="000000"/>
                <w:sz w:val="24"/>
                <w:szCs w:val="24"/>
                <w:lang w:val="en-US" w:eastAsia="zh-CN" w:bidi="ar-SA"/>
              </w:rPr>
            </w:pPr>
            <w:r>
              <w:rPr>
                <w:rFonts w:hint="eastAsia"/>
                <w:color w:val="000000"/>
                <w:lang w:val="en-US" w:eastAsia="zh-CN"/>
              </w:rPr>
              <w:t>270%</w:t>
            </w:r>
          </w:p>
        </w:tc>
        <w:tc>
          <w:tcPr>
            <w:tcW w:w="605" w:type="pct"/>
            <w:tcBorders>
              <w:top w:val="single" w:color="auto" w:sz="4" w:space="0"/>
              <w:left w:val="single" w:color="auto" w:sz="4" w:space="0"/>
              <w:bottom w:val="single" w:color="auto" w:sz="4" w:space="0"/>
              <w:right w:val="single" w:color="auto" w:sz="4" w:space="0"/>
            </w:tcBorders>
            <w:shd w:val="clear" w:color="auto" w:fill="FFFFFF"/>
            <w:vAlign w:val="top"/>
          </w:tcPr>
          <w:p w14:paraId="710C8FE6">
            <w:pPr>
              <w:jc w:val="center"/>
              <w:rPr>
                <w:rFonts w:hint="eastAsia"/>
                <w:color w:val="000000"/>
              </w:rPr>
            </w:pPr>
            <w:r>
              <w:rPr>
                <w:rFonts w:hint="eastAsia"/>
                <w:color w:val="000000"/>
                <w:lang w:val="en-US" w:eastAsia="zh-CN"/>
              </w:rPr>
              <w:t>265%</w:t>
            </w:r>
          </w:p>
        </w:tc>
        <w:tc>
          <w:tcPr>
            <w:tcW w:w="605" w:type="pct"/>
            <w:tcBorders>
              <w:top w:val="single" w:color="auto" w:sz="4" w:space="0"/>
              <w:left w:val="single" w:color="auto" w:sz="4" w:space="0"/>
              <w:bottom w:val="single" w:color="auto" w:sz="4" w:space="0"/>
              <w:right w:val="single" w:color="auto" w:sz="4" w:space="0"/>
            </w:tcBorders>
            <w:shd w:val="clear" w:color="auto" w:fill="FFFFFF"/>
          </w:tcPr>
          <w:p w14:paraId="065959DC">
            <w:pPr>
              <w:jc w:val="center"/>
              <w:rPr>
                <w:rFonts w:hint="default" w:eastAsia="宋体"/>
                <w:color w:val="000000"/>
                <w:lang w:val="en-US" w:eastAsia="zh-CN"/>
              </w:rPr>
            </w:pPr>
            <w:r>
              <w:rPr>
                <w:rFonts w:hint="eastAsia"/>
                <w:color w:val="000000"/>
                <w:lang w:val="en-US" w:eastAsia="zh-CN"/>
              </w:rPr>
              <w:t>272</w:t>
            </w:r>
          </w:p>
        </w:tc>
        <w:tc>
          <w:tcPr>
            <w:tcW w:w="607" w:type="pct"/>
            <w:tcBorders>
              <w:top w:val="single" w:color="auto" w:sz="4" w:space="0"/>
              <w:left w:val="single" w:color="auto" w:sz="4" w:space="0"/>
              <w:bottom w:val="single" w:color="auto" w:sz="4" w:space="0"/>
              <w:right w:val="single" w:color="auto" w:sz="12" w:space="0"/>
            </w:tcBorders>
            <w:shd w:val="clear" w:color="auto" w:fill="FFFFFF"/>
          </w:tcPr>
          <w:p w14:paraId="6268B836">
            <w:pPr>
              <w:jc w:val="center"/>
              <w:rPr>
                <w:rFonts w:hint="default" w:eastAsia="宋体"/>
                <w:color w:val="000000"/>
                <w:lang w:val="en-US" w:eastAsia="zh-CN"/>
              </w:rPr>
            </w:pPr>
            <w:r>
              <w:rPr>
                <w:rFonts w:hint="eastAsia"/>
                <w:color w:val="000000"/>
                <w:lang w:val="en-US" w:eastAsia="zh-CN"/>
              </w:rPr>
              <w:t>140</w:t>
            </w:r>
          </w:p>
        </w:tc>
      </w:tr>
      <w:tr w14:paraId="2AC3A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 w:type="pct"/>
            <w:tcBorders>
              <w:top w:val="single" w:color="000000" w:sz="4" w:space="0"/>
              <w:left w:val="single" w:color="000000" w:sz="12" w:space="0"/>
              <w:bottom w:val="single" w:color="000000" w:sz="4" w:space="0"/>
              <w:right w:val="single" w:color="000000" w:sz="4" w:space="0"/>
            </w:tcBorders>
            <w:shd w:val="clear" w:color="auto" w:fill="FFFFFF"/>
          </w:tcPr>
          <w:p w14:paraId="397A40C6">
            <w:pPr>
              <w:jc w:val="center"/>
              <w:rPr>
                <w:rFonts w:asciiTheme="minorHAnsi" w:hAnsiTheme="minorHAnsi" w:eastAsiaTheme="minorEastAsia" w:cstheme="minorBidi"/>
                <w:color w:val="000000"/>
                <w:szCs w:val="24"/>
              </w:rPr>
            </w:pPr>
            <w:r>
              <w:rPr>
                <w:rFonts w:hint="eastAsia" w:cstheme="minorBidi"/>
                <w:color w:val="000000"/>
                <w:szCs w:val="24"/>
              </w:rPr>
              <w:t>3</w:t>
            </w:r>
          </w:p>
        </w:tc>
        <w:tc>
          <w:tcPr>
            <w:tcW w:w="915" w:type="pct"/>
            <w:tcBorders>
              <w:top w:val="single" w:color="000000" w:sz="4" w:space="0"/>
              <w:left w:val="single" w:color="000000" w:sz="4" w:space="0"/>
              <w:bottom w:val="single" w:color="000000" w:sz="4" w:space="0"/>
              <w:right w:val="single" w:color="auto" w:sz="4" w:space="0"/>
            </w:tcBorders>
            <w:shd w:val="clear" w:color="auto" w:fill="FFFFFF"/>
          </w:tcPr>
          <w:p w14:paraId="628E99E5">
            <w:pPr>
              <w:jc w:val="center"/>
              <w:rPr>
                <w:rFonts w:asciiTheme="minorHAnsi" w:hAnsiTheme="minorHAnsi" w:eastAsiaTheme="minorEastAsia" w:cstheme="minorBidi"/>
                <w:color w:val="000000"/>
                <w:szCs w:val="24"/>
              </w:rPr>
            </w:pPr>
            <w:r>
              <w:rPr>
                <w:rFonts w:hint="eastAsia" w:cstheme="minorBidi"/>
                <w:color w:val="000000"/>
                <w:szCs w:val="24"/>
              </w:rPr>
              <w:t>直角撕裂强度/kN/m</w:t>
            </w:r>
          </w:p>
        </w:tc>
        <w:tc>
          <w:tcPr>
            <w:tcW w:w="663" w:type="pct"/>
            <w:tcBorders>
              <w:top w:val="single" w:color="auto" w:sz="4" w:space="0"/>
              <w:left w:val="single" w:color="auto" w:sz="4" w:space="0"/>
              <w:bottom w:val="single" w:color="auto" w:sz="4" w:space="0"/>
              <w:right w:val="single" w:color="auto" w:sz="4" w:space="0"/>
            </w:tcBorders>
            <w:shd w:val="clear" w:color="auto" w:fill="FFFFFF"/>
          </w:tcPr>
          <w:p w14:paraId="0E5B78AE">
            <w:pPr>
              <w:jc w:val="center"/>
              <w:rPr>
                <w:rFonts w:hint="default" w:eastAsia="宋体"/>
                <w:color w:val="000000"/>
                <w:lang w:val="en-US" w:eastAsia="zh-CN"/>
              </w:rPr>
            </w:pPr>
            <w:r>
              <w:rPr>
                <w:rFonts w:hint="eastAsia"/>
                <w:color w:val="000000"/>
                <w:lang w:val="en-US" w:eastAsia="zh-CN"/>
              </w:rPr>
              <w:t>72</w:t>
            </w:r>
          </w:p>
        </w:tc>
        <w:tc>
          <w:tcPr>
            <w:tcW w:w="748" w:type="pct"/>
            <w:tcBorders>
              <w:top w:val="single" w:color="auto" w:sz="4" w:space="0"/>
              <w:left w:val="single" w:color="auto" w:sz="4" w:space="0"/>
              <w:bottom w:val="single" w:color="auto" w:sz="4" w:space="0"/>
              <w:right w:val="single" w:color="auto" w:sz="4" w:space="0"/>
            </w:tcBorders>
            <w:shd w:val="clear" w:color="auto" w:fill="FFFFFF"/>
          </w:tcPr>
          <w:p w14:paraId="04129DD8">
            <w:pPr>
              <w:jc w:val="center"/>
              <w:rPr>
                <w:rFonts w:hint="default" w:eastAsia="宋体"/>
                <w:color w:val="000000"/>
                <w:lang w:val="en-US" w:eastAsia="zh-CN"/>
              </w:rPr>
            </w:pPr>
            <w:r>
              <w:rPr>
                <w:rFonts w:hint="eastAsia"/>
                <w:color w:val="000000"/>
                <w:lang w:val="en-US" w:eastAsia="zh-CN"/>
              </w:rPr>
              <w:t>64</w:t>
            </w:r>
          </w:p>
        </w:tc>
        <w:tc>
          <w:tcPr>
            <w:tcW w:w="604" w:type="pct"/>
            <w:tcBorders>
              <w:top w:val="single" w:color="auto" w:sz="4" w:space="0"/>
              <w:left w:val="single" w:color="auto" w:sz="4" w:space="0"/>
              <w:bottom w:val="single" w:color="auto" w:sz="4" w:space="0"/>
              <w:right w:val="single" w:color="auto" w:sz="4" w:space="0"/>
            </w:tcBorders>
            <w:shd w:val="clear" w:color="auto" w:fill="FFFFFF"/>
            <w:vAlign w:val="top"/>
          </w:tcPr>
          <w:p w14:paraId="500EA399">
            <w:pPr>
              <w:jc w:val="center"/>
              <w:rPr>
                <w:rFonts w:hint="default" w:ascii="宋体" w:hAnsi="宋体" w:eastAsia="宋体" w:cs="宋体"/>
                <w:color w:val="000000"/>
                <w:sz w:val="24"/>
                <w:szCs w:val="24"/>
                <w:lang w:val="en-US" w:eastAsia="zh-CN" w:bidi="ar-SA"/>
              </w:rPr>
            </w:pPr>
            <w:r>
              <w:rPr>
                <w:rFonts w:hint="eastAsia"/>
                <w:color w:val="000000"/>
                <w:lang w:val="en-US" w:eastAsia="zh-CN"/>
              </w:rPr>
              <w:t>76</w:t>
            </w:r>
          </w:p>
        </w:tc>
        <w:tc>
          <w:tcPr>
            <w:tcW w:w="605" w:type="pct"/>
            <w:tcBorders>
              <w:top w:val="single" w:color="auto" w:sz="4" w:space="0"/>
              <w:left w:val="single" w:color="auto" w:sz="4" w:space="0"/>
              <w:bottom w:val="single" w:color="auto" w:sz="4" w:space="0"/>
              <w:right w:val="single" w:color="auto" w:sz="4" w:space="0"/>
            </w:tcBorders>
            <w:shd w:val="clear" w:color="auto" w:fill="FFFFFF"/>
            <w:vAlign w:val="top"/>
          </w:tcPr>
          <w:p w14:paraId="2F4BEC67">
            <w:pPr>
              <w:jc w:val="center"/>
              <w:rPr>
                <w:rFonts w:hint="default"/>
                <w:color w:val="000000"/>
                <w:lang w:val="en-US"/>
              </w:rPr>
            </w:pPr>
            <w:r>
              <w:rPr>
                <w:rFonts w:hint="eastAsia"/>
                <w:color w:val="000000"/>
                <w:lang w:val="en-US" w:eastAsia="zh-CN"/>
              </w:rPr>
              <w:t>58</w:t>
            </w:r>
          </w:p>
        </w:tc>
        <w:tc>
          <w:tcPr>
            <w:tcW w:w="605" w:type="pct"/>
            <w:tcBorders>
              <w:top w:val="single" w:color="auto" w:sz="4" w:space="0"/>
              <w:left w:val="single" w:color="auto" w:sz="4" w:space="0"/>
              <w:bottom w:val="single" w:color="auto" w:sz="4" w:space="0"/>
              <w:right w:val="single" w:color="auto" w:sz="4" w:space="0"/>
            </w:tcBorders>
            <w:shd w:val="clear" w:color="auto" w:fill="FFFFFF"/>
          </w:tcPr>
          <w:p w14:paraId="0BF164BD">
            <w:pPr>
              <w:jc w:val="center"/>
              <w:rPr>
                <w:rFonts w:hint="default" w:eastAsia="宋体"/>
                <w:color w:val="000000"/>
                <w:lang w:val="en-US" w:eastAsia="zh-CN"/>
              </w:rPr>
            </w:pPr>
            <w:r>
              <w:rPr>
                <w:rFonts w:hint="eastAsia"/>
                <w:color w:val="000000"/>
                <w:lang w:val="en-US" w:eastAsia="zh-CN"/>
              </w:rPr>
              <w:t>78</w:t>
            </w:r>
          </w:p>
        </w:tc>
        <w:tc>
          <w:tcPr>
            <w:tcW w:w="607" w:type="pct"/>
            <w:tcBorders>
              <w:top w:val="single" w:color="auto" w:sz="4" w:space="0"/>
              <w:left w:val="single" w:color="auto" w:sz="4" w:space="0"/>
              <w:bottom w:val="single" w:color="auto" w:sz="4" w:space="0"/>
              <w:right w:val="single" w:color="auto" w:sz="12" w:space="0"/>
            </w:tcBorders>
            <w:shd w:val="clear" w:color="auto" w:fill="FFFFFF"/>
          </w:tcPr>
          <w:p w14:paraId="6EB8AB07">
            <w:pPr>
              <w:jc w:val="center"/>
              <w:rPr>
                <w:rFonts w:hint="default" w:eastAsia="宋体"/>
                <w:color w:val="000000"/>
                <w:lang w:val="en-US" w:eastAsia="zh-CN"/>
              </w:rPr>
            </w:pPr>
            <w:r>
              <w:rPr>
                <w:rFonts w:hint="eastAsia"/>
                <w:color w:val="000000"/>
                <w:lang w:val="en-US" w:eastAsia="zh-CN"/>
              </w:rPr>
              <w:t>45</w:t>
            </w:r>
          </w:p>
        </w:tc>
      </w:tr>
      <w:tr w14:paraId="3C6B1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49" w:type="pct"/>
            <w:tcBorders>
              <w:top w:val="single" w:color="000000" w:sz="4" w:space="0"/>
              <w:left w:val="single" w:color="000000" w:sz="12" w:space="0"/>
              <w:bottom w:val="single" w:color="000000" w:sz="4" w:space="0"/>
              <w:right w:val="single" w:color="000000" w:sz="4" w:space="0"/>
            </w:tcBorders>
            <w:shd w:val="clear" w:color="auto" w:fill="FFFFFF"/>
          </w:tcPr>
          <w:p w14:paraId="07A4EA63">
            <w:pPr>
              <w:jc w:val="center"/>
              <w:rPr>
                <w:rFonts w:asciiTheme="minorHAnsi" w:hAnsiTheme="minorHAnsi" w:eastAsiaTheme="minorEastAsia" w:cstheme="minorBidi"/>
                <w:color w:val="000000"/>
                <w:szCs w:val="24"/>
              </w:rPr>
            </w:pPr>
            <w:r>
              <w:rPr>
                <w:rFonts w:hint="eastAsia" w:cstheme="minorBidi"/>
                <w:color w:val="000000"/>
                <w:szCs w:val="24"/>
              </w:rPr>
              <w:t>4</w:t>
            </w:r>
          </w:p>
        </w:tc>
        <w:tc>
          <w:tcPr>
            <w:tcW w:w="915" w:type="pct"/>
            <w:tcBorders>
              <w:top w:val="single" w:color="000000" w:sz="4" w:space="0"/>
              <w:left w:val="single" w:color="000000" w:sz="4" w:space="0"/>
              <w:bottom w:val="single" w:color="000000" w:sz="4" w:space="0"/>
              <w:right w:val="single" w:color="auto" w:sz="4" w:space="0"/>
            </w:tcBorders>
            <w:shd w:val="clear" w:color="auto" w:fill="FFFFFF"/>
            <w:vAlign w:val="top"/>
          </w:tcPr>
          <w:p w14:paraId="62E7DAF6">
            <w:pPr>
              <w:jc w:val="center"/>
              <w:rPr>
                <w:rFonts w:asciiTheme="minorHAnsi" w:hAnsiTheme="minorHAnsi" w:eastAsiaTheme="minorEastAsia" w:cstheme="minorBidi"/>
                <w:color w:val="000000"/>
                <w:sz w:val="24"/>
                <w:szCs w:val="24"/>
                <w:lang w:val="en-US" w:eastAsia="zh-CN" w:bidi="ar-SA"/>
              </w:rPr>
            </w:pPr>
            <w:r>
              <w:rPr>
                <w:rFonts w:hint="eastAsia" w:cstheme="minorBidi"/>
                <w:color w:val="000000"/>
                <w:szCs w:val="24"/>
              </w:rPr>
              <w:t>尺寸变化率/</w:t>
            </w:r>
            <w:r>
              <w:rPr>
                <w:rFonts w:hint="eastAsia"/>
                <w:color w:val="000000"/>
              </w:rPr>
              <w:t>%</w:t>
            </w:r>
          </w:p>
        </w:tc>
        <w:tc>
          <w:tcPr>
            <w:tcW w:w="663" w:type="pct"/>
            <w:tcBorders>
              <w:top w:val="single" w:color="auto" w:sz="4" w:space="0"/>
              <w:left w:val="single" w:color="auto" w:sz="4" w:space="0"/>
              <w:bottom w:val="single" w:color="auto" w:sz="4" w:space="0"/>
              <w:right w:val="single" w:color="auto" w:sz="4" w:space="0"/>
            </w:tcBorders>
            <w:shd w:val="clear" w:color="auto" w:fill="FFFFFF"/>
            <w:vAlign w:val="top"/>
          </w:tcPr>
          <w:p w14:paraId="2D48C3B3">
            <w:pPr>
              <w:jc w:val="center"/>
              <w:rPr>
                <w:rFonts w:hint="eastAsia" w:ascii="宋体" w:hAnsi="宋体" w:eastAsia="宋体" w:cs="宋体"/>
                <w:color w:val="000000"/>
                <w:sz w:val="24"/>
                <w:szCs w:val="24"/>
                <w:lang w:val="en-US" w:eastAsia="zh-CN" w:bidi="ar-SA"/>
              </w:rPr>
            </w:pPr>
            <w:r>
              <w:rPr>
                <w:rFonts w:hint="eastAsia"/>
                <w:color w:val="000000"/>
                <w:lang w:val="en-US" w:eastAsia="zh-CN"/>
              </w:rPr>
              <w:t>4</w:t>
            </w:r>
          </w:p>
        </w:tc>
        <w:tc>
          <w:tcPr>
            <w:tcW w:w="748" w:type="pct"/>
            <w:tcBorders>
              <w:top w:val="single" w:color="auto" w:sz="4" w:space="0"/>
              <w:left w:val="single" w:color="auto" w:sz="4" w:space="0"/>
              <w:bottom w:val="single" w:color="auto" w:sz="4" w:space="0"/>
              <w:right w:val="single" w:color="auto" w:sz="4" w:space="0"/>
            </w:tcBorders>
            <w:shd w:val="clear" w:color="auto" w:fill="FFFFFF"/>
            <w:vAlign w:val="top"/>
          </w:tcPr>
          <w:p w14:paraId="70311324">
            <w:pPr>
              <w:jc w:val="center"/>
              <w:rPr>
                <w:rFonts w:hint="eastAsia" w:ascii="宋体" w:hAnsi="宋体" w:eastAsia="宋体" w:cs="宋体"/>
                <w:color w:val="000000"/>
                <w:sz w:val="24"/>
                <w:szCs w:val="24"/>
                <w:lang w:val="en-US" w:eastAsia="zh-CN" w:bidi="ar-SA"/>
              </w:rPr>
            </w:pPr>
            <w:r>
              <w:rPr>
                <w:rFonts w:hint="eastAsia"/>
                <w:color w:val="000000"/>
                <w:lang w:val="en-US" w:eastAsia="zh-CN"/>
              </w:rPr>
              <w:t>2</w:t>
            </w:r>
          </w:p>
        </w:tc>
        <w:tc>
          <w:tcPr>
            <w:tcW w:w="604" w:type="pct"/>
            <w:tcBorders>
              <w:top w:val="single" w:color="auto" w:sz="4" w:space="0"/>
              <w:left w:val="single" w:color="auto" w:sz="4" w:space="0"/>
              <w:bottom w:val="single" w:color="auto" w:sz="4" w:space="0"/>
              <w:right w:val="single" w:color="auto" w:sz="4" w:space="0"/>
            </w:tcBorders>
            <w:shd w:val="clear" w:color="auto" w:fill="FFFFFF"/>
            <w:vAlign w:val="top"/>
          </w:tcPr>
          <w:p w14:paraId="3AC62CB7">
            <w:pPr>
              <w:jc w:val="center"/>
              <w:rPr>
                <w:rFonts w:hint="eastAsia" w:ascii="宋体" w:hAnsi="宋体" w:eastAsia="宋体" w:cs="宋体"/>
                <w:color w:val="000000"/>
                <w:sz w:val="24"/>
                <w:szCs w:val="24"/>
                <w:lang w:val="en-US" w:eastAsia="zh-CN" w:bidi="ar-SA"/>
              </w:rPr>
            </w:pPr>
            <w:r>
              <w:rPr>
                <w:rFonts w:hint="eastAsia"/>
                <w:color w:val="000000"/>
                <w:lang w:val="en-US" w:eastAsia="zh-CN"/>
              </w:rPr>
              <w:t>2</w:t>
            </w:r>
          </w:p>
        </w:tc>
        <w:tc>
          <w:tcPr>
            <w:tcW w:w="605" w:type="pct"/>
            <w:tcBorders>
              <w:top w:val="single" w:color="auto" w:sz="4" w:space="0"/>
              <w:left w:val="single" w:color="auto" w:sz="4" w:space="0"/>
              <w:bottom w:val="single" w:color="auto" w:sz="4" w:space="0"/>
              <w:right w:val="single" w:color="auto" w:sz="4" w:space="0"/>
            </w:tcBorders>
            <w:shd w:val="clear" w:color="auto" w:fill="FFFFFF"/>
            <w:vAlign w:val="top"/>
          </w:tcPr>
          <w:p w14:paraId="363289E5">
            <w:pPr>
              <w:jc w:val="center"/>
              <w:rPr>
                <w:rFonts w:hint="eastAsia" w:ascii="宋体" w:hAnsi="宋体" w:eastAsia="宋体" w:cs="宋体"/>
                <w:color w:val="000000"/>
                <w:sz w:val="24"/>
                <w:szCs w:val="24"/>
                <w:lang w:val="en-US" w:eastAsia="zh-CN" w:bidi="ar-SA"/>
              </w:rPr>
            </w:pPr>
            <w:r>
              <w:rPr>
                <w:rFonts w:hint="eastAsia"/>
                <w:color w:val="000000"/>
                <w:lang w:val="en-US" w:eastAsia="zh-CN"/>
              </w:rPr>
              <w:t>2</w:t>
            </w:r>
          </w:p>
        </w:tc>
        <w:tc>
          <w:tcPr>
            <w:tcW w:w="605" w:type="pct"/>
            <w:tcBorders>
              <w:top w:val="single" w:color="auto" w:sz="4" w:space="0"/>
              <w:left w:val="single" w:color="auto" w:sz="4" w:space="0"/>
              <w:bottom w:val="single" w:color="auto" w:sz="4" w:space="0"/>
              <w:right w:val="single" w:color="auto" w:sz="4" w:space="0"/>
            </w:tcBorders>
            <w:shd w:val="clear" w:color="auto" w:fill="FFFFFF"/>
            <w:vAlign w:val="top"/>
          </w:tcPr>
          <w:p w14:paraId="3A0B13FC">
            <w:pPr>
              <w:jc w:val="center"/>
              <w:rPr>
                <w:rFonts w:hint="eastAsia" w:ascii="宋体" w:hAnsi="宋体" w:eastAsia="宋体" w:cs="宋体"/>
                <w:color w:val="000000"/>
                <w:sz w:val="24"/>
                <w:szCs w:val="24"/>
                <w:lang w:val="en-US" w:eastAsia="zh-CN" w:bidi="ar-SA"/>
              </w:rPr>
            </w:pPr>
            <w:r>
              <w:rPr>
                <w:rFonts w:hint="eastAsia"/>
                <w:color w:val="000000"/>
                <w:lang w:val="en-US" w:eastAsia="zh-CN"/>
              </w:rPr>
              <w:t>2</w:t>
            </w:r>
          </w:p>
        </w:tc>
        <w:tc>
          <w:tcPr>
            <w:tcW w:w="607" w:type="pct"/>
            <w:tcBorders>
              <w:top w:val="single" w:color="auto" w:sz="4" w:space="0"/>
              <w:left w:val="single" w:color="auto" w:sz="4" w:space="0"/>
              <w:bottom w:val="single" w:color="auto" w:sz="4" w:space="0"/>
              <w:right w:val="single" w:color="auto" w:sz="12" w:space="0"/>
            </w:tcBorders>
            <w:shd w:val="clear" w:color="auto" w:fill="FFFFFF"/>
          </w:tcPr>
          <w:p w14:paraId="1DC78751">
            <w:pPr>
              <w:jc w:val="center"/>
              <w:rPr>
                <w:rFonts w:hint="eastAsia" w:eastAsia="宋体"/>
                <w:color w:val="000000"/>
                <w:lang w:val="en-US" w:eastAsia="zh-CN"/>
              </w:rPr>
            </w:pPr>
            <w:r>
              <w:rPr>
                <w:rFonts w:hint="eastAsia"/>
                <w:color w:val="000000"/>
                <w:lang w:val="en-US" w:eastAsia="zh-CN"/>
              </w:rPr>
              <w:t>6</w:t>
            </w:r>
          </w:p>
        </w:tc>
      </w:tr>
      <w:tr w14:paraId="3B2C3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 w:type="pct"/>
            <w:tcBorders>
              <w:top w:val="single" w:color="000000" w:sz="4" w:space="0"/>
              <w:left w:val="single" w:color="000000" w:sz="12" w:space="0"/>
              <w:bottom w:val="single" w:color="000000" w:sz="4" w:space="0"/>
              <w:right w:val="single" w:color="000000" w:sz="4" w:space="0"/>
            </w:tcBorders>
            <w:shd w:val="clear" w:color="auto" w:fill="FFFFFF"/>
          </w:tcPr>
          <w:p w14:paraId="05B1E7C1">
            <w:pPr>
              <w:jc w:val="center"/>
              <w:rPr>
                <w:rFonts w:asciiTheme="minorHAnsi" w:hAnsiTheme="minorHAnsi" w:eastAsiaTheme="minorEastAsia" w:cstheme="minorBidi"/>
                <w:color w:val="000000"/>
                <w:szCs w:val="24"/>
              </w:rPr>
            </w:pPr>
            <w:r>
              <w:rPr>
                <w:rFonts w:hint="eastAsia" w:cstheme="minorBidi"/>
                <w:color w:val="000000"/>
                <w:szCs w:val="24"/>
              </w:rPr>
              <w:t>5</w:t>
            </w:r>
          </w:p>
        </w:tc>
        <w:tc>
          <w:tcPr>
            <w:tcW w:w="915" w:type="pct"/>
            <w:tcBorders>
              <w:top w:val="single" w:color="000000" w:sz="4" w:space="0"/>
              <w:left w:val="single" w:color="000000" w:sz="4" w:space="0"/>
              <w:bottom w:val="single" w:color="000000" w:sz="4" w:space="0"/>
              <w:right w:val="single" w:color="auto" w:sz="4" w:space="0"/>
            </w:tcBorders>
            <w:shd w:val="clear" w:color="auto" w:fill="FFFFFF"/>
            <w:vAlign w:val="top"/>
          </w:tcPr>
          <w:p w14:paraId="2E5EFBFA">
            <w:pPr>
              <w:jc w:val="center"/>
              <w:rPr>
                <w:rFonts w:ascii="宋体" w:hAnsi="宋体" w:eastAsia="宋体" w:cstheme="minorBidi"/>
                <w:color w:val="000000"/>
                <w:sz w:val="24"/>
                <w:szCs w:val="24"/>
                <w:lang w:val="en-US" w:eastAsia="zh-CN" w:bidi="ar-SA"/>
              </w:rPr>
            </w:pPr>
            <w:r>
              <w:rPr>
                <w:rFonts w:hint="eastAsia"/>
                <w:color w:val="000000"/>
              </w:rPr>
              <w:t>加热损失率/%</w:t>
            </w:r>
          </w:p>
        </w:tc>
        <w:tc>
          <w:tcPr>
            <w:tcW w:w="663" w:type="pct"/>
            <w:tcBorders>
              <w:top w:val="single" w:color="auto" w:sz="4" w:space="0"/>
              <w:left w:val="single" w:color="auto" w:sz="4" w:space="0"/>
              <w:bottom w:val="single" w:color="auto" w:sz="4" w:space="0"/>
              <w:right w:val="single" w:color="auto" w:sz="4" w:space="0"/>
            </w:tcBorders>
            <w:shd w:val="clear" w:color="auto" w:fill="FFFFFF"/>
            <w:vAlign w:val="top"/>
          </w:tcPr>
          <w:p w14:paraId="1386A333">
            <w:pPr>
              <w:jc w:val="center"/>
              <w:rPr>
                <w:rFonts w:hint="eastAsia" w:ascii="宋体" w:hAnsi="宋体" w:eastAsia="宋体" w:cs="宋体"/>
                <w:color w:val="000000"/>
                <w:sz w:val="24"/>
                <w:szCs w:val="24"/>
                <w:lang w:val="en-US" w:eastAsia="zh-CN" w:bidi="ar-SA"/>
              </w:rPr>
            </w:pPr>
            <w:r>
              <w:rPr>
                <w:rFonts w:hint="eastAsia"/>
                <w:color w:val="000000"/>
                <w:lang w:val="en-US" w:eastAsia="zh-CN"/>
              </w:rPr>
              <w:t>0.7</w:t>
            </w:r>
          </w:p>
        </w:tc>
        <w:tc>
          <w:tcPr>
            <w:tcW w:w="748" w:type="pct"/>
            <w:tcBorders>
              <w:top w:val="single" w:color="auto" w:sz="4" w:space="0"/>
              <w:left w:val="single" w:color="auto" w:sz="4" w:space="0"/>
              <w:bottom w:val="single" w:color="auto" w:sz="4" w:space="0"/>
              <w:right w:val="single" w:color="auto" w:sz="4" w:space="0"/>
            </w:tcBorders>
            <w:shd w:val="clear" w:color="auto" w:fill="FFFFFF"/>
            <w:vAlign w:val="top"/>
          </w:tcPr>
          <w:p w14:paraId="0297A2D0">
            <w:pPr>
              <w:jc w:val="center"/>
              <w:rPr>
                <w:rFonts w:hint="eastAsia" w:ascii="宋体" w:hAnsi="宋体" w:eastAsia="宋体" w:cs="宋体"/>
                <w:color w:val="000000"/>
                <w:sz w:val="24"/>
                <w:szCs w:val="24"/>
                <w:lang w:val="en-US" w:eastAsia="zh-CN" w:bidi="ar-SA"/>
              </w:rPr>
            </w:pPr>
            <w:r>
              <w:rPr>
                <w:rFonts w:hint="eastAsia"/>
                <w:color w:val="000000"/>
                <w:lang w:val="en-US" w:eastAsia="zh-CN"/>
              </w:rPr>
              <w:t>1.2</w:t>
            </w:r>
          </w:p>
        </w:tc>
        <w:tc>
          <w:tcPr>
            <w:tcW w:w="604" w:type="pct"/>
            <w:tcBorders>
              <w:top w:val="single" w:color="auto" w:sz="4" w:space="0"/>
              <w:left w:val="single" w:color="auto" w:sz="4" w:space="0"/>
              <w:bottom w:val="single" w:color="auto" w:sz="4" w:space="0"/>
              <w:right w:val="single" w:color="auto" w:sz="4" w:space="0"/>
            </w:tcBorders>
            <w:shd w:val="clear" w:color="auto" w:fill="FFFFFF"/>
            <w:vAlign w:val="top"/>
          </w:tcPr>
          <w:p w14:paraId="09BB8674">
            <w:pPr>
              <w:jc w:val="center"/>
              <w:rPr>
                <w:rFonts w:hint="eastAsia" w:ascii="宋体" w:hAnsi="宋体" w:eastAsia="宋体" w:cs="宋体"/>
                <w:color w:val="000000"/>
                <w:sz w:val="24"/>
                <w:szCs w:val="24"/>
                <w:lang w:val="en-US" w:eastAsia="zh-CN" w:bidi="ar-SA"/>
              </w:rPr>
            </w:pPr>
            <w:r>
              <w:rPr>
                <w:rFonts w:hint="eastAsia"/>
                <w:color w:val="000000"/>
                <w:lang w:val="en-US" w:eastAsia="zh-CN"/>
              </w:rPr>
              <w:t>1.2</w:t>
            </w:r>
          </w:p>
        </w:tc>
        <w:tc>
          <w:tcPr>
            <w:tcW w:w="605" w:type="pct"/>
            <w:tcBorders>
              <w:top w:val="single" w:color="auto" w:sz="4" w:space="0"/>
              <w:left w:val="single" w:color="auto" w:sz="4" w:space="0"/>
              <w:bottom w:val="single" w:color="auto" w:sz="4" w:space="0"/>
              <w:right w:val="single" w:color="auto" w:sz="4" w:space="0"/>
            </w:tcBorders>
            <w:shd w:val="clear" w:color="auto" w:fill="FFFFFF"/>
            <w:vAlign w:val="top"/>
          </w:tcPr>
          <w:p w14:paraId="660DDF0D">
            <w:pPr>
              <w:jc w:val="center"/>
              <w:rPr>
                <w:rFonts w:hint="eastAsia" w:ascii="宋体" w:hAnsi="宋体" w:eastAsia="宋体" w:cs="宋体"/>
                <w:color w:val="000000"/>
                <w:sz w:val="24"/>
                <w:szCs w:val="24"/>
                <w:lang w:val="en-US" w:eastAsia="zh-CN" w:bidi="ar-SA"/>
              </w:rPr>
            </w:pPr>
            <w:r>
              <w:rPr>
                <w:rFonts w:hint="eastAsia"/>
                <w:color w:val="000000"/>
                <w:lang w:eastAsia="zh-CN"/>
              </w:rPr>
              <w:t>——</w:t>
            </w:r>
          </w:p>
        </w:tc>
        <w:tc>
          <w:tcPr>
            <w:tcW w:w="605" w:type="pct"/>
            <w:tcBorders>
              <w:top w:val="single" w:color="auto" w:sz="4" w:space="0"/>
              <w:left w:val="single" w:color="auto" w:sz="4" w:space="0"/>
              <w:bottom w:val="single" w:color="auto" w:sz="4" w:space="0"/>
              <w:right w:val="single" w:color="auto" w:sz="4" w:space="0"/>
            </w:tcBorders>
            <w:shd w:val="clear" w:color="auto" w:fill="FFFFFF"/>
            <w:vAlign w:val="top"/>
          </w:tcPr>
          <w:p w14:paraId="5F903B42">
            <w:pPr>
              <w:jc w:val="center"/>
              <w:rPr>
                <w:rFonts w:hint="default" w:ascii="宋体" w:hAnsi="宋体" w:eastAsia="宋体" w:cs="宋体"/>
                <w:color w:val="000000"/>
                <w:sz w:val="24"/>
                <w:szCs w:val="24"/>
                <w:lang w:val="en-US" w:eastAsia="zh-CN" w:bidi="ar-SA"/>
              </w:rPr>
            </w:pPr>
            <w:r>
              <w:rPr>
                <w:rFonts w:hint="eastAsia"/>
                <w:color w:val="000000"/>
                <w:lang w:val="en-US" w:eastAsia="zh-CN"/>
              </w:rPr>
              <w:t>0.8</w:t>
            </w:r>
          </w:p>
        </w:tc>
        <w:tc>
          <w:tcPr>
            <w:tcW w:w="607" w:type="pct"/>
            <w:tcBorders>
              <w:top w:val="single" w:color="auto" w:sz="4" w:space="0"/>
              <w:left w:val="single" w:color="auto" w:sz="4" w:space="0"/>
              <w:bottom w:val="single" w:color="auto" w:sz="4" w:space="0"/>
              <w:right w:val="single" w:color="auto" w:sz="12" w:space="0"/>
            </w:tcBorders>
            <w:shd w:val="clear" w:color="auto" w:fill="FFFFFF"/>
          </w:tcPr>
          <w:p w14:paraId="6468AC0E">
            <w:pPr>
              <w:jc w:val="center"/>
              <w:rPr>
                <w:rFonts w:hint="default" w:eastAsia="宋体"/>
                <w:color w:val="000000"/>
                <w:lang w:val="en-US" w:eastAsia="zh-CN"/>
              </w:rPr>
            </w:pPr>
            <w:r>
              <w:rPr>
                <w:rFonts w:hint="eastAsia"/>
                <w:color w:val="000000"/>
                <w:lang w:val="en-US" w:eastAsia="zh-CN"/>
              </w:rPr>
              <w:t>2.5</w:t>
            </w:r>
          </w:p>
        </w:tc>
      </w:tr>
    </w:tbl>
    <w:p w14:paraId="4B7ABE95">
      <w:pPr>
        <w:numPr>
          <w:ilvl w:val="0"/>
          <w:numId w:val="0"/>
        </w:numPr>
        <w:spacing w:line="360" w:lineRule="auto"/>
        <w:ind w:firstLine="420" w:firstLineChars="0"/>
        <w:jc w:val="both"/>
        <w:rPr>
          <w:rFonts w:hint="default" w:eastAsiaTheme="minorEastAsia"/>
          <w:color w:val="000000" w:themeColor="text1"/>
          <w:szCs w:val="28"/>
          <w:lang w:val="en-US" w:eastAsia="zh-CN"/>
          <w14:textFill>
            <w14:solidFill>
              <w14:schemeClr w14:val="tx1"/>
            </w14:solidFill>
          </w14:textFill>
        </w:rPr>
      </w:pPr>
      <w:r>
        <w:rPr>
          <w:rFonts w:hint="eastAsia" w:eastAsiaTheme="minorEastAsia"/>
          <w:color w:val="000000" w:themeColor="text1"/>
          <w:szCs w:val="28"/>
          <w:lang w:val="en-US" w:eastAsia="zh-CN"/>
          <w14:textFill>
            <w14:solidFill>
              <w14:schemeClr w14:val="tx1"/>
            </w14:solidFill>
          </w14:textFill>
        </w:rPr>
        <w:t>2.P</w:t>
      </w:r>
      <w:r>
        <w:rPr>
          <w:rFonts w:hint="eastAsia"/>
          <w:color w:val="000000"/>
          <w:lang w:val="en-US" w:eastAsia="zh-CN"/>
        </w:rPr>
        <w:t>/PVDF软膜验证数据</w:t>
      </w:r>
    </w:p>
    <w:tbl>
      <w:tblPr>
        <w:tblStyle w:val="18"/>
        <w:tblW w:w="4536" w:type="dxa"/>
        <w:tblInd w:w="113" w:type="dxa"/>
        <w:tblLayout w:type="autofit"/>
        <w:tblCellMar>
          <w:top w:w="0" w:type="dxa"/>
          <w:left w:w="108" w:type="dxa"/>
          <w:bottom w:w="0" w:type="dxa"/>
          <w:right w:w="108" w:type="dxa"/>
        </w:tblCellMar>
      </w:tblPr>
      <w:tblGrid>
        <w:gridCol w:w="1369"/>
        <w:gridCol w:w="4904"/>
        <w:gridCol w:w="3298"/>
      </w:tblGrid>
      <w:tr w14:paraId="2B539939">
        <w:tblPrEx>
          <w:tblCellMar>
            <w:top w:w="0" w:type="dxa"/>
            <w:left w:w="108" w:type="dxa"/>
            <w:bottom w:w="0" w:type="dxa"/>
            <w:right w:w="108" w:type="dxa"/>
          </w:tblCellMar>
        </w:tblPrEx>
        <w:trPr>
          <w:trHeight w:val="284" w:hRule="atLeast"/>
        </w:trPr>
        <w:tc>
          <w:tcPr>
            <w:tcW w:w="10200" w:type="dxa"/>
            <w:gridSpan w:val="3"/>
            <w:tcBorders>
              <w:top w:val="single" w:color="000000" w:sz="12" w:space="0"/>
              <w:left w:val="single" w:color="000000" w:sz="12" w:space="0"/>
              <w:bottom w:val="single" w:color="000000" w:sz="4" w:space="0"/>
              <w:right w:val="single" w:color="000000" w:sz="4" w:space="0"/>
              <w:tl2br w:val="nil"/>
            </w:tcBorders>
            <w:shd w:val="clear" w:color="auto" w:fill="FFFFFF"/>
            <w:noWrap/>
            <w:vAlign w:val="center"/>
          </w:tcPr>
          <w:p w14:paraId="12B0FFD7">
            <w:pPr>
              <w:widowControl/>
              <w:jc w:val="center"/>
              <w:rPr>
                <w:rFonts w:ascii="宋体" w:hAnsi="宋体" w:eastAsia="宋体" w:cs="宋体"/>
                <w:b w:val="0"/>
                <w:color w:val="000000"/>
                <w:kern w:val="0"/>
                <w:szCs w:val="21"/>
              </w:rPr>
            </w:pPr>
            <w:r>
              <w:rPr>
                <w:rFonts w:hint="eastAsia" w:cs="宋体"/>
                <w:b w:val="0"/>
                <w:color w:val="000000"/>
                <w:kern w:val="0"/>
                <w:szCs w:val="21"/>
                <w:lang w:val="en-US" w:eastAsia="zh-CN"/>
              </w:rPr>
              <w:t>P/</w:t>
            </w:r>
            <w:r>
              <w:rPr>
                <w:rFonts w:hint="eastAsia" w:ascii="宋体" w:hAnsi="宋体" w:eastAsia="宋体" w:cs="宋体"/>
                <w:b w:val="0"/>
                <w:color w:val="000000"/>
                <w:kern w:val="0"/>
                <w:szCs w:val="21"/>
              </w:rPr>
              <w:t>PVDF膜户外复合聚酯纤维织布型性能要求</w:t>
            </w:r>
          </w:p>
        </w:tc>
      </w:tr>
      <w:tr w14:paraId="60411FE3">
        <w:tblPrEx>
          <w:tblCellMar>
            <w:top w:w="0" w:type="dxa"/>
            <w:left w:w="108" w:type="dxa"/>
            <w:bottom w:w="0" w:type="dxa"/>
            <w:right w:w="108" w:type="dxa"/>
          </w:tblCellMar>
        </w:tblPrEx>
        <w:trPr>
          <w:trHeight w:val="284" w:hRule="atLeast"/>
        </w:trPr>
        <w:tc>
          <w:tcPr>
            <w:tcW w:w="1450" w:type="dxa"/>
            <w:tcBorders>
              <w:top w:val="single" w:color="000000" w:sz="4" w:space="0"/>
              <w:left w:val="single" w:color="000000" w:sz="12" w:space="0"/>
              <w:bottom w:val="single" w:color="000000" w:sz="4" w:space="0"/>
              <w:right w:val="single" w:color="000000" w:sz="4" w:space="0"/>
            </w:tcBorders>
            <w:shd w:val="clear" w:color="auto" w:fill="FFFFFF"/>
            <w:noWrap/>
            <w:vAlign w:val="center"/>
          </w:tcPr>
          <w:p w14:paraId="4129E970">
            <w:pPr>
              <w:widowControl/>
              <w:jc w:val="center"/>
              <w:rPr>
                <w:rFonts w:hint="eastAsia" w:ascii="宋体" w:hAnsi="宋体" w:eastAsia="宋体" w:cs="宋体"/>
                <w:b w:val="0"/>
                <w:color w:val="000000"/>
                <w:kern w:val="0"/>
                <w:szCs w:val="21"/>
              </w:rPr>
            </w:pPr>
            <w:r>
              <w:rPr>
                <w:rFonts w:hint="eastAsia" w:ascii="宋体" w:hAnsi="宋体" w:eastAsia="宋体" w:cs="宋体"/>
                <w:b w:val="0"/>
                <w:color w:val="000000"/>
                <w:kern w:val="0"/>
                <w:szCs w:val="21"/>
              </w:rPr>
              <w:t>序号</w:t>
            </w:r>
          </w:p>
        </w:tc>
        <w:tc>
          <w:tcPr>
            <w:tcW w:w="52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ED3D55">
            <w:pPr>
              <w:widowControl/>
              <w:jc w:val="center"/>
              <w:rPr>
                <w:rFonts w:hint="eastAsia" w:ascii="宋体" w:hAnsi="宋体" w:eastAsia="宋体" w:cs="宋体"/>
                <w:b w:val="0"/>
                <w:color w:val="000000"/>
                <w:kern w:val="0"/>
                <w:szCs w:val="21"/>
              </w:rPr>
            </w:pPr>
            <w:r>
              <w:rPr>
                <w:rFonts w:hint="eastAsia" w:ascii="宋体" w:hAnsi="宋体" w:eastAsia="宋体" w:cs="宋体"/>
                <w:b w:val="0"/>
                <w:color w:val="000000"/>
                <w:kern w:val="0"/>
                <w:szCs w:val="21"/>
              </w:rPr>
              <w:t>项目</w:t>
            </w:r>
          </w:p>
        </w:tc>
        <w:tc>
          <w:tcPr>
            <w:tcW w:w="3515" w:type="dxa"/>
            <w:tcBorders>
              <w:top w:val="single" w:color="000000" w:sz="4" w:space="0"/>
              <w:left w:val="single" w:color="000000" w:sz="4" w:space="0"/>
              <w:bottom w:val="single" w:color="000000" w:sz="4" w:space="0"/>
              <w:right w:val="single" w:color="000000" w:sz="12" w:space="0"/>
            </w:tcBorders>
            <w:shd w:val="clear" w:color="auto" w:fill="FFFFFF"/>
            <w:noWrap/>
            <w:vAlign w:val="center"/>
          </w:tcPr>
          <w:p w14:paraId="4B56E94E">
            <w:pPr>
              <w:widowControl/>
              <w:jc w:val="center"/>
              <w:rPr>
                <w:rFonts w:hint="eastAsia" w:ascii="宋体" w:hAnsi="宋体" w:eastAsia="宋体" w:cs="宋体"/>
                <w:b w:val="0"/>
                <w:color w:val="000000"/>
                <w:kern w:val="0"/>
                <w:szCs w:val="21"/>
              </w:rPr>
            </w:pPr>
            <w:r>
              <w:rPr>
                <w:rFonts w:hint="eastAsia" w:ascii="宋体" w:hAnsi="宋体" w:eastAsia="宋体" w:cs="宋体"/>
                <w:b w:val="0"/>
                <w:color w:val="000000"/>
                <w:kern w:val="0"/>
                <w:szCs w:val="21"/>
              </w:rPr>
              <w:t>指标</w:t>
            </w:r>
          </w:p>
        </w:tc>
      </w:tr>
      <w:tr w14:paraId="5B7B4E29">
        <w:tblPrEx>
          <w:tblCellMar>
            <w:top w:w="0" w:type="dxa"/>
            <w:left w:w="108" w:type="dxa"/>
            <w:bottom w:w="0" w:type="dxa"/>
            <w:right w:w="108" w:type="dxa"/>
          </w:tblCellMar>
        </w:tblPrEx>
        <w:trPr>
          <w:trHeight w:val="284" w:hRule="atLeast"/>
        </w:trPr>
        <w:tc>
          <w:tcPr>
            <w:tcW w:w="1450" w:type="dxa"/>
            <w:tcBorders>
              <w:top w:val="single" w:color="000000" w:sz="4" w:space="0"/>
              <w:left w:val="single" w:color="000000" w:sz="12" w:space="0"/>
              <w:bottom w:val="single" w:color="000000" w:sz="4" w:space="0"/>
              <w:right w:val="single" w:color="000000" w:sz="4" w:space="0"/>
            </w:tcBorders>
            <w:shd w:val="clear" w:color="auto" w:fill="FFFFFF"/>
            <w:noWrap/>
            <w:vAlign w:val="center"/>
          </w:tcPr>
          <w:p w14:paraId="3D713D67">
            <w:pPr>
              <w:widowControl/>
              <w:jc w:val="center"/>
              <w:rPr>
                <w:rFonts w:hint="eastAsia" w:ascii="宋体" w:hAnsi="宋体" w:eastAsia="宋体" w:cs="宋体"/>
                <w:b w:val="0"/>
                <w:color w:val="000000"/>
                <w:kern w:val="0"/>
                <w:szCs w:val="21"/>
              </w:rPr>
            </w:pPr>
            <w:r>
              <w:rPr>
                <w:rFonts w:hint="eastAsia" w:ascii="宋体" w:hAnsi="宋体" w:eastAsia="宋体" w:cs="宋体"/>
                <w:b w:val="0"/>
                <w:color w:val="000000"/>
                <w:kern w:val="0"/>
                <w:szCs w:val="21"/>
              </w:rPr>
              <w:t>1</w:t>
            </w:r>
          </w:p>
        </w:tc>
        <w:tc>
          <w:tcPr>
            <w:tcW w:w="52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4D6E83">
            <w:pPr>
              <w:widowControl/>
              <w:jc w:val="center"/>
              <w:rPr>
                <w:rFonts w:hint="eastAsia" w:ascii="宋体" w:hAnsi="宋体" w:eastAsia="宋体" w:cs="宋体"/>
                <w:b w:val="0"/>
                <w:color w:val="000000"/>
                <w:kern w:val="0"/>
                <w:szCs w:val="21"/>
              </w:rPr>
            </w:pPr>
            <w:r>
              <w:rPr>
                <w:rFonts w:hint="eastAsia" w:ascii="宋体" w:hAnsi="宋体" w:eastAsia="宋体" w:cs="宋体"/>
                <w:b w:val="0"/>
                <w:color w:val="000000"/>
                <w:kern w:val="0"/>
                <w:szCs w:val="21"/>
              </w:rPr>
              <w:t>幅宽，cm</w:t>
            </w:r>
          </w:p>
        </w:tc>
        <w:tc>
          <w:tcPr>
            <w:tcW w:w="3515" w:type="dxa"/>
            <w:tcBorders>
              <w:top w:val="single" w:color="000000" w:sz="4" w:space="0"/>
              <w:left w:val="single" w:color="000000" w:sz="4" w:space="0"/>
              <w:bottom w:val="single" w:color="000000" w:sz="4" w:space="0"/>
              <w:right w:val="single" w:color="000000" w:sz="12" w:space="0"/>
            </w:tcBorders>
            <w:shd w:val="clear" w:color="auto" w:fill="FFFFFF"/>
            <w:noWrap/>
            <w:vAlign w:val="center"/>
          </w:tcPr>
          <w:p w14:paraId="0195661E">
            <w:pPr>
              <w:widowControl/>
              <w:jc w:val="center"/>
              <w:rPr>
                <w:rFonts w:hint="eastAsia" w:ascii="宋体" w:hAnsi="宋体" w:eastAsia="宋体" w:cs="宋体"/>
                <w:b w:val="0"/>
                <w:color w:val="000000"/>
                <w:kern w:val="0"/>
                <w:szCs w:val="21"/>
              </w:rPr>
            </w:pPr>
            <w:r>
              <w:rPr>
                <w:rFonts w:hint="eastAsia" w:ascii="宋体" w:hAnsi="宋体" w:eastAsia="宋体" w:cs="宋体"/>
                <w:b w:val="0"/>
                <w:color w:val="000000"/>
                <w:kern w:val="0"/>
                <w:szCs w:val="21"/>
              </w:rPr>
              <w:t>300</w:t>
            </w:r>
          </w:p>
        </w:tc>
      </w:tr>
      <w:tr w14:paraId="4E8A923D">
        <w:tblPrEx>
          <w:tblCellMar>
            <w:top w:w="0" w:type="dxa"/>
            <w:left w:w="108" w:type="dxa"/>
            <w:bottom w:w="0" w:type="dxa"/>
            <w:right w:w="108" w:type="dxa"/>
          </w:tblCellMar>
        </w:tblPrEx>
        <w:trPr>
          <w:trHeight w:val="284" w:hRule="atLeast"/>
        </w:trPr>
        <w:tc>
          <w:tcPr>
            <w:tcW w:w="1450" w:type="dxa"/>
            <w:tcBorders>
              <w:top w:val="single" w:color="000000" w:sz="4" w:space="0"/>
              <w:left w:val="single" w:color="000000" w:sz="12" w:space="0"/>
              <w:bottom w:val="single" w:color="000000" w:sz="4" w:space="0"/>
              <w:right w:val="single" w:color="000000" w:sz="4" w:space="0"/>
            </w:tcBorders>
            <w:shd w:val="clear" w:color="auto" w:fill="FFFFFF"/>
            <w:noWrap/>
            <w:vAlign w:val="center"/>
          </w:tcPr>
          <w:p w14:paraId="24725CC1">
            <w:pPr>
              <w:widowControl/>
              <w:jc w:val="center"/>
              <w:rPr>
                <w:rFonts w:hint="eastAsia" w:ascii="宋体" w:hAnsi="宋体" w:eastAsia="宋体" w:cs="宋体"/>
                <w:b w:val="0"/>
                <w:color w:val="000000"/>
                <w:kern w:val="0"/>
                <w:szCs w:val="21"/>
              </w:rPr>
            </w:pPr>
            <w:r>
              <w:rPr>
                <w:rFonts w:hint="eastAsia" w:ascii="宋体" w:hAnsi="宋体" w:eastAsia="宋体" w:cs="宋体"/>
                <w:b w:val="0"/>
                <w:color w:val="000000"/>
                <w:kern w:val="0"/>
                <w:szCs w:val="21"/>
              </w:rPr>
              <w:t>2</w:t>
            </w:r>
          </w:p>
        </w:tc>
        <w:tc>
          <w:tcPr>
            <w:tcW w:w="52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5D1F98">
            <w:pPr>
              <w:widowControl/>
              <w:jc w:val="center"/>
              <w:rPr>
                <w:rFonts w:hint="eastAsia" w:ascii="宋体" w:hAnsi="宋体" w:eastAsia="宋体" w:cs="宋体"/>
                <w:b w:val="0"/>
                <w:color w:val="000000"/>
                <w:kern w:val="0"/>
                <w:szCs w:val="21"/>
              </w:rPr>
            </w:pPr>
            <w:r>
              <w:rPr>
                <w:rFonts w:hint="eastAsia" w:ascii="宋体" w:hAnsi="宋体" w:eastAsia="宋体" w:cs="宋体"/>
                <w:b w:val="0"/>
                <w:color w:val="000000"/>
                <w:kern w:val="0"/>
                <w:szCs w:val="21"/>
              </w:rPr>
              <w:t>厚度及允差，mm</w:t>
            </w:r>
          </w:p>
        </w:tc>
        <w:tc>
          <w:tcPr>
            <w:tcW w:w="3515" w:type="dxa"/>
            <w:tcBorders>
              <w:top w:val="single" w:color="000000" w:sz="4" w:space="0"/>
              <w:left w:val="single" w:color="000000" w:sz="4" w:space="0"/>
              <w:bottom w:val="single" w:color="000000" w:sz="4" w:space="0"/>
              <w:right w:val="single" w:color="000000" w:sz="12" w:space="0"/>
            </w:tcBorders>
            <w:shd w:val="clear" w:color="auto" w:fill="FFFFFF"/>
            <w:noWrap/>
            <w:vAlign w:val="center"/>
          </w:tcPr>
          <w:p w14:paraId="5991EEFF">
            <w:pPr>
              <w:widowControl/>
              <w:jc w:val="center"/>
              <w:rPr>
                <w:rFonts w:hint="eastAsia" w:ascii="宋体" w:hAnsi="宋体" w:eastAsia="宋体" w:cs="宋体"/>
                <w:b w:val="0"/>
                <w:color w:val="000000"/>
                <w:kern w:val="0"/>
                <w:szCs w:val="21"/>
              </w:rPr>
            </w:pPr>
            <w:r>
              <w:rPr>
                <w:rFonts w:hint="eastAsia" w:ascii="宋体" w:hAnsi="宋体" w:eastAsia="宋体" w:cs="宋体"/>
                <w:b w:val="0"/>
                <w:color w:val="000000"/>
                <w:kern w:val="0"/>
                <w:szCs w:val="21"/>
              </w:rPr>
              <w:t>1.08±0.05</w:t>
            </w:r>
          </w:p>
        </w:tc>
      </w:tr>
      <w:tr w14:paraId="086B433C">
        <w:tblPrEx>
          <w:tblCellMar>
            <w:top w:w="0" w:type="dxa"/>
            <w:left w:w="108" w:type="dxa"/>
            <w:bottom w:w="0" w:type="dxa"/>
            <w:right w:w="108" w:type="dxa"/>
          </w:tblCellMar>
        </w:tblPrEx>
        <w:trPr>
          <w:trHeight w:val="284" w:hRule="atLeast"/>
        </w:trPr>
        <w:tc>
          <w:tcPr>
            <w:tcW w:w="1450" w:type="dxa"/>
            <w:tcBorders>
              <w:top w:val="single" w:color="000000" w:sz="4" w:space="0"/>
              <w:left w:val="single" w:color="000000" w:sz="12" w:space="0"/>
              <w:bottom w:val="single" w:color="000000" w:sz="4" w:space="0"/>
              <w:right w:val="single" w:color="000000" w:sz="4" w:space="0"/>
            </w:tcBorders>
            <w:shd w:val="clear" w:color="auto" w:fill="FFFFFF"/>
            <w:noWrap/>
            <w:vAlign w:val="center"/>
          </w:tcPr>
          <w:p w14:paraId="351913B0">
            <w:pPr>
              <w:widowControl/>
              <w:jc w:val="center"/>
              <w:rPr>
                <w:rFonts w:hint="eastAsia" w:ascii="宋体" w:hAnsi="宋体" w:eastAsia="宋体" w:cs="宋体"/>
                <w:b w:val="0"/>
                <w:color w:val="000000"/>
                <w:kern w:val="0"/>
                <w:szCs w:val="21"/>
              </w:rPr>
            </w:pPr>
            <w:r>
              <w:rPr>
                <w:rFonts w:hint="eastAsia" w:ascii="宋体" w:hAnsi="宋体" w:eastAsia="宋体" w:cs="宋体"/>
                <w:b w:val="0"/>
                <w:color w:val="000000"/>
                <w:kern w:val="0"/>
                <w:szCs w:val="21"/>
              </w:rPr>
              <w:t>3</w:t>
            </w:r>
          </w:p>
        </w:tc>
        <w:tc>
          <w:tcPr>
            <w:tcW w:w="52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E152580">
            <w:pPr>
              <w:widowControl/>
              <w:jc w:val="center"/>
              <w:rPr>
                <w:rFonts w:hint="eastAsia" w:ascii="宋体" w:hAnsi="宋体" w:eastAsia="宋体" w:cs="宋体"/>
                <w:b w:val="0"/>
                <w:color w:val="000000"/>
                <w:kern w:val="0"/>
                <w:szCs w:val="21"/>
              </w:rPr>
            </w:pPr>
            <w:r>
              <w:rPr>
                <w:rFonts w:hint="eastAsia" w:ascii="宋体" w:hAnsi="宋体" w:eastAsia="宋体" w:cs="宋体"/>
                <w:b w:val="0"/>
                <w:color w:val="000000"/>
                <w:kern w:val="0"/>
                <w:szCs w:val="21"/>
              </w:rPr>
              <w:t>拉伸负荷，N/5cm</w:t>
            </w:r>
          </w:p>
        </w:tc>
        <w:tc>
          <w:tcPr>
            <w:tcW w:w="3515" w:type="dxa"/>
            <w:tcBorders>
              <w:top w:val="single" w:color="000000" w:sz="4" w:space="0"/>
              <w:left w:val="single" w:color="000000" w:sz="4" w:space="0"/>
              <w:bottom w:val="single" w:color="000000" w:sz="4" w:space="0"/>
              <w:right w:val="single" w:color="000000" w:sz="12" w:space="0"/>
            </w:tcBorders>
            <w:shd w:val="clear" w:color="auto" w:fill="FFFFFF"/>
            <w:noWrap/>
            <w:vAlign w:val="center"/>
          </w:tcPr>
          <w:p w14:paraId="2C4C5BD2">
            <w:pPr>
              <w:widowControl/>
              <w:jc w:val="center"/>
              <w:rPr>
                <w:rFonts w:hint="eastAsia" w:ascii="宋体" w:hAnsi="宋体" w:eastAsia="宋体" w:cs="宋体"/>
                <w:b w:val="0"/>
                <w:color w:val="000000"/>
                <w:kern w:val="0"/>
                <w:szCs w:val="21"/>
              </w:rPr>
            </w:pPr>
            <w:r>
              <w:rPr>
                <w:rFonts w:hint="eastAsia" w:ascii="宋体" w:hAnsi="宋体" w:eastAsia="宋体" w:cs="宋体"/>
                <w:b w:val="0"/>
                <w:color w:val="000000"/>
                <w:kern w:val="0"/>
                <w:szCs w:val="21"/>
              </w:rPr>
              <w:t>≥6200</w:t>
            </w:r>
          </w:p>
        </w:tc>
      </w:tr>
      <w:tr w14:paraId="2C03357D">
        <w:tblPrEx>
          <w:tblCellMar>
            <w:top w:w="0" w:type="dxa"/>
            <w:left w:w="108" w:type="dxa"/>
            <w:bottom w:w="0" w:type="dxa"/>
            <w:right w:w="108" w:type="dxa"/>
          </w:tblCellMar>
        </w:tblPrEx>
        <w:trPr>
          <w:trHeight w:val="284" w:hRule="atLeast"/>
        </w:trPr>
        <w:tc>
          <w:tcPr>
            <w:tcW w:w="1450" w:type="dxa"/>
            <w:tcBorders>
              <w:top w:val="single" w:color="000000" w:sz="4" w:space="0"/>
              <w:left w:val="single" w:color="000000" w:sz="12" w:space="0"/>
              <w:bottom w:val="single" w:color="000000" w:sz="4" w:space="0"/>
              <w:right w:val="single" w:color="000000" w:sz="4" w:space="0"/>
            </w:tcBorders>
            <w:shd w:val="clear" w:color="auto" w:fill="FFFFFF"/>
            <w:noWrap/>
            <w:vAlign w:val="center"/>
          </w:tcPr>
          <w:p w14:paraId="15FF1444">
            <w:pPr>
              <w:widowControl/>
              <w:jc w:val="center"/>
              <w:rPr>
                <w:rFonts w:hint="eastAsia" w:ascii="宋体" w:hAnsi="宋体" w:eastAsia="宋体" w:cs="宋体"/>
                <w:b w:val="0"/>
                <w:color w:val="000000"/>
                <w:kern w:val="0"/>
                <w:szCs w:val="21"/>
              </w:rPr>
            </w:pPr>
            <w:r>
              <w:rPr>
                <w:rFonts w:hint="eastAsia" w:ascii="宋体" w:hAnsi="宋体" w:eastAsia="宋体" w:cs="宋体"/>
                <w:b w:val="0"/>
                <w:color w:val="000000"/>
                <w:kern w:val="0"/>
                <w:szCs w:val="21"/>
              </w:rPr>
              <w:t>4</w:t>
            </w:r>
          </w:p>
        </w:tc>
        <w:tc>
          <w:tcPr>
            <w:tcW w:w="52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B92268">
            <w:pPr>
              <w:widowControl/>
              <w:jc w:val="center"/>
              <w:rPr>
                <w:rFonts w:hint="eastAsia" w:ascii="宋体" w:hAnsi="宋体" w:eastAsia="宋体" w:cs="宋体"/>
                <w:b w:val="0"/>
                <w:color w:val="000000"/>
                <w:kern w:val="0"/>
                <w:szCs w:val="21"/>
              </w:rPr>
            </w:pPr>
            <w:r>
              <w:rPr>
                <w:rFonts w:hint="eastAsia" w:ascii="宋体" w:hAnsi="宋体" w:eastAsia="宋体" w:cs="宋体"/>
                <w:b w:val="0"/>
                <w:color w:val="000000"/>
                <w:kern w:val="0"/>
                <w:szCs w:val="21"/>
              </w:rPr>
              <w:t>撕裂负荷，N</w:t>
            </w:r>
          </w:p>
        </w:tc>
        <w:tc>
          <w:tcPr>
            <w:tcW w:w="3515" w:type="dxa"/>
            <w:tcBorders>
              <w:top w:val="single" w:color="000000" w:sz="4" w:space="0"/>
              <w:left w:val="single" w:color="000000" w:sz="4" w:space="0"/>
              <w:bottom w:val="single" w:color="000000" w:sz="4" w:space="0"/>
              <w:right w:val="single" w:color="000000" w:sz="12" w:space="0"/>
            </w:tcBorders>
            <w:shd w:val="clear" w:color="auto" w:fill="FFFFFF"/>
            <w:noWrap/>
            <w:vAlign w:val="center"/>
          </w:tcPr>
          <w:p w14:paraId="5A69E857">
            <w:pPr>
              <w:widowControl/>
              <w:jc w:val="center"/>
              <w:rPr>
                <w:rFonts w:hint="eastAsia" w:ascii="宋体" w:hAnsi="宋体" w:eastAsia="宋体" w:cs="宋体"/>
                <w:b w:val="0"/>
                <w:color w:val="000000"/>
                <w:kern w:val="0"/>
                <w:szCs w:val="21"/>
              </w:rPr>
            </w:pPr>
            <w:r>
              <w:rPr>
                <w:rFonts w:hint="eastAsia" w:ascii="宋体" w:hAnsi="宋体" w:eastAsia="宋体" w:cs="宋体"/>
                <w:b w:val="0"/>
                <w:color w:val="000000"/>
                <w:kern w:val="0"/>
                <w:szCs w:val="21"/>
              </w:rPr>
              <w:t>≥700</w:t>
            </w:r>
          </w:p>
        </w:tc>
      </w:tr>
      <w:tr w14:paraId="24D66037">
        <w:tblPrEx>
          <w:tblCellMar>
            <w:top w:w="0" w:type="dxa"/>
            <w:left w:w="108" w:type="dxa"/>
            <w:bottom w:w="0" w:type="dxa"/>
            <w:right w:w="108" w:type="dxa"/>
          </w:tblCellMar>
        </w:tblPrEx>
        <w:trPr>
          <w:trHeight w:val="284" w:hRule="atLeast"/>
        </w:trPr>
        <w:tc>
          <w:tcPr>
            <w:tcW w:w="1450" w:type="dxa"/>
            <w:tcBorders>
              <w:top w:val="single" w:color="000000" w:sz="4" w:space="0"/>
              <w:left w:val="single" w:color="000000" w:sz="12" w:space="0"/>
              <w:bottom w:val="single" w:color="000000" w:sz="4" w:space="0"/>
              <w:right w:val="single" w:color="000000" w:sz="4" w:space="0"/>
            </w:tcBorders>
            <w:shd w:val="clear" w:color="auto" w:fill="FFFFFF"/>
            <w:noWrap/>
            <w:vAlign w:val="center"/>
          </w:tcPr>
          <w:p w14:paraId="1227B4C2">
            <w:pPr>
              <w:widowControl/>
              <w:jc w:val="center"/>
              <w:rPr>
                <w:rFonts w:hint="eastAsia" w:ascii="宋体" w:hAnsi="宋体" w:eastAsia="宋体" w:cs="宋体"/>
                <w:b w:val="0"/>
                <w:color w:val="000000"/>
                <w:kern w:val="0"/>
                <w:szCs w:val="21"/>
              </w:rPr>
            </w:pPr>
            <w:r>
              <w:rPr>
                <w:rFonts w:hint="eastAsia" w:ascii="宋体" w:hAnsi="宋体" w:eastAsia="宋体" w:cs="宋体"/>
                <w:b w:val="0"/>
                <w:color w:val="000000"/>
                <w:kern w:val="0"/>
                <w:szCs w:val="21"/>
              </w:rPr>
              <w:t>5</w:t>
            </w:r>
          </w:p>
        </w:tc>
        <w:tc>
          <w:tcPr>
            <w:tcW w:w="52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4E40BC">
            <w:pPr>
              <w:widowControl/>
              <w:jc w:val="center"/>
              <w:rPr>
                <w:rFonts w:hint="eastAsia" w:ascii="宋体" w:hAnsi="宋体" w:eastAsia="宋体" w:cs="宋体"/>
                <w:b w:val="0"/>
                <w:color w:val="000000"/>
                <w:kern w:val="0"/>
                <w:szCs w:val="21"/>
              </w:rPr>
            </w:pPr>
            <w:r>
              <w:rPr>
                <w:rFonts w:hint="eastAsia" w:ascii="宋体" w:hAnsi="宋体" w:eastAsia="宋体" w:cs="宋体"/>
                <w:b w:val="0"/>
                <w:color w:val="000000"/>
                <w:kern w:val="0"/>
                <w:szCs w:val="21"/>
              </w:rPr>
              <w:t>剥离负荷，N/5cm</w:t>
            </w:r>
          </w:p>
        </w:tc>
        <w:tc>
          <w:tcPr>
            <w:tcW w:w="3515" w:type="dxa"/>
            <w:tcBorders>
              <w:top w:val="single" w:color="000000" w:sz="4" w:space="0"/>
              <w:left w:val="single" w:color="000000" w:sz="4" w:space="0"/>
              <w:bottom w:val="single" w:color="000000" w:sz="4" w:space="0"/>
              <w:right w:val="single" w:color="000000" w:sz="12" w:space="0"/>
            </w:tcBorders>
            <w:shd w:val="clear" w:color="auto" w:fill="FFFFFF"/>
            <w:noWrap/>
            <w:vAlign w:val="center"/>
          </w:tcPr>
          <w:p w14:paraId="0D162000">
            <w:pPr>
              <w:widowControl/>
              <w:jc w:val="center"/>
              <w:rPr>
                <w:rFonts w:hint="eastAsia" w:ascii="宋体" w:hAnsi="宋体" w:eastAsia="宋体" w:cs="宋体"/>
                <w:b w:val="0"/>
                <w:color w:val="000000"/>
                <w:kern w:val="0"/>
                <w:szCs w:val="21"/>
              </w:rPr>
            </w:pPr>
            <w:r>
              <w:rPr>
                <w:rFonts w:hint="eastAsia" w:ascii="宋体" w:hAnsi="宋体" w:eastAsia="宋体" w:cs="宋体"/>
                <w:b w:val="0"/>
                <w:color w:val="000000"/>
                <w:kern w:val="0"/>
                <w:szCs w:val="21"/>
              </w:rPr>
              <w:t>≥120</w:t>
            </w:r>
          </w:p>
        </w:tc>
      </w:tr>
      <w:tr w14:paraId="71F39007">
        <w:tblPrEx>
          <w:tblCellMar>
            <w:top w:w="0" w:type="dxa"/>
            <w:left w:w="108" w:type="dxa"/>
            <w:bottom w:w="0" w:type="dxa"/>
            <w:right w:w="108" w:type="dxa"/>
          </w:tblCellMar>
        </w:tblPrEx>
        <w:trPr>
          <w:trHeight w:val="284" w:hRule="atLeast"/>
        </w:trPr>
        <w:tc>
          <w:tcPr>
            <w:tcW w:w="1450" w:type="dxa"/>
            <w:tcBorders>
              <w:top w:val="single" w:color="000000" w:sz="4" w:space="0"/>
              <w:left w:val="single" w:color="000000" w:sz="12" w:space="0"/>
              <w:bottom w:val="single" w:color="000000" w:sz="4" w:space="0"/>
              <w:right w:val="single" w:color="000000" w:sz="4" w:space="0"/>
            </w:tcBorders>
            <w:shd w:val="clear" w:color="auto" w:fill="FFFFFF"/>
            <w:noWrap/>
            <w:vAlign w:val="center"/>
          </w:tcPr>
          <w:p w14:paraId="4F35EB02">
            <w:pPr>
              <w:widowControl/>
              <w:jc w:val="center"/>
              <w:rPr>
                <w:rFonts w:hint="eastAsia" w:ascii="宋体" w:hAnsi="宋体" w:eastAsia="宋体" w:cs="宋体"/>
                <w:b w:val="0"/>
                <w:color w:val="000000"/>
                <w:kern w:val="0"/>
                <w:szCs w:val="21"/>
              </w:rPr>
            </w:pPr>
            <w:r>
              <w:rPr>
                <w:rFonts w:hint="eastAsia" w:ascii="宋体" w:hAnsi="宋体" w:eastAsia="宋体" w:cs="宋体"/>
                <w:b w:val="0"/>
                <w:color w:val="000000"/>
                <w:kern w:val="0"/>
                <w:szCs w:val="21"/>
              </w:rPr>
              <w:t>6</w:t>
            </w:r>
          </w:p>
        </w:tc>
        <w:tc>
          <w:tcPr>
            <w:tcW w:w="52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2857B13">
            <w:pPr>
              <w:widowControl/>
              <w:jc w:val="center"/>
              <w:rPr>
                <w:rFonts w:hint="eastAsia" w:ascii="宋体" w:hAnsi="宋体" w:eastAsia="宋体" w:cs="宋体"/>
                <w:b w:val="0"/>
                <w:color w:val="000000"/>
                <w:kern w:val="0"/>
                <w:szCs w:val="21"/>
              </w:rPr>
            </w:pPr>
            <w:r>
              <w:rPr>
                <w:rFonts w:hint="eastAsia" w:ascii="宋体" w:hAnsi="宋体" w:eastAsia="宋体" w:cs="宋体"/>
                <w:b w:val="0"/>
                <w:color w:val="000000"/>
                <w:kern w:val="0"/>
                <w:szCs w:val="21"/>
              </w:rPr>
              <w:t>透光率，%</w:t>
            </w:r>
          </w:p>
        </w:tc>
        <w:tc>
          <w:tcPr>
            <w:tcW w:w="3515" w:type="dxa"/>
            <w:tcBorders>
              <w:top w:val="single" w:color="000000" w:sz="4" w:space="0"/>
              <w:left w:val="single" w:color="000000" w:sz="4" w:space="0"/>
              <w:bottom w:val="single" w:color="000000" w:sz="4" w:space="0"/>
              <w:right w:val="single" w:color="000000" w:sz="12" w:space="0"/>
            </w:tcBorders>
            <w:shd w:val="clear" w:color="auto" w:fill="FFFFFF"/>
            <w:noWrap/>
            <w:vAlign w:val="center"/>
          </w:tcPr>
          <w:p w14:paraId="35CF6F74">
            <w:pPr>
              <w:widowControl/>
              <w:jc w:val="center"/>
              <w:rPr>
                <w:rFonts w:hint="eastAsia" w:ascii="宋体" w:hAnsi="宋体" w:eastAsia="宋体" w:cs="宋体"/>
                <w:b w:val="0"/>
                <w:color w:val="000000"/>
                <w:kern w:val="0"/>
                <w:szCs w:val="21"/>
              </w:rPr>
            </w:pPr>
            <w:r>
              <w:rPr>
                <w:rFonts w:hint="eastAsia" w:ascii="宋体" w:hAnsi="宋体" w:eastAsia="宋体" w:cs="宋体"/>
                <w:b w:val="0"/>
                <w:color w:val="000000"/>
                <w:kern w:val="0"/>
                <w:szCs w:val="21"/>
              </w:rPr>
              <w:t>0-30</w:t>
            </w:r>
          </w:p>
        </w:tc>
      </w:tr>
      <w:tr w14:paraId="685ECDC8">
        <w:tblPrEx>
          <w:tblCellMar>
            <w:top w:w="0" w:type="dxa"/>
            <w:left w:w="108" w:type="dxa"/>
            <w:bottom w:w="0" w:type="dxa"/>
            <w:right w:w="108" w:type="dxa"/>
          </w:tblCellMar>
        </w:tblPrEx>
        <w:trPr>
          <w:trHeight w:val="284" w:hRule="atLeast"/>
        </w:trPr>
        <w:tc>
          <w:tcPr>
            <w:tcW w:w="1450" w:type="dxa"/>
            <w:tcBorders>
              <w:top w:val="single" w:color="000000" w:sz="4" w:space="0"/>
              <w:left w:val="single" w:color="000000" w:sz="12" w:space="0"/>
              <w:bottom w:val="single" w:color="000000" w:sz="4" w:space="0"/>
              <w:right w:val="single" w:color="000000" w:sz="4" w:space="0"/>
            </w:tcBorders>
            <w:shd w:val="clear" w:color="auto" w:fill="FFFFFF"/>
            <w:noWrap/>
            <w:vAlign w:val="center"/>
          </w:tcPr>
          <w:p w14:paraId="27E9430C">
            <w:pPr>
              <w:widowControl/>
              <w:jc w:val="center"/>
              <w:rPr>
                <w:rFonts w:hint="eastAsia" w:ascii="宋体" w:hAnsi="宋体" w:eastAsia="宋体" w:cs="宋体"/>
                <w:b w:val="0"/>
                <w:color w:val="000000"/>
                <w:kern w:val="0"/>
                <w:szCs w:val="21"/>
              </w:rPr>
            </w:pPr>
            <w:r>
              <w:rPr>
                <w:rFonts w:hint="eastAsia" w:ascii="宋体" w:hAnsi="宋体" w:eastAsia="宋体" w:cs="宋体"/>
                <w:b w:val="0"/>
                <w:color w:val="000000"/>
                <w:kern w:val="0"/>
                <w:szCs w:val="21"/>
              </w:rPr>
              <w:t>7</w:t>
            </w:r>
          </w:p>
        </w:tc>
        <w:tc>
          <w:tcPr>
            <w:tcW w:w="52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BDE96B">
            <w:pPr>
              <w:widowControl/>
              <w:jc w:val="center"/>
              <w:rPr>
                <w:rFonts w:hint="eastAsia" w:ascii="宋体" w:hAnsi="宋体" w:eastAsia="宋体" w:cs="宋体"/>
                <w:b w:val="0"/>
                <w:color w:val="000000"/>
                <w:kern w:val="0"/>
                <w:szCs w:val="21"/>
              </w:rPr>
            </w:pPr>
            <w:r>
              <w:rPr>
                <w:rFonts w:hint="eastAsia" w:ascii="宋体" w:hAnsi="宋体" w:eastAsia="宋体" w:cs="宋体"/>
                <w:b w:val="0"/>
                <w:color w:val="000000"/>
                <w:kern w:val="0"/>
                <w:szCs w:val="21"/>
              </w:rPr>
              <w:t>防火等级</w:t>
            </w:r>
          </w:p>
        </w:tc>
        <w:tc>
          <w:tcPr>
            <w:tcW w:w="3515" w:type="dxa"/>
            <w:tcBorders>
              <w:top w:val="single" w:color="000000" w:sz="4" w:space="0"/>
              <w:left w:val="single" w:color="000000" w:sz="4" w:space="0"/>
              <w:bottom w:val="single" w:color="000000" w:sz="4" w:space="0"/>
              <w:right w:val="single" w:color="000000" w:sz="12" w:space="0"/>
            </w:tcBorders>
            <w:shd w:val="clear" w:color="auto" w:fill="FFFFFF"/>
            <w:noWrap/>
            <w:vAlign w:val="center"/>
          </w:tcPr>
          <w:p w14:paraId="22B08158">
            <w:pPr>
              <w:widowControl/>
              <w:jc w:val="center"/>
              <w:rPr>
                <w:rFonts w:hint="eastAsia" w:ascii="宋体" w:hAnsi="宋体" w:eastAsia="宋体" w:cs="宋体"/>
                <w:b w:val="0"/>
                <w:color w:val="000000"/>
                <w:kern w:val="0"/>
                <w:szCs w:val="21"/>
              </w:rPr>
            </w:pPr>
            <w:r>
              <w:rPr>
                <w:rFonts w:hint="eastAsia" w:ascii="宋体" w:hAnsi="宋体" w:eastAsia="宋体" w:cs="宋体"/>
                <w:b w:val="0"/>
                <w:color w:val="000000"/>
                <w:kern w:val="0"/>
                <w:szCs w:val="21"/>
              </w:rPr>
              <w:t>B1</w:t>
            </w:r>
          </w:p>
        </w:tc>
      </w:tr>
      <w:tr w14:paraId="08330974">
        <w:tblPrEx>
          <w:tblCellMar>
            <w:top w:w="0" w:type="dxa"/>
            <w:left w:w="108" w:type="dxa"/>
            <w:bottom w:w="0" w:type="dxa"/>
            <w:right w:w="108" w:type="dxa"/>
          </w:tblCellMar>
        </w:tblPrEx>
        <w:trPr>
          <w:trHeight w:val="284" w:hRule="atLeast"/>
        </w:trPr>
        <w:tc>
          <w:tcPr>
            <w:tcW w:w="1450" w:type="dxa"/>
            <w:tcBorders>
              <w:top w:val="single" w:color="000000" w:sz="4" w:space="0"/>
              <w:left w:val="single" w:color="000000" w:sz="12" w:space="0"/>
              <w:bottom w:val="single" w:color="000000" w:sz="4" w:space="0"/>
              <w:right w:val="single" w:color="000000" w:sz="4" w:space="0"/>
            </w:tcBorders>
            <w:shd w:val="clear" w:color="auto" w:fill="FFFFFF"/>
            <w:noWrap/>
            <w:vAlign w:val="center"/>
          </w:tcPr>
          <w:p w14:paraId="18095012">
            <w:pPr>
              <w:widowControl/>
              <w:jc w:val="center"/>
              <w:rPr>
                <w:rFonts w:hint="eastAsia" w:ascii="宋体" w:hAnsi="宋体" w:eastAsia="宋体" w:cs="宋体"/>
                <w:b w:val="0"/>
                <w:color w:val="000000"/>
                <w:kern w:val="0"/>
                <w:szCs w:val="21"/>
              </w:rPr>
            </w:pPr>
            <w:r>
              <w:rPr>
                <w:rFonts w:hint="eastAsia" w:ascii="宋体" w:hAnsi="宋体" w:eastAsia="宋体" w:cs="宋体"/>
                <w:b w:val="0"/>
                <w:color w:val="000000"/>
                <w:kern w:val="0"/>
                <w:szCs w:val="21"/>
              </w:rPr>
              <w:t>8</w:t>
            </w:r>
          </w:p>
        </w:tc>
        <w:tc>
          <w:tcPr>
            <w:tcW w:w="52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85170EC">
            <w:pPr>
              <w:widowControl/>
              <w:jc w:val="center"/>
              <w:rPr>
                <w:rFonts w:hint="eastAsia" w:ascii="宋体" w:hAnsi="宋体" w:eastAsia="宋体" w:cs="宋体"/>
                <w:b w:val="0"/>
                <w:color w:val="000000"/>
                <w:kern w:val="0"/>
                <w:szCs w:val="21"/>
              </w:rPr>
            </w:pPr>
            <w:r>
              <w:rPr>
                <w:rFonts w:hint="eastAsia" w:ascii="宋体" w:hAnsi="宋体" w:eastAsia="宋体" w:cs="宋体"/>
                <w:b w:val="0"/>
                <w:color w:val="000000"/>
                <w:kern w:val="0"/>
                <w:szCs w:val="21"/>
              </w:rPr>
              <w:t>适用温度，℃</w:t>
            </w:r>
          </w:p>
        </w:tc>
        <w:tc>
          <w:tcPr>
            <w:tcW w:w="3515" w:type="dxa"/>
            <w:tcBorders>
              <w:top w:val="single" w:color="000000" w:sz="4" w:space="0"/>
              <w:left w:val="single" w:color="000000" w:sz="4" w:space="0"/>
              <w:bottom w:val="single" w:color="000000" w:sz="4" w:space="0"/>
              <w:right w:val="single" w:color="000000" w:sz="12" w:space="0"/>
            </w:tcBorders>
            <w:shd w:val="clear" w:color="auto" w:fill="FFFFFF"/>
            <w:noWrap/>
            <w:vAlign w:val="center"/>
          </w:tcPr>
          <w:p w14:paraId="2765D1EC">
            <w:pPr>
              <w:widowControl/>
              <w:jc w:val="center"/>
              <w:rPr>
                <w:rFonts w:hint="eastAsia" w:ascii="宋体" w:hAnsi="宋体" w:eastAsia="宋体" w:cs="宋体"/>
                <w:b w:val="0"/>
                <w:color w:val="000000"/>
                <w:kern w:val="0"/>
                <w:szCs w:val="21"/>
              </w:rPr>
            </w:pPr>
            <w:r>
              <w:rPr>
                <w:rFonts w:hint="eastAsia" w:ascii="宋体" w:hAnsi="宋体" w:eastAsia="宋体" w:cs="宋体"/>
                <w:b w:val="0"/>
                <w:color w:val="000000"/>
                <w:kern w:val="0"/>
                <w:szCs w:val="21"/>
              </w:rPr>
              <w:t>-40~70</w:t>
            </w:r>
          </w:p>
        </w:tc>
      </w:tr>
      <w:tr w14:paraId="2A3BC422">
        <w:tblPrEx>
          <w:tblCellMar>
            <w:top w:w="0" w:type="dxa"/>
            <w:left w:w="108" w:type="dxa"/>
            <w:bottom w:w="0" w:type="dxa"/>
            <w:right w:w="108" w:type="dxa"/>
          </w:tblCellMar>
        </w:tblPrEx>
        <w:trPr>
          <w:trHeight w:val="284" w:hRule="atLeast"/>
        </w:trPr>
        <w:tc>
          <w:tcPr>
            <w:tcW w:w="1450" w:type="dxa"/>
            <w:tcBorders>
              <w:top w:val="single" w:color="000000" w:sz="4" w:space="0"/>
              <w:left w:val="single" w:color="000000" w:sz="12" w:space="0"/>
              <w:bottom w:val="single" w:color="000000" w:sz="12" w:space="0"/>
              <w:right w:val="single" w:color="000000" w:sz="4" w:space="0"/>
            </w:tcBorders>
            <w:shd w:val="clear" w:color="auto" w:fill="FFFFFF"/>
            <w:noWrap/>
            <w:vAlign w:val="center"/>
          </w:tcPr>
          <w:p w14:paraId="28FE5BE4">
            <w:pPr>
              <w:widowControl/>
              <w:jc w:val="center"/>
              <w:rPr>
                <w:rFonts w:hint="eastAsia" w:ascii="宋体" w:hAnsi="宋体" w:eastAsia="宋体" w:cs="宋体"/>
                <w:b w:val="0"/>
                <w:color w:val="000000"/>
                <w:kern w:val="0"/>
                <w:szCs w:val="21"/>
              </w:rPr>
            </w:pPr>
            <w:r>
              <w:rPr>
                <w:rFonts w:hint="eastAsia" w:ascii="宋体" w:hAnsi="宋体" w:eastAsia="宋体" w:cs="宋体"/>
                <w:b w:val="0"/>
                <w:color w:val="000000"/>
                <w:kern w:val="0"/>
                <w:szCs w:val="21"/>
              </w:rPr>
              <w:t>9</w:t>
            </w:r>
          </w:p>
        </w:tc>
        <w:tc>
          <w:tcPr>
            <w:tcW w:w="5235" w:type="dxa"/>
            <w:tcBorders>
              <w:top w:val="single" w:color="000000" w:sz="4" w:space="0"/>
              <w:left w:val="single" w:color="000000" w:sz="4" w:space="0"/>
              <w:bottom w:val="single" w:color="000000" w:sz="12" w:space="0"/>
              <w:right w:val="single" w:color="000000" w:sz="4" w:space="0"/>
            </w:tcBorders>
            <w:shd w:val="clear" w:color="auto" w:fill="FFFFFF"/>
            <w:noWrap/>
            <w:vAlign w:val="center"/>
          </w:tcPr>
          <w:p w14:paraId="41180EDF">
            <w:pPr>
              <w:widowControl/>
              <w:jc w:val="center"/>
              <w:rPr>
                <w:rFonts w:hint="eastAsia" w:ascii="宋体" w:hAnsi="宋体" w:eastAsia="宋体" w:cs="宋体"/>
                <w:b w:val="0"/>
                <w:color w:val="000000"/>
                <w:kern w:val="0"/>
                <w:szCs w:val="21"/>
              </w:rPr>
            </w:pPr>
            <w:r>
              <w:rPr>
                <w:rFonts w:hint="eastAsia" w:ascii="宋体" w:hAnsi="宋体" w:eastAsia="宋体" w:cs="宋体"/>
                <w:b w:val="0"/>
                <w:color w:val="000000"/>
                <w:kern w:val="0"/>
                <w:szCs w:val="21"/>
              </w:rPr>
              <w:t>抗芯吸，mm</w:t>
            </w:r>
          </w:p>
        </w:tc>
        <w:tc>
          <w:tcPr>
            <w:tcW w:w="3515" w:type="dxa"/>
            <w:tcBorders>
              <w:top w:val="single" w:color="000000" w:sz="4" w:space="0"/>
              <w:left w:val="single" w:color="000000" w:sz="4" w:space="0"/>
              <w:bottom w:val="single" w:color="000000" w:sz="12" w:space="0"/>
              <w:right w:val="single" w:color="000000" w:sz="12" w:space="0"/>
            </w:tcBorders>
            <w:shd w:val="clear" w:color="auto" w:fill="FFFFFF"/>
            <w:noWrap/>
            <w:vAlign w:val="center"/>
          </w:tcPr>
          <w:p w14:paraId="52FF6112">
            <w:pPr>
              <w:widowControl/>
              <w:jc w:val="center"/>
              <w:rPr>
                <w:rFonts w:hint="eastAsia" w:ascii="宋体" w:hAnsi="宋体" w:eastAsia="宋体" w:cs="宋体"/>
                <w:b w:val="0"/>
                <w:color w:val="000000"/>
                <w:kern w:val="0"/>
                <w:szCs w:val="21"/>
              </w:rPr>
            </w:pPr>
            <w:r>
              <w:rPr>
                <w:rFonts w:hint="eastAsia" w:ascii="宋体" w:hAnsi="宋体" w:eastAsia="宋体" w:cs="宋体"/>
                <w:b w:val="0"/>
                <w:color w:val="000000"/>
                <w:kern w:val="0"/>
                <w:szCs w:val="21"/>
              </w:rPr>
              <w:t>≤20</w:t>
            </w:r>
          </w:p>
        </w:tc>
      </w:tr>
    </w:tbl>
    <w:p w14:paraId="2631E7ED">
      <w:pPr>
        <w:numPr>
          <w:ilvl w:val="0"/>
          <w:numId w:val="0"/>
        </w:numPr>
        <w:spacing w:line="360" w:lineRule="auto"/>
        <w:ind w:firstLine="420" w:firstLineChars="0"/>
        <w:jc w:val="both"/>
        <w:rPr>
          <w:rFonts w:hint="default" w:eastAsiaTheme="minorEastAsia"/>
          <w:color w:val="000000" w:themeColor="text1"/>
          <w:szCs w:val="28"/>
          <w:lang w:val="en-US" w:eastAsia="zh-CN"/>
          <w14:textFill>
            <w14:solidFill>
              <w14:schemeClr w14:val="tx1"/>
            </w14:solidFill>
          </w14:textFill>
        </w:rPr>
      </w:pPr>
      <w:r>
        <w:rPr>
          <w:rFonts w:hint="eastAsia" w:eastAsiaTheme="minorEastAsia"/>
          <w:color w:val="000000" w:themeColor="text1"/>
          <w:szCs w:val="28"/>
          <w:lang w:val="en-US" w:eastAsia="zh-CN"/>
          <w14:textFill>
            <w14:solidFill>
              <w14:schemeClr w14:val="tx1"/>
            </w14:solidFill>
          </w14:textFill>
        </w:rPr>
        <w:t>3.燃烧性能</w:t>
      </w:r>
      <w:r>
        <w:rPr>
          <w:rFonts w:hint="eastAsia"/>
          <w:color w:val="000000"/>
          <w:lang w:val="en-US" w:eastAsia="zh-CN"/>
        </w:rPr>
        <w:t>验证数据</w:t>
      </w:r>
    </w:p>
    <w:tbl>
      <w:tblPr>
        <w:tblStyle w:val="19"/>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7"/>
        <w:gridCol w:w="2237"/>
        <w:gridCol w:w="2524"/>
        <w:gridCol w:w="2041"/>
        <w:gridCol w:w="2041"/>
      </w:tblGrid>
      <w:tr w14:paraId="4BBB1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 w:type="pct"/>
            <w:vMerge w:val="restart"/>
            <w:tcBorders>
              <w:top w:val="single" w:color="000000" w:sz="12" w:space="0"/>
              <w:left w:val="single" w:color="000000" w:sz="12" w:space="0"/>
              <w:bottom w:val="single" w:color="000000" w:sz="4" w:space="0"/>
              <w:right w:val="single" w:color="000000" w:sz="4" w:space="0"/>
              <w:tl2br w:val="nil"/>
            </w:tcBorders>
            <w:shd w:val="clear" w:color="auto" w:fill="FFFFFF"/>
            <w:vAlign w:val="center"/>
          </w:tcPr>
          <w:p w14:paraId="1799F699">
            <w:pPr>
              <w:jc w:val="center"/>
              <w:rPr>
                <w:rFonts w:eastAsiaTheme="minorEastAsia"/>
                <w:b w:val="0"/>
                <w:color w:val="000000"/>
              </w:rPr>
            </w:pPr>
            <w:r>
              <w:rPr>
                <w:rFonts w:hint="eastAsia"/>
                <w:b w:val="0"/>
                <w:color w:val="000000"/>
              </w:rPr>
              <w:t>序号</w:t>
            </w:r>
          </w:p>
        </w:tc>
        <w:tc>
          <w:tcPr>
            <w:tcW w:w="1155" w:type="pct"/>
            <w:tcBorders>
              <w:top w:val="single" w:color="000000" w:sz="12" w:space="0"/>
              <w:left w:val="single" w:color="000000" w:sz="4" w:space="0"/>
              <w:bottom w:val="single" w:color="000000" w:sz="4" w:space="0"/>
              <w:right w:val="single" w:color="000000" w:sz="4" w:space="0"/>
            </w:tcBorders>
            <w:shd w:val="clear" w:color="auto" w:fill="FFFFFF"/>
          </w:tcPr>
          <w:p w14:paraId="2C4C8EF3">
            <w:pPr>
              <w:jc w:val="center"/>
              <w:rPr>
                <w:rFonts w:hint="default" w:eastAsia="宋体"/>
                <w:b w:val="0"/>
                <w:color w:val="000000"/>
                <w:lang w:val="en-US" w:eastAsia="zh-CN"/>
              </w:rPr>
            </w:pPr>
            <w:r>
              <w:rPr>
                <w:rFonts w:hint="eastAsia"/>
                <w:b w:val="0"/>
                <w:color w:val="000000"/>
                <w:lang w:val="en-US" w:eastAsia="zh-CN"/>
              </w:rPr>
              <w:t>产品1</w:t>
            </w:r>
          </w:p>
        </w:tc>
        <w:tc>
          <w:tcPr>
            <w:tcW w:w="1303" w:type="pct"/>
            <w:tcBorders>
              <w:top w:val="single" w:color="000000" w:sz="12" w:space="0"/>
              <w:left w:val="single" w:color="000000" w:sz="4" w:space="0"/>
              <w:bottom w:val="single" w:color="000000" w:sz="4" w:space="0"/>
              <w:right w:val="single" w:color="000000" w:sz="4" w:space="0"/>
            </w:tcBorders>
            <w:shd w:val="clear" w:color="auto" w:fill="FFFFFF"/>
          </w:tcPr>
          <w:p w14:paraId="5414354C">
            <w:pPr>
              <w:jc w:val="center"/>
              <w:rPr>
                <w:rFonts w:hint="default" w:eastAsia="宋体"/>
                <w:b w:val="0"/>
                <w:color w:val="000000"/>
                <w:lang w:val="en-US" w:eastAsia="zh-CN"/>
              </w:rPr>
            </w:pPr>
            <w:r>
              <w:rPr>
                <w:rFonts w:hint="eastAsia"/>
                <w:b w:val="0"/>
                <w:color w:val="000000"/>
                <w:lang w:val="en-US" w:eastAsia="zh-CN"/>
              </w:rPr>
              <w:t>产品2</w:t>
            </w:r>
          </w:p>
        </w:tc>
        <w:tc>
          <w:tcPr>
            <w:tcW w:w="1054" w:type="pct"/>
            <w:tcBorders>
              <w:top w:val="single" w:color="000000" w:sz="12" w:space="0"/>
              <w:left w:val="single" w:color="000000" w:sz="4" w:space="0"/>
              <w:bottom w:val="single" w:color="000000" w:sz="4" w:space="0"/>
              <w:right w:val="single" w:color="000000" w:sz="4" w:space="0"/>
            </w:tcBorders>
            <w:shd w:val="clear" w:color="auto" w:fill="FFFFFF"/>
          </w:tcPr>
          <w:p w14:paraId="16ED2A49">
            <w:pPr>
              <w:jc w:val="center"/>
              <w:rPr>
                <w:rFonts w:hint="default"/>
                <w:b w:val="0"/>
                <w:color w:val="000000"/>
                <w:lang w:val="en-US" w:eastAsia="zh-CN"/>
              </w:rPr>
            </w:pPr>
            <w:r>
              <w:rPr>
                <w:rFonts w:hint="eastAsia"/>
                <w:b w:val="0"/>
                <w:color w:val="000000"/>
                <w:lang w:val="en-US" w:eastAsia="zh-CN"/>
              </w:rPr>
              <w:t>产品3</w:t>
            </w:r>
          </w:p>
        </w:tc>
        <w:tc>
          <w:tcPr>
            <w:tcW w:w="1054" w:type="pct"/>
            <w:tcBorders>
              <w:top w:val="single" w:color="000000" w:sz="12" w:space="0"/>
              <w:left w:val="single" w:color="000000" w:sz="4" w:space="0"/>
              <w:bottom w:val="single" w:color="000000" w:sz="4" w:space="0"/>
              <w:right w:val="single" w:color="000000" w:sz="12" w:space="0"/>
            </w:tcBorders>
            <w:shd w:val="clear" w:color="auto" w:fill="FFFFFF"/>
          </w:tcPr>
          <w:p w14:paraId="1FCE2CFC">
            <w:pPr>
              <w:jc w:val="center"/>
              <w:rPr>
                <w:rFonts w:hint="default"/>
                <w:b w:val="0"/>
                <w:color w:val="000000"/>
                <w:lang w:val="en-US" w:eastAsia="zh-CN"/>
              </w:rPr>
            </w:pPr>
            <w:r>
              <w:rPr>
                <w:rFonts w:hint="eastAsia"/>
                <w:b w:val="0"/>
                <w:color w:val="000000"/>
                <w:lang w:val="en-US" w:eastAsia="zh-CN"/>
              </w:rPr>
              <w:t>产品4</w:t>
            </w:r>
          </w:p>
        </w:tc>
      </w:tr>
      <w:tr w14:paraId="2B975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32" w:type="pct"/>
            <w:vMerge w:val="continue"/>
            <w:tcBorders>
              <w:top w:val="single" w:color="000000" w:sz="4" w:space="0"/>
              <w:left w:val="single" w:color="000000" w:sz="12" w:space="0"/>
              <w:bottom w:val="single" w:color="000000" w:sz="4" w:space="0"/>
              <w:right w:val="single" w:color="000000" w:sz="4" w:space="0"/>
              <w:tl2br w:val="nil"/>
            </w:tcBorders>
            <w:shd w:val="clear" w:color="auto" w:fill="FFFFFF"/>
          </w:tcPr>
          <w:p w14:paraId="24C67AA4">
            <w:pPr>
              <w:jc w:val="center"/>
              <w:rPr>
                <w:rFonts w:eastAsiaTheme="minorEastAsia"/>
                <w:b w:val="0"/>
                <w:color w:val="000000"/>
              </w:rPr>
            </w:pPr>
          </w:p>
        </w:tc>
        <w:tc>
          <w:tcPr>
            <w:tcW w:w="1155" w:type="pct"/>
            <w:tcBorders>
              <w:top w:val="single" w:color="000000" w:sz="4" w:space="0"/>
              <w:left w:val="single" w:color="000000" w:sz="4" w:space="0"/>
              <w:bottom w:val="single" w:color="000000" w:sz="4" w:space="0"/>
              <w:right w:val="single" w:color="000000" w:sz="4" w:space="0"/>
            </w:tcBorders>
            <w:shd w:val="clear" w:color="auto" w:fill="FFFFFF"/>
          </w:tcPr>
          <w:p w14:paraId="7E39B1B5">
            <w:pPr>
              <w:jc w:val="center"/>
              <w:rPr>
                <w:rFonts w:hint="default" w:eastAsiaTheme="minorEastAsia"/>
                <w:b w:val="0"/>
                <w:color w:val="000000"/>
                <w:lang w:val="en-US" w:eastAsia="zh-CN"/>
              </w:rPr>
            </w:pPr>
            <w:r>
              <w:rPr>
                <w:rFonts w:hint="eastAsia" w:eastAsiaTheme="minorEastAsia"/>
                <w:b w:val="0"/>
                <w:color w:val="000000"/>
                <w:lang w:val="en-US" w:eastAsia="zh-CN"/>
              </w:rPr>
              <w:t>玻璃纤维织物涂层软膜G/PTEF</w:t>
            </w:r>
          </w:p>
        </w:tc>
        <w:tc>
          <w:tcPr>
            <w:tcW w:w="1303" w:type="pct"/>
            <w:tcBorders>
              <w:top w:val="single" w:color="000000" w:sz="4" w:space="0"/>
              <w:left w:val="single" w:color="000000" w:sz="4" w:space="0"/>
              <w:bottom w:val="single" w:color="000000" w:sz="4" w:space="0"/>
              <w:right w:val="single" w:color="000000" w:sz="4" w:space="0"/>
            </w:tcBorders>
            <w:shd w:val="clear" w:color="auto" w:fill="FFFFFF"/>
          </w:tcPr>
          <w:p w14:paraId="2B8122B0">
            <w:pPr>
              <w:jc w:val="center"/>
              <w:rPr>
                <w:rFonts w:hint="default" w:eastAsia="宋体"/>
                <w:b w:val="0"/>
                <w:color w:val="000000"/>
                <w:lang w:val="en-US" w:eastAsia="zh-CN"/>
              </w:rPr>
            </w:pPr>
            <w:r>
              <w:rPr>
                <w:rFonts w:hint="eastAsia"/>
                <w:b w:val="0"/>
                <w:color w:val="000000"/>
                <w:lang w:val="en-US" w:eastAsia="zh-CN"/>
              </w:rPr>
              <w:t>PVC/PVDF</w:t>
            </w:r>
          </w:p>
        </w:tc>
        <w:tc>
          <w:tcPr>
            <w:tcW w:w="1054" w:type="pct"/>
            <w:tcBorders>
              <w:top w:val="single" w:color="000000" w:sz="4" w:space="0"/>
              <w:left w:val="single" w:color="000000" w:sz="4" w:space="0"/>
              <w:bottom w:val="single" w:color="000000" w:sz="4" w:space="0"/>
              <w:right w:val="single" w:color="000000" w:sz="4" w:space="0"/>
            </w:tcBorders>
            <w:shd w:val="clear" w:color="auto" w:fill="FFFFFF"/>
          </w:tcPr>
          <w:p w14:paraId="53DC5FD7">
            <w:pPr>
              <w:jc w:val="center"/>
              <w:rPr>
                <w:rFonts w:hint="default"/>
                <w:b w:val="0"/>
                <w:color w:val="000000"/>
                <w:lang w:val="en-US" w:eastAsia="zh-CN"/>
              </w:rPr>
            </w:pPr>
            <w:r>
              <w:rPr>
                <w:rFonts w:hint="eastAsia" w:eastAsiaTheme="minorEastAsia"/>
                <w:b w:val="0"/>
                <w:color w:val="000000"/>
                <w:lang w:val="en-US" w:eastAsia="zh-CN"/>
              </w:rPr>
              <w:t>玻璃纤维织物涂层软膜G/PTEF</w:t>
            </w:r>
          </w:p>
        </w:tc>
        <w:tc>
          <w:tcPr>
            <w:tcW w:w="1054" w:type="pct"/>
            <w:tcBorders>
              <w:top w:val="single" w:color="000000" w:sz="4" w:space="0"/>
              <w:left w:val="single" w:color="000000" w:sz="4" w:space="0"/>
              <w:bottom w:val="single" w:color="000000" w:sz="4" w:space="0"/>
              <w:right w:val="single" w:color="000000" w:sz="12" w:space="0"/>
            </w:tcBorders>
            <w:shd w:val="clear" w:color="auto" w:fill="FFFFFF"/>
          </w:tcPr>
          <w:p w14:paraId="60FBC43D">
            <w:pPr>
              <w:jc w:val="center"/>
              <w:rPr>
                <w:rFonts w:hint="eastAsia" w:eastAsiaTheme="minorEastAsia"/>
                <w:b w:val="0"/>
                <w:color w:val="000000"/>
                <w:lang w:val="en-US" w:eastAsia="zh-CN"/>
              </w:rPr>
            </w:pPr>
            <w:r>
              <w:rPr>
                <w:rFonts w:hint="eastAsia" w:cs="宋体"/>
                <w:b w:val="0"/>
                <w:color w:val="000000"/>
                <w:kern w:val="0"/>
                <w:szCs w:val="21"/>
                <w:lang w:val="en-US" w:eastAsia="zh-CN"/>
              </w:rPr>
              <w:t>P/</w:t>
            </w:r>
            <w:r>
              <w:rPr>
                <w:rFonts w:hint="eastAsia" w:ascii="宋体" w:hAnsi="宋体" w:eastAsia="宋体" w:cs="宋体"/>
                <w:b w:val="0"/>
                <w:color w:val="000000"/>
                <w:kern w:val="0"/>
                <w:szCs w:val="21"/>
              </w:rPr>
              <w:t>PVDF膜</w:t>
            </w:r>
          </w:p>
        </w:tc>
      </w:tr>
      <w:tr w14:paraId="48110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 w:type="pct"/>
            <w:tcBorders>
              <w:top w:val="single" w:color="000000" w:sz="4" w:space="0"/>
              <w:left w:val="single" w:color="000000" w:sz="12" w:space="0"/>
              <w:bottom w:val="single" w:color="000000" w:sz="12" w:space="0"/>
              <w:right w:val="single" w:color="000000" w:sz="4" w:space="0"/>
            </w:tcBorders>
            <w:shd w:val="clear" w:color="auto" w:fill="FFFFFF"/>
          </w:tcPr>
          <w:p w14:paraId="02ABD7D2">
            <w:pPr>
              <w:jc w:val="center"/>
              <w:rPr>
                <w:rFonts w:asciiTheme="minorHAnsi" w:hAnsiTheme="minorHAnsi" w:eastAsiaTheme="minorEastAsia" w:cstheme="minorBidi"/>
                <w:b w:val="0"/>
                <w:color w:val="000000"/>
                <w:szCs w:val="24"/>
              </w:rPr>
            </w:pPr>
            <w:r>
              <w:rPr>
                <w:rFonts w:hint="eastAsia" w:cstheme="minorBidi"/>
                <w:b w:val="0"/>
                <w:color w:val="000000"/>
                <w:szCs w:val="24"/>
              </w:rPr>
              <w:t>1</w:t>
            </w:r>
          </w:p>
        </w:tc>
        <w:tc>
          <w:tcPr>
            <w:tcW w:w="1155" w:type="pct"/>
            <w:tcBorders>
              <w:top w:val="single" w:color="000000" w:sz="4" w:space="0"/>
              <w:left w:val="single" w:color="000000" w:sz="4" w:space="0"/>
              <w:bottom w:val="single" w:color="000000" w:sz="12" w:space="0"/>
              <w:right w:val="single" w:color="000000" w:sz="4" w:space="0"/>
            </w:tcBorders>
            <w:shd w:val="clear" w:color="auto" w:fill="FFFFFF"/>
          </w:tcPr>
          <w:p w14:paraId="57A5CFF5">
            <w:pPr>
              <w:jc w:val="center"/>
              <w:rPr>
                <w:rFonts w:hint="default" w:eastAsiaTheme="minorEastAsia"/>
                <w:b w:val="0"/>
                <w:color w:val="000000"/>
                <w:lang w:val="en-US"/>
              </w:rPr>
            </w:pPr>
            <w:r>
              <w:rPr>
                <w:rFonts w:hint="eastAsia"/>
                <w:b w:val="0"/>
                <w:color w:val="000000"/>
                <w:lang w:val="en-US" w:eastAsia="zh-CN"/>
              </w:rPr>
              <w:t>A2</w:t>
            </w:r>
          </w:p>
        </w:tc>
        <w:tc>
          <w:tcPr>
            <w:tcW w:w="1303" w:type="pct"/>
            <w:tcBorders>
              <w:top w:val="single" w:color="000000" w:sz="4" w:space="0"/>
              <w:left w:val="single" w:color="000000" w:sz="4" w:space="0"/>
              <w:bottom w:val="single" w:color="000000" w:sz="12" w:space="0"/>
              <w:right w:val="single" w:color="000000" w:sz="4" w:space="0"/>
            </w:tcBorders>
            <w:shd w:val="clear" w:color="auto" w:fill="FFFFFF"/>
          </w:tcPr>
          <w:p w14:paraId="7BD90546">
            <w:pPr>
              <w:jc w:val="center"/>
              <w:rPr>
                <w:rFonts w:hint="default"/>
                <w:b w:val="0"/>
                <w:color w:val="000000"/>
                <w:lang w:val="en-US"/>
              </w:rPr>
            </w:pPr>
            <w:r>
              <w:rPr>
                <w:rFonts w:hint="eastAsia"/>
                <w:b w:val="0"/>
                <w:color w:val="000000"/>
                <w:lang w:val="en-US" w:eastAsia="zh-CN"/>
              </w:rPr>
              <w:t>B1</w:t>
            </w:r>
          </w:p>
        </w:tc>
        <w:tc>
          <w:tcPr>
            <w:tcW w:w="1054" w:type="pct"/>
            <w:tcBorders>
              <w:top w:val="single" w:color="000000" w:sz="4" w:space="0"/>
              <w:left w:val="single" w:color="000000" w:sz="4" w:space="0"/>
              <w:bottom w:val="single" w:color="000000" w:sz="12" w:space="0"/>
              <w:right w:val="single" w:color="000000" w:sz="4" w:space="0"/>
            </w:tcBorders>
            <w:shd w:val="clear" w:color="auto" w:fill="FFFFFF"/>
            <w:vAlign w:val="top"/>
          </w:tcPr>
          <w:p w14:paraId="1E15E02A">
            <w:pPr>
              <w:jc w:val="center"/>
              <w:rPr>
                <w:rFonts w:hint="default" w:ascii="宋体" w:hAnsi="宋体" w:eastAsia="宋体" w:cs="宋体"/>
                <w:b w:val="0"/>
                <w:color w:val="000000"/>
                <w:sz w:val="24"/>
                <w:szCs w:val="24"/>
                <w:lang w:val="en-US" w:eastAsia="zh-CN" w:bidi="ar-SA"/>
              </w:rPr>
            </w:pPr>
            <w:r>
              <w:rPr>
                <w:rFonts w:hint="eastAsia"/>
                <w:b w:val="0"/>
                <w:color w:val="000000"/>
                <w:lang w:val="en-US" w:eastAsia="zh-CN"/>
              </w:rPr>
              <w:t>A1</w:t>
            </w:r>
          </w:p>
        </w:tc>
        <w:tc>
          <w:tcPr>
            <w:tcW w:w="1054" w:type="pct"/>
            <w:tcBorders>
              <w:top w:val="single" w:color="000000" w:sz="4" w:space="0"/>
              <w:left w:val="single" w:color="000000" w:sz="4" w:space="0"/>
              <w:bottom w:val="single" w:color="000000" w:sz="12" w:space="0"/>
              <w:right w:val="single" w:color="000000" w:sz="12" w:space="0"/>
            </w:tcBorders>
            <w:shd w:val="clear" w:color="auto" w:fill="FFFFFF"/>
            <w:vAlign w:val="top"/>
          </w:tcPr>
          <w:p w14:paraId="4CE64A40">
            <w:pPr>
              <w:jc w:val="center"/>
              <w:rPr>
                <w:rFonts w:hint="default"/>
                <w:b w:val="0"/>
                <w:color w:val="000000"/>
                <w:lang w:val="en-US" w:eastAsia="zh-CN"/>
              </w:rPr>
            </w:pPr>
            <w:r>
              <w:rPr>
                <w:rFonts w:hint="eastAsia"/>
                <w:b w:val="0"/>
                <w:color w:val="000000"/>
                <w:lang w:val="en-US" w:eastAsia="zh-CN"/>
              </w:rPr>
              <w:t>B1</w:t>
            </w:r>
          </w:p>
        </w:tc>
      </w:tr>
      <w:bookmarkEnd w:id="18"/>
    </w:tbl>
    <w:p w14:paraId="3D077CA6">
      <w:pPr>
        <w:pStyle w:val="27"/>
        <w:spacing w:before="326" w:beforeLines="100" w:after="326" w:afterLines="100"/>
        <w:rPr>
          <w:rFonts w:ascii="Times New Roman"/>
          <w:color w:val="000000" w:themeColor="text1"/>
          <w:sz w:val="28"/>
          <w:szCs w:val="28"/>
          <w14:textFill>
            <w14:solidFill>
              <w14:schemeClr w14:val="tx1"/>
            </w14:solidFill>
          </w14:textFill>
        </w:rPr>
      </w:pPr>
      <w:bookmarkStart w:id="19" w:name="_Toc108389265"/>
      <w:r>
        <w:rPr>
          <w:rFonts w:ascii="Times New Roman"/>
          <w:color w:val="000000" w:themeColor="text1"/>
          <w:sz w:val="28"/>
          <w:szCs w:val="28"/>
          <w14:textFill>
            <w14:solidFill>
              <w14:schemeClr w14:val="tx1"/>
            </w14:solidFill>
          </w14:textFill>
        </w:rPr>
        <w:t>4 标准中涉及专利</w:t>
      </w:r>
      <w:r>
        <w:rPr>
          <w:rFonts w:hint="eastAsia" w:ascii="Times New Roman"/>
          <w:color w:val="000000" w:themeColor="text1"/>
          <w:sz w:val="28"/>
          <w:szCs w:val="28"/>
          <w14:textFill>
            <w14:solidFill>
              <w14:schemeClr w14:val="tx1"/>
            </w14:solidFill>
          </w14:textFill>
        </w:rPr>
        <w:t>、知识产权</w:t>
      </w:r>
      <w:r>
        <w:rPr>
          <w:rFonts w:ascii="Times New Roman"/>
          <w:color w:val="000000" w:themeColor="text1"/>
          <w:sz w:val="28"/>
          <w:szCs w:val="28"/>
          <w14:textFill>
            <w14:solidFill>
              <w14:schemeClr w14:val="tx1"/>
            </w14:solidFill>
          </w14:textFill>
        </w:rPr>
        <w:t>情况说明</w:t>
      </w:r>
      <w:bookmarkEnd w:id="19"/>
    </w:p>
    <w:p w14:paraId="6345C7CA">
      <w:pPr>
        <w:spacing w:line="360" w:lineRule="auto"/>
        <w:ind w:firstLine="480"/>
        <w:jc w:val="both"/>
        <w:rPr>
          <w:rFonts w:eastAsiaTheme="minorEastAsia"/>
          <w:color w:val="000000" w:themeColor="text1"/>
          <w:szCs w:val="28"/>
          <w14:textFill>
            <w14:solidFill>
              <w14:schemeClr w14:val="tx1"/>
            </w14:solidFill>
          </w14:textFill>
        </w:rPr>
      </w:pPr>
      <w:r>
        <w:rPr>
          <w:rFonts w:hint="eastAsia" w:eastAsiaTheme="minorEastAsia"/>
          <w:color w:val="000000" w:themeColor="text1"/>
          <w:szCs w:val="28"/>
          <w14:textFill>
            <w14:solidFill>
              <w14:schemeClr w14:val="tx1"/>
            </w14:solidFill>
          </w14:textFill>
        </w:rPr>
        <w:t>经编制组检索及各起草单位声明，本标准所列技术内容（包括性能指标、试验方法）均为通用技术，不涉及任何专利、知识产权纠纷，也无企业提出专利主张</w:t>
      </w:r>
      <w:r>
        <w:rPr>
          <w:rFonts w:eastAsiaTheme="minorEastAsia"/>
          <w:color w:val="000000" w:themeColor="text1"/>
          <w:szCs w:val="28"/>
          <w14:textFill>
            <w14:solidFill>
              <w14:schemeClr w14:val="tx1"/>
            </w14:solidFill>
          </w14:textFill>
        </w:rPr>
        <w:t>。</w:t>
      </w:r>
    </w:p>
    <w:p w14:paraId="04CAECBA">
      <w:pPr>
        <w:pStyle w:val="27"/>
        <w:spacing w:before="326" w:beforeLines="100" w:after="326" w:afterLines="100"/>
        <w:rPr>
          <w:rFonts w:ascii="Times New Roman"/>
          <w:color w:val="000000" w:themeColor="text1"/>
          <w:sz w:val="28"/>
          <w:szCs w:val="28"/>
          <w14:textFill>
            <w14:solidFill>
              <w14:schemeClr w14:val="tx1"/>
            </w14:solidFill>
          </w14:textFill>
        </w:rPr>
      </w:pPr>
      <w:bookmarkStart w:id="20" w:name="_Toc108389266"/>
      <w:r>
        <w:rPr>
          <w:rFonts w:ascii="Times New Roman"/>
          <w:color w:val="000000" w:themeColor="text1"/>
          <w:sz w:val="28"/>
          <w:szCs w:val="28"/>
          <w14:textFill>
            <w14:solidFill>
              <w14:schemeClr w14:val="tx1"/>
            </w14:solidFill>
          </w14:textFill>
        </w:rPr>
        <w:t xml:space="preserve">5 </w:t>
      </w:r>
      <w:r>
        <w:rPr>
          <w:rFonts w:hint="eastAsia" w:ascii="Times New Roman"/>
          <w:color w:val="000000" w:themeColor="text1"/>
          <w:sz w:val="28"/>
          <w:szCs w:val="28"/>
          <w14:textFill>
            <w14:solidFill>
              <w14:schemeClr w14:val="tx1"/>
            </w14:solidFill>
          </w14:textFill>
        </w:rPr>
        <w:t>产业化情况、推广应用论证和预期达到的经济效果等情况；</w:t>
      </w:r>
      <w:bookmarkEnd w:id="20"/>
    </w:p>
    <w:p w14:paraId="1ADBDA3D">
      <w:pPr>
        <w:spacing w:line="360" w:lineRule="auto"/>
        <w:ind w:firstLine="480"/>
        <w:jc w:val="both"/>
        <w:rPr>
          <w:rFonts w:hint="eastAsia" w:eastAsiaTheme="minorEastAsia"/>
          <w:color w:val="000000" w:themeColor="text1"/>
          <w:szCs w:val="28"/>
          <w14:textFill>
            <w14:solidFill>
              <w14:schemeClr w14:val="tx1"/>
            </w14:solidFill>
          </w14:textFill>
        </w:rPr>
      </w:pPr>
      <w:r>
        <w:rPr>
          <w:rFonts w:hint="eastAsia" w:eastAsiaTheme="minorEastAsia"/>
          <w:color w:val="000000" w:themeColor="text1"/>
          <w:szCs w:val="28"/>
          <w14:textFill>
            <w14:solidFill>
              <w14:schemeClr w14:val="tx1"/>
            </w14:solidFill>
          </w14:textFill>
        </w:rPr>
        <w:t>我国软膜天花年产量约 5 亿平方米，其中 PVC 软膜占比 60%（主要用于室内），ETFE 软膜占比 15%（高端室外场景），涂层织物软膜占比 25%（公共建筑），产业链覆盖原料供应（如 PVC 树脂、玻璃纤维布）、生产加工、检测、施工等环节，年产值超 100 亿元。但因缺乏标准，行业集中度低，中小企业占比超 70%，产品质量参差不齐。</w:t>
      </w:r>
    </w:p>
    <w:p w14:paraId="5317A0C8">
      <w:pPr>
        <w:spacing w:line="360" w:lineRule="auto"/>
        <w:ind w:firstLine="480"/>
        <w:jc w:val="both"/>
        <w:rPr>
          <w:rFonts w:hint="eastAsia" w:eastAsiaTheme="minorEastAsia"/>
          <w:color w:val="000000" w:themeColor="text1"/>
          <w:szCs w:val="28"/>
          <w14:textFill>
            <w14:solidFill>
              <w14:schemeClr w14:val="tx1"/>
            </w14:solidFill>
          </w14:textFill>
        </w:rPr>
      </w:pPr>
      <w:r>
        <w:rPr>
          <w:rFonts w:hint="eastAsia" w:eastAsiaTheme="minorEastAsia"/>
          <w:color w:val="000000" w:themeColor="text1"/>
          <w:szCs w:val="28"/>
          <w14:textFill>
            <w14:solidFill>
              <w14:schemeClr w14:val="tx1"/>
            </w14:solidFill>
          </w14:textFill>
        </w:rPr>
        <w:t>标准实施后，可通过以下途径推广：</w:t>
      </w:r>
    </w:p>
    <w:p w14:paraId="19CD2C11">
      <w:pPr>
        <w:spacing w:line="360" w:lineRule="auto"/>
        <w:ind w:firstLine="480"/>
        <w:jc w:val="both"/>
        <w:rPr>
          <w:rFonts w:hint="eastAsia" w:eastAsiaTheme="minorEastAsia"/>
          <w:color w:val="000000" w:themeColor="text1"/>
          <w:szCs w:val="28"/>
          <w14:textFill>
            <w14:solidFill>
              <w14:schemeClr w14:val="tx1"/>
            </w14:solidFill>
          </w14:textFill>
        </w:rPr>
      </w:pPr>
      <w:r>
        <w:rPr>
          <w:rFonts w:hint="eastAsia" w:eastAsiaTheme="minorEastAsia"/>
          <w:color w:val="000000" w:themeColor="text1"/>
          <w:szCs w:val="28"/>
          <w:lang w:eastAsia="zh-CN"/>
          <w14:textFill>
            <w14:solidFill>
              <w14:schemeClr w14:val="tx1"/>
            </w14:solidFill>
          </w14:textFill>
        </w:rPr>
        <w:t>（</w:t>
      </w:r>
      <w:r>
        <w:rPr>
          <w:rFonts w:hint="eastAsia" w:eastAsiaTheme="minorEastAsia"/>
          <w:color w:val="000000" w:themeColor="text1"/>
          <w:szCs w:val="28"/>
          <w:lang w:val="en-US" w:eastAsia="zh-CN"/>
          <w14:textFill>
            <w14:solidFill>
              <w14:schemeClr w14:val="tx1"/>
            </w14:solidFill>
          </w14:textFill>
        </w:rPr>
        <w:t>1</w:t>
      </w:r>
      <w:r>
        <w:rPr>
          <w:rFonts w:hint="eastAsia" w:eastAsiaTheme="minorEastAsia"/>
          <w:color w:val="000000" w:themeColor="text1"/>
          <w:szCs w:val="28"/>
          <w:lang w:eastAsia="zh-CN"/>
          <w14:textFill>
            <w14:solidFill>
              <w14:schemeClr w14:val="tx1"/>
            </w14:solidFill>
          </w14:textFill>
        </w:rPr>
        <w:t>）</w:t>
      </w:r>
      <w:r>
        <w:rPr>
          <w:rFonts w:hint="eastAsia" w:eastAsiaTheme="minorEastAsia"/>
          <w:color w:val="000000" w:themeColor="text1"/>
          <w:szCs w:val="28"/>
          <w14:textFill>
            <w14:solidFill>
              <w14:schemeClr w14:val="tx1"/>
            </w14:solidFill>
          </w14:textFill>
        </w:rPr>
        <w:t>生产端：引导企业按标准组织生产，规范材质标注与检测，淘汰 “三无”产品；</w:t>
      </w:r>
    </w:p>
    <w:p w14:paraId="144E556C">
      <w:pPr>
        <w:spacing w:line="360" w:lineRule="auto"/>
        <w:ind w:firstLine="480"/>
        <w:jc w:val="both"/>
        <w:rPr>
          <w:rFonts w:hint="eastAsia" w:eastAsiaTheme="minorEastAsia"/>
          <w:color w:val="000000" w:themeColor="text1"/>
          <w:szCs w:val="28"/>
          <w14:textFill>
            <w14:solidFill>
              <w14:schemeClr w14:val="tx1"/>
            </w14:solidFill>
          </w14:textFill>
        </w:rPr>
      </w:pPr>
      <w:r>
        <w:rPr>
          <w:rFonts w:hint="eastAsia" w:eastAsiaTheme="minorEastAsia"/>
          <w:color w:val="000000" w:themeColor="text1"/>
          <w:szCs w:val="28"/>
          <w:lang w:eastAsia="zh-CN"/>
          <w14:textFill>
            <w14:solidFill>
              <w14:schemeClr w14:val="tx1"/>
            </w14:solidFill>
          </w14:textFill>
        </w:rPr>
        <w:t>（</w:t>
      </w:r>
      <w:r>
        <w:rPr>
          <w:rFonts w:hint="eastAsia" w:eastAsiaTheme="minorEastAsia"/>
          <w:color w:val="000000" w:themeColor="text1"/>
          <w:szCs w:val="28"/>
          <w:lang w:val="en-US" w:eastAsia="zh-CN"/>
          <w14:textFill>
            <w14:solidFill>
              <w14:schemeClr w14:val="tx1"/>
            </w14:solidFill>
          </w14:textFill>
        </w:rPr>
        <w:t>2</w:t>
      </w:r>
      <w:r>
        <w:rPr>
          <w:rFonts w:hint="eastAsia" w:eastAsiaTheme="minorEastAsia"/>
          <w:color w:val="000000" w:themeColor="text1"/>
          <w:szCs w:val="28"/>
          <w:lang w:eastAsia="zh-CN"/>
          <w14:textFill>
            <w14:solidFill>
              <w14:schemeClr w14:val="tx1"/>
            </w14:solidFill>
          </w14:textFill>
        </w:rPr>
        <w:t>）</w:t>
      </w:r>
      <w:r>
        <w:rPr>
          <w:rFonts w:hint="eastAsia" w:eastAsiaTheme="minorEastAsia"/>
          <w:color w:val="000000" w:themeColor="text1"/>
          <w:szCs w:val="28"/>
          <w14:textFill>
            <w14:solidFill>
              <w14:schemeClr w14:val="tx1"/>
            </w14:solidFill>
          </w14:textFill>
        </w:rPr>
        <w:t>应用端：为设计单位、施工企业提供选型依据（如室外场景优先选 ETFE 软膜或 G/PTFE 涂层织物软膜），减少工程返工；</w:t>
      </w:r>
    </w:p>
    <w:p w14:paraId="7C057799">
      <w:pPr>
        <w:spacing w:line="360" w:lineRule="auto"/>
        <w:ind w:firstLine="480"/>
        <w:jc w:val="both"/>
        <w:rPr>
          <w:rFonts w:hint="eastAsia" w:eastAsiaTheme="minorEastAsia"/>
          <w:color w:val="000000" w:themeColor="text1"/>
          <w:szCs w:val="28"/>
          <w14:textFill>
            <w14:solidFill>
              <w14:schemeClr w14:val="tx1"/>
            </w14:solidFill>
          </w14:textFill>
        </w:rPr>
      </w:pPr>
      <w:r>
        <w:rPr>
          <w:rFonts w:hint="eastAsia" w:eastAsiaTheme="minorEastAsia"/>
          <w:color w:val="000000" w:themeColor="text1"/>
          <w:szCs w:val="28"/>
          <w:lang w:eastAsia="zh-CN"/>
          <w14:textFill>
            <w14:solidFill>
              <w14:schemeClr w14:val="tx1"/>
            </w14:solidFill>
          </w14:textFill>
        </w:rPr>
        <w:t>（</w:t>
      </w:r>
      <w:r>
        <w:rPr>
          <w:rFonts w:hint="eastAsia" w:eastAsiaTheme="minorEastAsia"/>
          <w:color w:val="000000" w:themeColor="text1"/>
          <w:szCs w:val="28"/>
          <w:lang w:val="en-US" w:eastAsia="zh-CN"/>
          <w14:textFill>
            <w14:solidFill>
              <w14:schemeClr w14:val="tx1"/>
            </w14:solidFill>
          </w14:textFill>
        </w:rPr>
        <w:t>3</w:t>
      </w:r>
      <w:r>
        <w:rPr>
          <w:rFonts w:hint="eastAsia" w:eastAsiaTheme="minorEastAsia"/>
          <w:color w:val="000000" w:themeColor="text1"/>
          <w:szCs w:val="28"/>
          <w:lang w:eastAsia="zh-CN"/>
          <w14:textFill>
            <w14:solidFill>
              <w14:schemeClr w14:val="tx1"/>
            </w14:solidFill>
          </w14:textFill>
        </w:rPr>
        <w:t>）</w:t>
      </w:r>
      <w:r>
        <w:rPr>
          <w:rFonts w:hint="eastAsia" w:eastAsiaTheme="minorEastAsia"/>
          <w:color w:val="000000" w:themeColor="text1"/>
          <w:szCs w:val="28"/>
          <w14:textFill>
            <w14:solidFill>
              <w14:schemeClr w14:val="tx1"/>
            </w14:solidFill>
          </w14:textFill>
        </w:rPr>
        <w:t>监管端：为市场监管部门提供执法依据，打击假冒伪劣产品。</w:t>
      </w:r>
    </w:p>
    <w:p w14:paraId="18841B32">
      <w:pPr>
        <w:spacing w:line="360" w:lineRule="auto"/>
        <w:ind w:firstLine="480"/>
        <w:jc w:val="both"/>
        <w:rPr>
          <w:rFonts w:hint="eastAsia" w:eastAsiaTheme="minorEastAsia"/>
          <w:color w:val="000000" w:themeColor="text1"/>
          <w:szCs w:val="28"/>
          <w14:textFill>
            <w14:solidFill>
              <w14:schemeClr w14:val="tx1"/>
            </w14:solidFill>
          </w14:textFill>
        </w:rPr>
      </w:pPr>
      <w:r>
        <w:rPr>
          <w:rFonts w:hint="eastAsia" w:eastAsiaTheme="minorEastAsia"/>
          <w:color w:val="000000" w:themeColor="text1"/>
          <w:szCs w:val="28"/>
          <w:lang w:val="en-US" w:eastAsia="zh-CN"/>
          <w14:textFill>
            <w14:solidFill>
              <w14:schemeClr w14:val="tx1"/>
            </w14:solidFill>
          </w14:textFill>
        </w:rPr>
        <w:t>标准实施后，在企业端，有望</w:t>
      </w:r>
      <w:r>
        <w:rPr>
          <w:rFonts w:hint="eastAsia" w:eastAsiaTheme="minorEastAsia"/>
          <w:color w:val="000000" w:themeColor="text1"/>
          <w:szCs w:val="28"/>
          <w14:textFill>
            <w14:solidFill>
              <w14:schemeClr w14:val="tx1"/>
            </w14:solidFill>
          </w14:textFill>
        </w:rPr>
        <w:t>推动行业整合，</w:t>
      </w:r>
      <w:r>
        <w:rPr>
          <w:rFonts w:hint="eastAsia" w:eastAsiaTheme="minorEastAsia"/>
          <w:color w:val="000000" w:themeColor="text1"/>
          <w:szCs w:val="28"/>
          <w:lang w:val="en-US" w:eastAsia="zh-CN"/>
          <w14:textFill>
            <w14:solidFill>
              <w14:schemeClr w14:val="tx1"/>
            </w14:solidFill>
          </w14:textFill>
        </w:rPr>
        <w:t>提升</w:t>
      </w:r>
      <w:r>
        <w:rPr>
          <w:rFonts w:hint="eastAsia" w:eastAsiaTheme="minorEastAsia"/>
          <w:color w:val="000000" w:themeColor="text1"/>
          <w:szCs w:val="28"/>
          <w14:textFill>
            <w14:solidFill>
              <w14:schemeClr w14:val="tx1"/>
            </w14:solidFill>
          </w14:textFill>
        </w:rPr>
        <w:t>优势企业市场份额</w:t>
      </w:r>
      <w:r>
        <w:rPr>
          <w:rFonts w:hint="eastAsia" w:eastAsiaTheme="minorEastAsia"/>
          <w:color w:val="000000" w:themeColor="text1"/>
          <w:szCs w:val="28"/>
          <w:lang w:val="en-US" w:eastAsia="zh-CN"/>
          <w14:textFill>
            <w14:solidFill>
              <w14:schemeClr w14:val="tx1"/>
            </w14:solidFill>
          </w14:textFill>
        </w:rPr>
        <w:t>和</w:t>
      </w:r>
      <w:r>
        <w:rPr>
          <w:rFonts w:hint="eastAsia" w:eastAsiaTheme="minorEastAsia"/>
          <w:color w:val="000000" w:themeColor="text1"/>
          <w:szCs w:val="28"/>
          <w14:textFill>
            <w14:solidFill>
              <w14:schemeClr w14:val="tx1"/>
            </w14:solidFill>
          </w14:textFill>
        </w:rPr>
        <w:t>产品溢价能力；</w:t>
      </w:r>
      <w:r>
        <w:rPr>
          <w:rFonts w:hint="eastAsia" w:eastAsiaTheme="minorEastAsia"/>
          <w:color w:val="000000" w:themeColor="text1"/>
          <w:szCs w:val="28"/>
          <w:lang w:eastAsia="zh-CN"/>
          <w14:textFill>
            <w14:solidFill>
              <w14:schemeClr w14:val="tx1"/>
            </w14:solidFill>
          </w14:textFill>
        </w:rPr>
        <w:t>在</w:t>
      </w:r>
      <w:r>
        <w:rPr>
          <w:rFonts w:hint="eastAsia" w:eastAsiaTheme="minorEastAsia"/>
          <w:color w:val="000000" w:themeColor="text1"/>
          <w:szCs w:val="28"/>
          <w14:textFill>
            <w14:solidFill>
              <w14:schemeClr w14:val="tx1"/>
            </w14:solidFill>
          </w14:textFill>
        </w:rPr>
        <w:t>工程端</w:t>
      </w:r>
      <w:r>
        <w:rPr>
          <w:rFonts w:hint="eastAsia" w:eastAsiaTheme="minorEastAsia"/>
          <w:color w:val="000000" w:themeColor="text1"/>
          <w:szCs w:val="28"/>
          <w:lang w:eastAsia="zh-CN"/>
          <w14:textFill>
            <w14:solidFill>
              <w14:schemeClr w14:val="tx1"/>
            </w14:solidFill>
          </w14:textFill>
        </w:rPr>
        <w:t>，</w:t>
      </w:r>
      <w:r>
        <w:rPr>
          <w:rFonts w:hint="eastAsia" w:eastAsiaTheme="minorEastAsia"/>
          <w:color w:val="000000" w:themeColor="text1"/>
          <w:szCs w:val="28"/>
          <w14:textFill>
            <w14:solidFill>
              <w14:schemeClr w14:val="tx1"/>
            </w14:solidFill>
          </w14:textFill>
        </w:rPr>
        <w:t>减少因产品质量问题导致的返工成本，预计降低行业工程损耗率；</w:t>
      </w:r>
      <w:r>
        <w:rPr>
          <w:rFonts w:hint="eastAsia" w:eastAsiaTheme="minorEastAsia"/>
          <w:color w:val="000000" w:themeColor="text1"/>
          <w:szCs w:val="28"/>
          <w:lang w:eastAsia="zh-CN"/>
          <w14:textFill>
            <w14:solidFill>
              <w14:schemeClr w14:val="tx1"/>
            </w14:solidFill>
          </w14:textFill>
        </w:rPr>
        <w:t>在</w:t>
      </w:r>
      <w:r>
        <w:rPr>
          <w:rFonts w:hint="eastAsia" w:eastAsiaTheme="minorEastAsia"/>
          <w:color w:val="000000" w:themeColor="text1"/>
          <w:szCs w:val="28"/>
          <w14:textFill>
            <w14:solidFill>
              <w14:schemeClr w14:val="tx1"/>
            </w14:solidFill>
          </w14:textFill>
        </w:rPr>
        <w:t>社会端</w:t>
      </w:r>
      <w:r>
        <w:rPr>
          <w:rFonts w:hint="eastAsia" w:eastAsiaTheme="minorEastAsia"/>
          <w:color w:val="000000" w:themeColor="text1"/>
          <w:szCs w:val="28"/>
          <w:lang w:eastAsia="zh-CN"/>
          <w14:textFill>
            <w14:solidFill>
              <w14:schemeClr w14:val="tx1"/>
            </w14:solidFill>
          </w14:textFill>
        </w:rPr>
        <w:t>，</w:t>
      </w:r>
      <w:r>
        <w:rPr>
          <w:rFonts w:hint="eastAsia" w:eastAsiaTheme="minorEastAsia"/>
          <w:color w:val="000000" w:themeColor="text1"/>
          <w:szCs w:val="28"/>
          <w14:textFill>
            <w14:solidFill>
              <w14:schemeClr w14:val="tx1"/>
            </w14:solidFill>
          </w14:textFill>
        </w:rPr>
        <w:t>降低有害物质释放带来的健康风险，减少废弃不合格产品的环境处理成本，兼具经济效益与社会效益。</w:t>
      </w:r>
    </w:p>
    <w:p w14:paraId="4D675133">
      <w:pPr>
        <w:pStyle w:val="27"/>
        <w:spacing w:before="326" w:beforeLines="100" w:after="326" w:afterLines="100"/>
        <w:rPr>
          <w:rFonts w:ascii="Times New Roman"/>
          <w:color w:val="000000" w:themeColor="text1"/>
          <w:sz w:val="28"/>
          <w:szCs w:val="28"/>
          <w14:textFill>
            <w14:solidFill>
              <w14:schemeClr w14:val="tx1"/>
            </w14:solidFill>
          </w14:textFill>
        </w:rPr>
      </w:pPr>
      <w:bookmarkStart w:id="21" w:name="_Toc108389267"/>
      <w:r>
        <w:rPr>
          <w:rFonts w:ascii="Times New Roman"/>
          <w:color w:val="000000" w:themeColor="text1"/>
          <w:sz w:val="28"/>
          <w:szCs w:val="28"/>
          <w14:textFill>
            <w14:solidFill>
              <w14:schemeClr w14:val="tx1"/>
            </w14:solidFill>
          </w14:textFill>
        </w:rPr>
        <w:t>6 采用国际标准</w:t>
      </w:r>
      <w:r>
        <w:rPr>
          <w:rFonts w:hint="eastAsia" w:ascii="Times New Roman"/>
          <w:color w:val="000000" w:themeColor="text1"/>
          <w:sz w:val="28"/>
          <w:szCs w:val="28"/>
          <w14:textFill>
            <w14:solidFill>
              <w14:schemeClr w14:val="tx1"/>
            </w14:solidFill>
          </w14:textFill>
        </w:rPr>
        <w:t>，与国际、国外同类标准水平的对比情况，国内外关键指标对比分析或与测试的国外样品、样机的相关数据对比情况；</w:t>
      </w:r>
      <w:bookmarkEnd w:id="21"/>
    </w:p>
    <w:p w14:paraId="50C7FB0A">
      <w:pPr>
        <w:spacing w:line="360" w:lineRule="auto"/>
        <w:ind w:firstLine="480"/>
        <w:jc w:val="both"/>
        <w:rPr>
          <w:rFonts w:hint="eastAsia" w:eastAsiaTheme="minorEastAsia"/>
          <w:color w:val="000000" w:themeColor="text1"/>
          <w:szCs w:val="28"/>
          <w:lang w:eastAsia="zh-CN"/>
          <w14:textFill>
            <w14:solidFill>
              <w14:schemeClr w14:val="tx1"/>
            </w14:solidFill>
          </w14:textFill>
        </w:rPr>
      </w:pPr>
      <w:r>
        <w:rPr>
          <w:rFonts w:hint="eastAsia" w:eastAsiaTheme="minorEastAsia"/>
          <w:color w:val="000000" w:themeColor="text1"/>
          <w:szCs w:val="28"/>
          <w:lang w:eastAsia="zh-CN"/>
          <w14:textFill>
            <w14:solidFill>
              <w14:schemeClr w14:val="tx1"/>
            </w14:solidFill>
          </w14:textFill>
        </w:rPr>
        <w:t>目前无直接针对 “装饰装修用软膜天花” 的国际标准，相关标准多针对 “膜结构材料”，如ISO 4591:1992《塑料薄膜和薄片</w:t>
      </w:r>
      <w:bookmarkStart w:id="30" w:name="_GoBack"/>
      <w:r>
        <w:rPr>
          <w:rFonts w:hint="eastAsia" w:eastAsiaTheme="minorEastAsia"/>
          <w:color w:val="000000" w:themeColor="text1"/>
          <w:szCs w:val="28"/>
          <w:lang w:eastAsia="zh-CN"/>
          <w14:textFill>
            <w14:solidFill>
              <w14:schemeClr w14:val="tx1"/>
            </w14:solidFill>
          </w14:textFill>
        </w:rPr>
        <w:t>.</w:t>
      </w:r>
      <w:bookmarkEnd w:id="30"/>
      <w:r>
        <w:rPr>
          <w:rFonts w:hint="eastAsia" w:eastAsiaTheme="minorEastAsia"/>
          <w:color w:val="000000" w:themeColor="text1"/>
          <w:szCs w:val="28"/>
          <w:lang w:eastAsia="zh-CN"/>
          <w14:textFill>
            <w14:solidFill>
              <w14:schemeClr w14:val="tx1"/>
            </w14:solidFill>
          </w14:textFill>
        </w:rPr>
        <w:t>样品平均厚度，卷平均厚度及单位质量面积的测定称量法（称量厚度）》 、ASTM D882《塑料薄膜拉伸性能标准试验方法》</w:t>
      </w:r>
      <w:r>
        <w:rPr>
          <w:rFonts w:hint="eastAsia" w:eastAsiaTheme="minorEastAsia"/>
          <w:color w:val="000000" w:themeColor="text1"/>
          <w:szCs w:val="28"/>
          <w:lang w:val="en-US" w:eastAsia="zh-CN"/>
          <w14:textFill>
            <w14:solidFill>
              <w14:schemeClr w14:val="tx1"/>
            </w14:solidFill>
          </w14:textFill>
        </w:rPr>
        <w:t>等</w:t>
      </w:r>
      <w:r>
        <w:rPr>
          <w:rFonts w:hint="eastAsia" w:eastAsiaTheme="minorEastAsia"/>
          <w:color w:val="000000" w:themeColor="text1"/>
          <w:szCs w:val="28"/>
          <w:lang w:eastAsia="zh-CN"/>
          <w14:textFill>
            <w14:solidFill>
              <w14:schemeClr w14:val="tx1"/>
            </w14:solidFill>
          </w14:textFill>
        </w:rPr>
        <w:t>。本标准关键指标与国际先进水平对比：</w:t>
      </w:r>
    </w:p>
    <w:p w14:paraId="628EC3AF">
      <w:pPr>
        <w:spacing w:line="360" w:lineRule="auto"/>
        <w:ind w:firstLine="480"/>
        <w:jc w:val="both"/>
        <w:rPr>
          <w:rFonts w:hint="eastAsia" w:eastAsiaTheme="minorEastAsia"/>
          <w:color w:val="000000" w:themeColor="text1"/>
          <w:szCs w:val="28"/>
          <w:lang w:eastAsia="zh-CN"/>
          <w14:textFill>
            <w14:solidFill>
              <w14:schemeClr w14:val="tx1"/>
            </w14:solidFill>
          </w14:textFill>
        </w:rPr>
      </w:pPr>
      <w:r>
        <w:rPr>
          <w:rFonts w:hint="eastAsia" w:eastAsiaTheme="minorEastAsia"/>
          <w:color w:val="000000" w:themeColor="text1"/>
          <w:szCs w:val="28"/>
          <w:lang w:eastAsia="zh-CN"/>
          <w14:textFill>
            <w14:solidFill>
              <w14:schemeClr w14:val="tx1"/>
            </w14:solidFill>
          </w14:textFill>
        </w:rPr>
        <w:t>（</w:t>
      </w:r>
      <w:r>
        <w:rPr>
          <w:rFonts w:hint="eastAsia" w:eastAsiaTheme="minorEastAsia"/>
          <w:color w:val="000000" w:themeColor="text1"/>
          <w:szCs w:val="28"/>
          <w:lang w:val="en-US" w:eastAsia="zh-CN"/>
          <w14:textFill>
            <w14:solidFill>
              <w14:schemeClr w14:val="tx1"/>
            </w14:solidFill>
          </w14:textFill>
        </w:rPr>
        <w:t>1</w:t>
      </w:r>
      <w:r>
        <w:rPr>
          <w:rFonts w:hint="eastAsia" w:eastAsiaTheme="minorEastAsia"/>
          <w:color w:val="000000" w:themeColor="text1"/>
          <w:szCs w:val="28"/>
          <w:lang w:eastAsia="zh-CN"/>
          <w14:textFill>
            <w14:solidFill>
              <w14:schemeClr w14:val="tx1"/>
            </w14:solidFill>
          </w14:textFill>
        </w:rPr>
        <w:t>）拉伸强度：ETFE 软膜标准 “≥40MPa”，与 ASTM D882 中 ETFE 薄膜的推荐值（40-50MPa）一致；</w:t>
      </w:r>
    </w:p>
    <w:p w14:paraId="1FF77C93">
      <w:pPr>
        <w:spacing w:line="360" w:lineRule="auto"/>
        <w:ind w:firstLine="480"/>
        <w:jc w:val="both"/>
        <w:rPr>
          <w:rFonts w:hint="eastAsia" w:eastAsiaTheme="minorEastAsia"/>
          <w:color w:val="000000" w:themeColor="text1"/>
          <w:szCs w:val="28"/>
          <w:lang w:eastAsia="zh-CN"/>
          <w14:textFill>
            <w14:solidFill>
              <w14:schemeClr w14:val="tx1"/>
            </w14:solidFill>
          </w14:textFill>
        </w:rPr>
      </w:pPr>
      <w:r>
        <w:rPr>
          <w:rFonts w:hint="eastAsia" w:eastAsiaTheme="minorEastAsia"/>
          <w:color w:val="000000" w:themeColor="text1"/>
          <w:szCs w:val="28"/>
          <w:lang w:eastAsia="zh-CN"/>
          <w14:textFill>
            <w14:solidFill>
              <w14:schemeClr w14:val="tx1"/>
            </w14:solidFill>
          </w14:textFill>
        </w:rPr>
        <w:t>（</w:t>
      </w:r>
      <w:r>
        <w:rPr>
          <w:rFonts w:hint="eastAsia" w:eastAsiaTheme="minorEastAsia"/>
          <w:color w:val="000000" w:themeColor="text1"/>
          <w:szCs w:val="28"/>
          <w:lang w:val="en-US" w:eastAsia="zh-CN"/>
          <w14:textFill>
            <w14:solidFill>
              <w14:schemeClr w14:val="tx1"/>
            </w14:solidFill>
          </w14:textFill>
        </w:rPr>
        <w:t>2</w:t>
      </w:r>
      <w:r>
        <w:rPr>
          <w:rFonts w:hint="eastAsia" w:eastAsiaTheme="minorEastAsia"/>
          <w:color w:val="000000" w:themeColor="text1"/>
          <w:szCs w:val="28"/>
          <w:lang w:eastAsia="zh-CN"/>
          <w14:textFill>
            <w14:solidFill>
              <w14:schemeClr w14:val="tx1"/>
            </w14:solidFill>
          </w14:textFill>
        </w:rPr>
        <w:t>）燃烧性能：采用 GB 8624—2012（</w:t>
      </w:r>
      <w:r>
        <w:rPr>
          <w:rFonts w:hint="eastAsia" w:eastAsiaTheme="minorEastAsia"/>
          <w:color w:val="000000" w:themeColor="text1"/>
          <w:szCs w:val="28"/>
          <w:lang w:val="en-US" w:eastAsia="zh-CN"/>
          <w14:textFill>
            <w14:solidFill>
              <w14:schemeClr w14:val="tx1"/>
            </w14:solidFill>
          </w14:textFill>
        </w:rPr>
        <w:t>参考了EN 13501-1</w:t>
      </w:r>
      <w:r>
        <w:rPr>
          <w:rFonts w:hint="eastAsia" w:eastAsiaTheme="minorEastAsia"/>
          <w:color w:val="000000" w:themeColor="text1"/>
          <w:szCs w:val="28"/>
          <w:lang w:eastAsia="zh-CN"/>
          <w14:textFill>
            <w14:solidFill>
              <w14:schemeClr w14:val="tx1"/>
            </w14:solidFill>
          </w14:textFill>
        </w:rPr>
        <w:t>），与国际燃烧性能分级体系接轨；</w:t>
      </w:r>
    </w:p>
    <w:p w14:paraId="0FA2F543">
      <w:pPr>
        <w:spacing w:line="360" w:lineRule="auto"/>
        <w:ind w:firstLine="480"/>
        <w:jc w:val="both"/>
        <w:rPr>
          <w:rFonts w:hint="eastAsia" w:eastAsiaTheme="minorEastAsia"/>
          <w:color w:val="000000" w:themeColor="text1"/>
          <w:szCs w:val="28"/>
          <w:lang w:eastAsia="zh-CN"/>
          <w14:textFill>
            <w14:solidFill>
              <w14:schemeClr w14:val="tx1"/>
            </w14:solidFill>
          </w14:textFill>
        </w:rPr>
      </w:pPr>
      <w:r>
        <w:rPr>
          <w:rFonts w:hint="eastAsia" w:eastAsiaTheme="minorEastAsia"/>
          <w:color w:val="000000" w:themeColor="text1"/>
          <w:szCs w:val="28"/>
          <w:lang w:eastAsia="zh-CN"/>
          <w14:textFill>
            <w14:solidFill>
              <w14:schemeClr w14:val="tx1"/>
            </w14:solidFill>
          </w14:textFill>
        </w:rPr>
        <w:t>（</w:t>
      </w:r>
      <w:r>
        <w:rPr>
          <w:rFonts w:hint="eastAsia" w:eastAsiaTheme="minorEastAsia"/>
          <w:color w:val="000000" w:themeColor="text1"/>
          <w:szCs w:val="28"/>
          <w:lang w:val="en-US" w:eastAsia="zh-CN"/>
          <w14:textFill>
            <w14:solidFill>
              <w14:schemeClr w14:val="tx1"/>
            </w14:solidFill>
          </w14:textFill>
        </w:rPr>
        <w:t>3</w:t>
      </w:r>
      <w:r>
        <w:rPr>
          <w:rFonts w:hint="eastAsia" w:eastAsiaTheme="minorEastAsia"/>
          <w:color w:val="000000" w:themeColor="text1"/>
          <w:szCs w:val="28"/>
          <w:lang w:eastAsia="zh-CN"/>
          <w14:textFill>
            <w14:solidFill>
              <w14:schemeClr w14:val="tx1"/>
            </w14:solidFill>
          </w14:textFill>
        </w:rPr>
        <w:t>）有害物质限量：邻苯二甲酸酯 “不得检出” 的要求，严于欧盟 REACH 法规（部分邻苯二甲酸酯限值为 0.1%），体现环保先进性。</w:t>
      </w:r>
    </w:p>
    <w:p w14:paraId="79A7B5BF">
      <w:pPr>
        <w:pStyle w:val="27"/>
        <w:spacing w:before="326" w:beforeLines="100" w:after="326" w:afterLines="100"/>
        <w:rPr>
          <w:rFonts w:ascii="Times New Roman"/>
          <w:color w:val="000000" w:themeColor="text1"/>
          <w:sz w:val="28"/>
          <w:szCs w:val="28"/>
          <w14:textFill>
            <w14:solidFill>
              <w14:schemeClr w14:val="tx1"/>
            </w14:solidFill>
          </w14:textFill>
        </w:rPr>
      </w:pPr>
      <w:bookmarkStart w:id="22" w:name="_Toc108389268"/>
      <w:r>
        <w:rPr>
          <w:rFonts w:ascii="Times New Roman"/>
          <w:color w:val="000000" w:themeColor="text1"/>
          <w:sz w:val="28"/>
          <w:szCs w:val="28"/>
          <w14:textFill>
            <w14:solidFill>
              <w14:schemeClr w14:val="tx1"/>
            </w14:solidFill>
          </w14:textFill>
        </w:rPr>
        <w:t>7 与现行相关法律、法规、规章及相关标准</w:t>
      </w:r>
      <w:r>
        <w:rPr>
          <w:rFonts w:hint="eastAsia" w:ascii="Times New Roman"/>
          <w:color w:val="000000" w:themeColor="text1"/>
          <w:sz w:val="28"/>
          <w:szCs w:val="28"/>
          <w14:textFill>
            <w14:solidFill>
              <w14:schemeClr w14:val="tx1"/>
            </w14:solidFill>
          </w14:textFill>
        </w:rPr>
        <w:t>，特别是强制性标准</w:t>
      </w:r>
      <w:r>
        <w:rPr>
          <w:rFonts w:ascii="Times New Roman"/>
          <w:color w:val="000000" w:themeColor="text1"/>
          <w:sz w:val="28"/>
          <w:szCs w:val="28"/>
          <w14:textFill>
            <w14:solidFill>
              <w14:schemeClr w14:val="tx1"/>
            </w14:solidFill>
          </w14:textFill>
        </w:rPr>
        <w:t>的协调</w:t>
      </w:r>
      <w:r>
        <w:rPr>
          <w:rFonts w:hint="eastAsia" w:ascii="Times New Roman"/>
          <w:color w:val="000000" w:themeColor="text1"/>
          <w:sz w:val="28"/>
          <w:szCs w:val="28"/>
          <w14:textFill>
            <w14:solidFill>
              <w14:schemeClr w14:val="tx1"/>
            </w14:solidFill>
          </w14:textFill>
        </w:rPr>
        <w:t>性</w:t>
      </w:r>
      <w:bookmarkEnd w:id="22"/>
    </w:p>
    <w:p w14:paraId="761B3270">
      <w:pPr>
        <w:pStyle w:val="28"/>
        <w:snapToGrid w:val="0"/>
        <w:spacing w:before="163" w:beforeLines="50" w:after="163" w:afterLines="50" w:line="500" w:lineRule="exact"/>
        <w:jc w:val="both"/>
        <w:rPr>
          <w:color w:val="000000" w:themeColor="text1"/>
          <w14:textFill>
            <w14:solidFill>
              <w14:schemeClr w14:val="tx1"/>
            </w14:solidFill>
          </w14:textFill>
        </w:rPr>
      </w:pPr>
      <w:bookmarkStart w:id="23" w:name="_Toc108389269"/>
      <w:r>
        <w:rPr>
          <w:color w:val="000000" w:themeColor="text1"/>
          <w:sz w:val="24"/>
          <w:szCs w:val="24"/>
          <w14:textFill>
            <w14:solidFill>
              <w14:schemeClr w14:val="tx1"/>
            </w14:solidFill>
          </w14:textFill>
        </w:rPr>
        <w:t>7.1</w:t>
      </w:r>
      <w:r>
        <w:rPr>
          <w:rFonts w:hint="eastAsia"/>
          <w:color w:val="000000" w:themeColor="text1"/>
          <w:sz w:val="24"/>
          <w:szCs w:val="24"/>
          <w14:textFill>
            <w14:solidFill>
              <w14:schemeClr w14:val="tx1"/>
            </w14:solidFill>
          </w14:textFill>
        </w:rPr>
        <w:t>相关法律法规</w:t>
      </w:r>
      <w:bookmarkEnd w:id="23"/>
    </w:p>
    <w:p w14:paraId="4E4FCB6D">
      <w:pPr>
        <w:spacing w:line="360" w:lineRule="auto"/>
        <w:ind w:firstLine="495"/>
        <w:jc w:val="both"/>
        <w:rPr>
          <w:rFonts w:hint="eastAsia"/>
          <w:color w:val="000000" w:themeColor="text1"/>
          <w14:textFill>
            <w14:solidFill>
              <w14:schemeClr w14:val="tx1"/>
            </w14:solidFill>
          </w14:textFill>
        </w:rPr>
      </w:pPr>
      <w:bookmarkStart w:id="24" w:name="_Toc108389270"/>
      <w:r>
        <w:rPr>
          <w:rFonts w:hint="eastAsia"/>
          <w:color w:val="000000" w:themeColor="text1"/>
          <w14:textFill>
            <w14:solidFill>
              <w14:schemeClr w14:val="tx1"/>
            </w14:solidFill>
          </w14:textFill>
        </w:rPr>
        <w:t>本标准内容符合以下法律法规要求：</w:t>
      </w:r>
    </w:p>
    <w:p w14:paraId="0F22D3F3">
      <w:pPr>
        <w:spacing w:line="360" w:lineRule="auto"/>
        <w:ind w:firstLine="495"/>
        <w:jc w:val="both"/>
        <w:rPr>
          <w:rFonts w:hint="eastAsia"/>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1</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《中华人民共和国产品质量法》：明确产品标识、质量合格证明、安全警示等要求，与标准第 8 章 “标志”、第 5 章 “燃烧性能 / 有害物质” 衔接；</w:t>
      </w:r>
    </w:p>
    <w:p w14:paraId="2FA584BD">
      <w:pPr>
        <w:spacing w:line="360" w:lineRule="auto"/>
        <w:ind w:firstLine="495"/>
        <w:jc w:val="both"/>
        <w:rPr>
          <w:rFonts w:hint="eastAsia"/>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2</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《中华人民共和国消费者权益保护法》：要求经营者提供产品 “性能、规格、使用方法说明书”，标准第 8 章 “标志” 及配套使用说明书（参考《建材产品使用说明书通用要求》）可满足该需求；</w:t>
      </w:r>
    </w:p>
    <w:p w14:paraId="0EED0F39">
      <w:pPr>
        <w:spacing w:line="360" w:lineRule="auto"/>
        <w:ind w:firstLine="495"/>
        <w:jc w:val="both"/>
        <w:rPr>
          <w:rFonts w:hint="eastAsia"/>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3</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《建设工程消防设计审查验收管理暂行规定》：要求建筑材料燃烧性能符合国家标准，标准第 5 章 “燃烧性能” 与该规定一致。</w:t>
      </w:r>
    </w:p>
    <w:p w14:paraId="219C7690">
      <w:pPr>
        <w:pStyle w:val="28"/>
        <w:snapToGrid w:val="0"/>
        <w:spacing w:before="163" w:beforeLines="50" w:after="163" w:afterLines="50" w:line="500" w:lineRule="exact"/>
        <w:jc w:val="both"/>
        <w:rPr>
          <w:color w:val="000000" w:themeColor="text1"/>
          <w14:textFill>
            <w14:solidFill>
              <w14:schemeClr w14:val="tx1"/>
            </w14:solidFill>
          </w14:textFill>
        </w:rPr>
      </w:pPr>
      <w:r>
        <w:rPr>
          <w:color w:val="000000" w:themeColor="text1"/>
          <w:sz w:val="24"/>
          <w:szCs w:val="24"/>
          <w14:textFill>
            <w14:solidFill>
              <w14:schemeClr w14:val="tx1"/>
            </w14:solidFill>
          </w14:textFill>
        </w:rPr>
        <w:t>7.2</w:t>
      </w:r>
      <w:r>
        <w:rPr>
          <w:rFonts w:hint="eastAsia"/>
          <w:color w:val="000000" w:themeColor="text1"/>
          <w:sz w:val="24"/>
          <w:szCs w:val="24"/>
          <w14:textFill>
            <w14:solidFill>
              <w14:schemeClr w14:val="tx1"/>
            </w14:solidFill>
          </w14:textFill>
        </w:rPr>
        <w:t>相关标准</w:t>
      </w:r>
      <w:bookmarkEnd w:id="24"/>
    </w:p>
    <w:p w14:paraId="523F1CB9">
      <w:pPr>
        <w:spacing w:line="360" w:lineRule="auto"/>
        <w:ind w:firstLine="482" w:firstLineChars="200"/>
        <w:jc w:val="both"/>
        <w:rPr>
          <w:rFonts w:hint="default"/>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7.2.1  标准协调情况</w:t>
      </w:r>
    </w:p>
    <w:p w14:paraId="1C126DF4">
      <w:pPr>
        <w:spacing w:line="360" w:lineRule="auto"/>
        <w:ind w:firstLine="48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本标准与现行标准无冲突，且相互补充：</w:t>
      </w:r>
    </w:p>
    <w:p w14:paraId="676E11CF">
      <w:pPr>
        <w:spacing w:line="360" w:lineRule="auto"/>
        <w:ind w:firstLine="48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与 GB/T 3830《软聚氯乙烯压延薄膜和片材》：GB/T 3830 针对通用 PVC 薄膜，本标准聚焦 “天花装饰” 场景，补充 “可焊性”“防霉性” 等专项指标；</w:t>
      </w:r>
    </w:p>
    <w:p w14:paraId="5F692D8F">
      <w:pPr>
        <w:spacing w:line="360" w:lineRule="auto"/>
        <w:ind w:firstLine="48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与 GB/T 25042-2024《膜结构用玻璃纤维膜材料》：GB/T 25042 针对膜结构，本标准引用其室内 / 室外型涂层织物软膜的性能要求，避免重复制定；</w:t>
      </w:r>
    </w:p>
    <w:p w14:paraId="7D2B7F4C">
      <w:pPr>
        <w:spacing w:line="360" w:lineRule="auto"/>
        <w:ind w:firstLine="48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与 GB 18585《室内装饰装修材料 壁纸中有害物质限量》：本标准 “有害物质限量” 与 GB 18585 保持一致，确保室内环保要求统一。</w:t>
      </w:r>
    </w:p>
    <w:p w14:paraId="71746B2D">
      <w:pPr>
        <w:numPr>
          <w:ilvl w:val="0"/>
          <w:numId w:val="0"/>
        </w:numPr>
        <w:spacing w:line="360" w:lineRule="auto"/>
        <w:ind w:firstLine="482" w:firstLineChars="200"/>
        <w:jc w:val="both"/>
        <w:rPr>
          <w:rFonts w:hint="default" w:eastAsia="宋体"/>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7.2.2  参考引用标准</w:t>
      </w:r>
    </w:p>
    <w:p w14:paraId="6786C734">
      <w:pPr>
        <w:numPr>
          <w:ilvl w:val="0"/>
          <w:numId w:val="0"/>
        </w:numPr>
        <w:spacing w:line="360" w:lineRule="auto"/>
        <w:ind w:firstLine="420" w:firstLineChars="0"/>
        <w:jc w:val="both"/>
        <w:rPr>
          <w:rFonts w:hint="default"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本标准编制过程中引用和参考了以下相关标准：</w:t>
      </w:r>
    </w:p>
    <w:p w14:paraId="78579AC8">
      <w:pPr>
        <w:spacing w:line="360" w:lineRule="auto"/>
        <w:ind w:firstLine="48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GB/T 250 纺织品 色牢度试验 评定变色用灰色样卡</w:t>
      </w:r>
    </w:p>
    <w:p w14:paraId="18165DBA">
      <w:pPr>
        <w:spacing w:line="360" w:lineRule="auto"/>
        <w:ind w:firstLine="48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GB/T 1040.3 塑料 拉伸性能的测定 第3部分：薄膜和薄片的试验条件</w:t>
      </w:r>
    </w:p>
    <w:p w14:paraId="248D3108">
      <w:pPr>
        <w:spacing w:line="360" w:lineRule="auto"/>
        <w:ind w:firstLine="48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GB/T 2410 透明塑料透光率和雾度试验方法</w:t>
      </w:r>
    </w:p>
    <w:p w14:paraId="0C0E4864">
      <w:pPr>
        <w:spacing w:line="360" w:lineRule="auto"/>
        <w:ind w:firstLine="48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GB/T 24128 塑料 塑料防霉剂的防霉效果评估</w:t>
      </w:r>
    </w:p>
    <w:p w14:paraId="672FD90E">
      <w:pPr>
        <w:spacing w:line="360" w:lineRule="auto"/>
        <w:ind w:firstLine="48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GB/T 2918-2018 塑料 试样状态调节和试验的标准环境</w:t>
      </w:r>
    </w:p>
    <w:p w14:paraId="48B268B5">
      <w:pPr>
        <w:spacing w:line="360" w:lineRule="auto"/>
        <w:ind w:firstLine="48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GB/T 3830 软聚氯乙烯压延薄膜和片材</w:t>
      </w:r>
    </w:p>
    <w:p w14:paraId="5CE65853">
      <w:pPr>
        <w:spacing w:line="360" w:lineRule="auto"/>
        <w:ind w:firstLine="48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GB/T 3917.3 纺织品 织物撕破性能 第3部分：梯形试样撕破强力的测定</w:t>
      </w:r>
    </w:p>
    <w:p w14:paraId="588FD62E">
      <w:pPr>
        <w:spacing w:line="360" w:lineRule="auto"/>
        <w:ind w:firstLine="48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GB/T 3923.1  纺织品 织物拉伸性能 第1部分：断裂强力和断裂伸长率的测定（条样法）</w:t>
      </w:r>
    </w:p>
    <w:p w14:paraId="435664CA">
      <w:pPr>
        <w:spacing w:line="360" w:lineRule="auto"/>
        <w:ind w:firstLine="48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GB/T 4669 纺织品 机织物 单位长度质量和单位面积质量的测定</w:t>
      </w:r>
    </w:p>
    <w:p w14:paraId="5556B0AE">
      <w:pPr>
        <w:spacing w:line="360" w:lineRule="auto"/>
        <w:ind w:firstLine="48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GB/T 6672 塑料薄膜和薄片 厚度测定 机械测量法</w:t>
      </w:r>
    </w:p>
    <w:p w14:paraId="13FF9D20">
      <w:pPr>
        <w:spacing w:line="360" w:lineRule="auto"/>
        <w:ind w:firstLine="48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GB/T 6673 塑料薄膜和薄片长度和宽度的测定</w:t>
      </w:r>
    </w:p>
    <w:p w14:paraId="0912BECD">
      <w:pPr>
        <w:spacing w:line="360" w:lineRule="auto"/>
        <w:ind w:firstLine="48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GB/T 7141-2008 塑料热老化试验方法</w:t>
      </w:r>
    </w:p>
    <w:p w14:paraId="74B2BEEA">
      <w:pPr>
        <w:spacing w:line="360" w:lineRule="auto"/>
        <w:ind w:firstLine="48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GB 8624—2012 建筑材料及制品燃烧性能分级</w:t>
      </w:r>
    </w:p>
    <w:p w14:paraId="4A501CA9">
      <w:pPr>
        <w:spacing w:line="360" w:lineRule="auto"/>
        <w:ind w:firstLine="48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GB/T 9914.3 增强制品试验方法 第3部分：单位面积质量的测定</w:t>
      </w:r>
    </w:p>
    <w:p w14:paraId="31A6E314">
      <w:pPr>
        <w:spacing w:line="360" w:lineRule="auto"/>
        <w:ind w:firstLine="48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GB/T 12027  塑料</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薄膜和薄片</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加热尺寸变化率试验方法</w:t>
      </w:r>
    </w:p>
    <w:p w14:paraId="031B6058">
      <w:pPr>
        <w:spacing w:line="360" w:lineRule="auto"/>
        <w:ind w:firstLine="48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GB/T 18426 橡胶或塑料涂覆织物 低温弯曲试验</w:t>
      </w:r>
    </w:p>
    <w:p w14:paraId="07C84B05">
      <w:pPr>
        <w:spacing w:line="360" w:lineRule="auto"/>
        <w:ind w:firstLine="48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GB 18585 室内装饰装修材料 壁纸中有害物质限量</w:t>
      </w:r>
    </w:p>
    <w:p w14:paraId="3DD7760E">
      <w:pPr>
        <w:spacing w:line="360" w:lineRule="auto"/>
        <w:ind w:firstLine="48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GB/T 25042-2024 膜结构用玻璃纤维膜材料</w:t>
      </w:r>
    </w:p>
    <w:p w14:paraId="2104442D">
      <w:pPr>
        <w:spacing w:line="360" w:lineRule="auto"/>
        <w:ind w:firstLine="48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GB/T 43353 建材产品的气味释放测试 环境测试舱法</w:t>
      </w:r>
    </w:p>
    <w:p w14:paraId="0295DA60">
      <w:pPr>
        <w:spacing w:line="360" w:lineRule="auto"/>
        <w:ind w:firstLine="48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FZ/T 01009 纺织品 织物透光性的测定</w:t>
      </w:r>
    </w:p>
    <w:p w14:paraId="191A4066">
      <w:pPr>
        <w:spacing w:line="360" w:lineRule="auto"/>
        <w:ind w:firstLine="48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FZ/T 60036 膜结构用涂层织物 接头强力试验方法</w:t>
      </w:r>
    </w:p>
    <w:p w14:paraId="5F536FB5">
      <w:pPr>
        <w:spacing w:line="360" w:lineRule="auto"/>
        <w:ind w:firstLine="48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FZ/T 60039 膜结构用涂层织物 剥离强力试验方法</w:t>
      </w:r>
    </w:p>
    <w:p w14:paraId="107C2E1A">
      <w:pPr>
        <w:spacing w:line="360" w:lineRule="auto"/>
        <w:ind w:firstLine="48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FZ/T 75005 涂层织物 在无张力下尺寸变化的测定</w:t>
      </w:r>
    </w:p>
    <w:p w14:paraId="7E3F1D86">
      <w:pPr>
        <w:spacing w:line="360" w:lineRule="auto"/>
        <w:ind w:firstLine="48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QB/T 1130 塑料直角撕裂性能试验方法</w:t>
      </w:r>
    </w:p>
    <w:p w14:paraId="06109F48">
      <w:pPr>
        <w:pStyle w:val="27"/>
        <w:spacing w:before="326" w:beforeLines="100" w:after="326" w:afterLines="100"/>
        <w:rPr>
          <w:rFonts w:ascii="Times New Roman"/>
          <w:color w:val="000000" w:themeColor="text1"/>
          <w:sz w:val="28"/>
          <w:szCs w:val="28"/>
          <w14:textFill>
            <w14:solidFill>
              <w14:schemeClr w14:val="tx1"/>
            </w14:solidFill>
          </w14:textFill>
        </w:rPr>
      </w:pPr>
      <w:bookmarkStart w:id="25" w:name="_Toc108389271"/>
      <w:r>
        <w:rPr>
          <w:rFonts w:ascii="Times New Roman"/>
          <w:color w:val="000000" w:themeColor="text1"/>
          <w:sz w:val="28"/>
          <w:szCs w:val="28"/>
          <w14:textFill>
            <w14:solidFill>
              <w14:schemeClr w14:val="tx1"/>
            </w14:solidFill>
          </w14:textFill>
        </w:rPr>
        <w:t>8 重大意见分歧的处理依据和结果</w:t>
      </w:r>
      <w:bookmarkEnd w:id="25"/>
    </w:p>
    <w:p w14:paraId="65596C87">
      <w:pPr>
        <w:spacing w:line="360" w:lineRule="auto"/>
        <w:ind w:firstLine="480" w:firstLineChars="200"/>
        <w:jc w:val="both"/>
        <w:rPr>
          <w:rFonts w:hint="eastAsia" w:eastAsiaTheme="minorEastAsia"/>
          <w:color w:val="000000" w:themeColor="text1"/>
          <w:szCs w:val="28"/>
          <w14:textFill>
            <w14:solidFill>
              <w14:schemeClr w14:val="tx1"/>
            </w14:solidFill>
          </w14:textFill>
        </w:rPr>
      </w:pPr>
      <w:r>
        <w:rPr>
          <w:rFonts w:hint="eastAsia" w:eastAsiaTheme="minorEastAsia"/>
          <w:color w:val="000000" w:themeColor="text1"/>
          <w:szCs w:val="28"/>
          <w14:textFill>
            <w14:solidFill>
              <w14:schemeClr w14:val="tx1"/>
            </w14:solidFill>
          </w14:textFill>
        </w:rPr>
        <w:t>标准编制过程中，编制组共组织 3 次行业研讨会（2 次线</w:t>
      </w:r>
      <w:r>
        <w:rPr>
          <w:rFonts w:hint="eastAsia" w:eastAsiaTheme="minorEastAsia"/>
          <w:color w:val="000000" w:themeColor="text1"/>
          <w:szCs w:val="28"/>
          <w:lang w:val="en-US" w:eastAsia="zh-CN"/>
          <w14:textFill>
            <w14:solidFill>
              <w14:schemeClr w14:val="tx1"/>
            </w14:solidFill>
          </w14:textFill>
        </w:rPr>
        <w:t>下</w:t>
      </w:r>
      <w:r>
        <w:rPr>
          <w:rFonts w:hint="eastAsia" w:eastAsiaTheme="minorEastAsia"/>
          <w:color w:val="000000" w:themeColor="text1"/>
          <w:szCs w:val="28"/>
          <w14:textFill>
            <w14:solidFill>
              <w14:schemeClr w14:val="tx1"/>
            </w14:solidFill>
          </w14:textFill>
        </w:rPr>
        <w:t>、1 次线</w:t>
      </w:r>
      <w:r>
        <w:rPr>
          <w:rFonts w:hint="eastAsia" w:eastAsiaTheme="minorEastAsia"/>
          <w:color w:val="000000" w:themeColor="text1"/>
          <w:szCs w:val="28"/>
          <w:lang w:val="en-US" w:eastAsia="zh-CN"/>
          <w14:textFill>
            <w14:solidFill>
              <w14:schemeClr w14:val="tx1"/>
            </w14:solidFill>
          </w14:textFill>
        </w:rPr>
        <w:t>上</w:t>
      </w:r>
      <w:r>
        <w:rPr>
          <w:rFonts w:hint="eastAsia" w:eastAsiaTheme="minorEastAsia"/>
          <w:color w:val="000000" w:themeColor="text1"/>
          <w:szCs w:val="28"/>
          <w14:textFill>
            <w14:solidFill>
              <w14:schemeClr w14:val="tx1"/>
            </w14:solidFill>
          </w14:textFill>
        </w:rPr>
        <w:t xml:space="preserve">），征求 </w:t>
      </w:r>
      <w:r>
        <w:rPr>
          <w:rFonts w:hint="eastAsia" w:eastAsiaTheme="minorEastAsia"/>
          <w:color w:val="000000" w:themeColor="text1"/>
          <w:szCs w:val="28"/>
          <w:lang w:val="en-US" w:eastAsia="zh-CN"/>
          <w14:textFill>
            <w14:solidFill>
              <w14:schemeClr w14:val="tx1"/>
            </w14:solidFill>
          </w14:textFill>
        </w:rPr>
        <w:t>17</w:t>
      </w:r>
      <w:r>
        <w:rPr>
          <w:rFonts w:hint="eastAsia" w:eastAsiaTheme="minorEastAsia"/>
          <w:color w:val="000000" w:themeColor="text1"/>
          <w:szCs w:val="28"/>
          <w14:textFill>
            <w14:solidFill>
              <w14:schemeClr w14:val="tx1"/>
            </w14:solidFill>
          </w14:textFill>
        </w:rPr>
        <w:t xml:space="preserve"> 家单位（企业</w:t>
      </w:r>
      <w:r>
        <w:rPr>
          <w:rFonts w:hint="eastAsia" w:eastAsiaTheme="minorEastAsia"/>
          <w:color w:val="000000" w:themeColor="text1"/>
          <w:szCs w:val="28"/>
          <w:lang w:val="en-US" w:eastAsia="zh-CN"/>
          <w14:textFill>
            <w14:solidFill>
              <w14:schemeClr w14:val="tx1"/>
            </w14:solidFill>
          </w14:textFill>
        </w:rPr>
        <w:t>11</w:t>
      </w:r>
      <w:r>
        <w:rPr>
          <w:rFonts w:hint="eastAsia" w:eastAsiaTheme="minorEastAsia"/>
          <w:color w:val="000000" w:themeColor="text1"/>
          <w:szCs w:val="28"/>
          <w14:textFill>
            <w14:solidFill>
              <w14:schemeClr w14:val="tx1"/>
            </w14:solidFill>
          </w14:textFill>
        </w:rPr>
        <w:t xml:space="preserve">家、检测机构 </w:t>
      </w:r>
      <w:r>
        <w:rPr>
          <w:rFonts w:hint="eastAsia" w:eastAsiaTheme="minorEastAsia"/>
          <w:color w:val="000000" w:themeColor="text1"/>
          <w:szCs w:val="28"/>
          <w:lang w:val="en-US" w:eastAsia="zh-CN"/>
          <w14:textFill>
            <w14:solidFill>
              <w14:schemeClr w14:val="tx1"/>
            </w14:solidFill>
          </w14:textFill>
        </w:rPr>
        <w:t>2</w:t>
      </w:r>
      <w:r>
        <w:rPr>
          <w:rFonts w:hint="eastAsia" w:eastAsiaTheme="minorEastAsia"/>
          <w:color w:val="000000" w:themeColor="text1"/>
          <w:szCs w:val="28"/>
          <w14:textFill>
            <w14:solidFill>
              <w14:schemeClr w14:val="tx1"/>
            </w14:solidFill>
          </w14:textFill>
        </w:rPr>
        <w:t xml:space="preserve"> 家、科研院所</w:t>
      </w:r>
      <w:r>
        <w:rPr>
          <w:rFonts w:hint="eastAsia" w:eastAsiaTheme="minorEastAsia"/>
          <w:color w:val="000000" w:themeColor="text1"/>
          <w:szCs w:val="28"/>
          <w:lang w:val="en-US" w:eastAsia="zh-CN"/>
          <w14:textFill>
            <w14:solidFill>
              <w14:schemeClr w14:val="tx1"/>
            </w14:solidFill>
          </w14:textFill>
        </w:rPr>
        <w:t>2</w:t>
      </w:r>
      <w:r>
        <w:rPr>
          <w:rFonts w:hint="eastAsia" w:eastAsiaTheme="minorEastAsia"/>
          <w:color w:val="000000" w:themeColor="text1"/>
          <w:szCs w:val="28"/>
          <w14:textFill>
            <w14:solidFill>
              <w14:schemeClr w14:val="tx1"/>
            </w14:solidFill>
          </w14:textFill>
        </w:rPr>
        <w:t>家、协会2家）的意见，主要分歧及处理如下：</w:t>
      </w:r>
    </w:p>
    <w:p w14:paraId="364A90A1">
      <w:pPr>
        <w:spacing w:line="360" w:lineRule="auto"/>
        <w:ind w:firstLine="480" w:firstLineChars="200"/>
        <w:jc w:val="both"/>
        <w:rPr>
          <w:rFonts w:hint="eastAsia" w:eastAsiaTheme="minorEastAsia"/>
          <w:color w:val="000000" w:themeColor="text1"/>
          <w:szCs w:val="28"/>
          <w14:textFill>
            <w14:solidFill>
              <w14:schemeClr w14:val="tx1"/>
            </w14:solidFill>
          </w14:textFill>
        </w:rPr>
      </w:pPr>
      <w:r>
        <w:rPr>
          <w:rFonts w:hint="eastAsia" w:eastAsiaTheme="minorEastAsia"/>
          <w:color w:val="000000" w:themeColor="text1"/>
          <w:szCs w:val="28"/>
          <w14:textFill>
            <w14:solidFill>
              <w14:schemeClr w14:val="tx1"/>
            </w14:solidFill>
          </w14:textFill>
        </w:rPr>
        <w:t>分歧 1：</w:t>
      </w:r>
      <w:r>
        <w:rPr>
          <w:rFonts w:hint="eastAsia" w:eastAsiaTheme="minorEastAsia"/>
          <w:color w:val="000000" w:themeColor="text1"/>
          <w:szCs w:val="28"/>
          <w:lang w:val="en-US" w:eastAsia="zh-CN"/>
          <w14:textFill>
            <w14:solidFill>
              <w14:schemeClr w14:val="tx1"/>
            </w14:solidFill>
          </w14:textFill>
        </w:rPr>
        <w:t>各类软膜</w:t>
      </w:r>
      <w:r>
        <w:rPr>
          <w:rFonts w:hint="eastAsia" w:eastAsiaTheme="minorEastAsia"/>
          <w:color w:val="000000" w:themeColor="text1"/>
          <w:szCs w:val="28"/>
          <w:lang w:eastAsia="zh-CN"/>
          <w14:textFill>
            <w14:solidFill>
              <w14:schemeClr w14:val="tx1"/>
            </w14:solidFill>
          </w14:textFill>
        </w:rPr>
        <w:t>的</w:t>
      </w:r>
      <w:r>
        <w:rPr>
          <w:rFonts w:hint="eastAsia" w:eastAsiaTheme="minorEastAsia"/>
          <w:color w:val="000000" w:themeColor="text1"/>
          <w:szCs w:val="28"/>
          <w14:textFill>
            <w14:solidFill>
              <w14:schemeClr w14:val="tx1"/>
            </w14:solidFill>
          </w14:textFill>
        </w:rPr>
        <w:t>指标是否需区分室内外？</w:t>
      </w:r>
    </w:p>
    <w:p w14:paraId="76D7E17A">
      <w:pPr>
        <w:spacing w:line="360" w:lineRule="auto"/>
        <w:ind w:firstLine="480" w:firstLineChars="200"/>
        <w:jc w:val="both"/>
        <w:rPr>
          <w:rFonts w:hint="eastAsia" w:eastAsiaTheme="minorEastAsia"/>
          <w:color w:val="000000" w:themeColor="text1"/>
          <w:szCs w:val="28"/>
          <w14:textFill>
            <w14:solidFill>
              <w14:schemeClr w14:val="tx1"/>
            </w14:solidFill>
          </w14:textFill>
        </w:rPr>
      </w:pPr>
      <w:r>
        <w:rPr>
          <w:rFonts w:hint="eastAsia" w:eastAsiaTheme="minorEastAsia"/>
          <w:color w:val="000000" w:themeColor="text1"/>
          <w:szCs w:val="28"/>
          <w14:textFill>
            <w14:solidFill>
              <w14:schemeClr w14:val="tx1"/>
            </w14:solidFill>
          </w14:textFill>
        </w:rPr>
        <w:t>处理：</w:t>
      </w:r>
      <w:r>
        <w:rPr>
          <w:rFonts w:hint="eastAsia" w:eastAsiaTheme="minorEastAsia"/>
          <w:color w:val="000000" w:themeColor="text1"/>
          <w:szCs w:val="28"/>
          <w:lang w:eastAsia="zh-CN"/>
          <w14:textFill>
            <w14:solidFill>
              <w14:schemeClr w14:val="tx1"/>
            </w14:solidFill>
          </w14:textFill>
        </w:rPr>
        <w:t>在</w:t>
      </w:r>
      <w:r>
        <w:rPr>
          <w:rFonts w:hint="eastAsia" w:eastAsiaTheme="minorEastAsia"/>
          <w:color w:val="000000" w:themeColor="text1"/>
          <w:szCs w:val="28"/>
          <w:lang w:val="en-US" w:eastAsia="zh-CN"/>
          <w14:textFill>
            <w14:solidFill>
              <w14:schemeClr w14:val="tx1"/>
            </w14:solidFill>
          </w14:textFill>
        </w:rPr>
        <w:t>某些耐低温候性、耐紫外老化、气味强度等指标上区分室内外软膜的性能差异，比如：</w:t>
      </w:r>
      <w:r>
        <w:rPr>
          <w:rFonts w:hint="eastAsia" w:eastAsiaTheme="minorEastAsia"/>
          <w:color w:val="000000" w:themeColor="text1"/>
          <w:szCs w:val="28"/>
          <w14:textFill>
            <w14:solidFill>
              <w14:schemeClr w14:val="tx1"/>
            </w14:solidFill>
          </w14:textFill>
        </w:rPr>
        <w:t>室内型软膜无长期室外暴晒需求，故仅对室外型要求 “紫外辐照 270MJ/m² 后拉伸强度保留率≥90%”；</w:t>
      </w:r>
    </w:p>
    <w:p w14:paraId="5E935C24">
      <w:pPr>
        <w:spacing w:line="360" w:lineRule="auto"/>
        <w:ind w:firstLine="480" w:firstLineChars="200"/>
        <w:jc w:val="both"/>
        <w:rPr>
          <w:rFonts w:hint="eastAsia" w:eastAsiaTheme="minorEastAsia"/>
          <w:color w:val="000000" w:themeColor="text1"/>
          <w:szCs w:val="28"/>
          <w14:textFill>
            <w14:solidFill>
              <w14:schemeClr w14:val="tx1"/>
            </w14:solidFill>
          </w14:textFill>
        </w:rPr>
      </w:pPr>
      <w:r>
        <w:rPr>
          <w:rFonts w:hint="eastAsia" w:eastAsiaTheme="minorEastAsia"/>
          <w:color w:val="000000" w:themeColor="text1"/>
          <w:szCs w:val="28"/>
          <w14:textFill>
            <w14:solidFill>
              <w14:schemeClr w14:val="tx1"/>
            </w14:solidFill>
          </w14:textFill>
        </w:rPr>
        <w:t>分歧 2：涂层织物软膜 “剥离强度” 是否需分材质规定？</w:t>
      </w:r>
    </w:p>
    <w:p w14:paraId="1F7AC320">
      <w:pPr>
        <w:spacing w:line="360" w:lineRule="auto"/>
        <w:ind w:firstLine="480" w:firstLineChars="200"/>
        <w:jc w:val="both"/>
        <w:rPr>
          <w:rFonts w:hint="eastAsia" w:eastAsiaTheme="minorEastAsia"/>
          <w:color w:val="000000" w:themeColor="text1"/>
          <w:szCs w:val="28"/>
          <w14:textFill>
            <w14:solidFill>
              <w14:schemeClr w14:val="tx1"/>
            </w14:solidFill>
          </w14:textFill>
        </w:rPr>
      </w:pPr>
      <w:r>
        <w:rPr>
          <w:rFonts w:hint="eastAsia" w:eastAsiaTheme="minorEastAsia"/>
          <w:color w:val="000000" w:themeColor="text1"/>
          <w:szCs w:val="28"/>
          <w14:textFill>
            <w14:solidFill>
              <w14:schemeClr w14:val="tx1"/>
            </w14:solidFill>
          </w14:textFill>
        </w:rPr>
        <w:t>处理：根据基布强度差异，规定玻璃纤维涂层织物软膜剥离强度≥40N/50mm，聚酯纤维涂层织物软膜≥30N/50mm，参考检测机构验证结果（玻璃纤维基布粘合强度更高）。</w:t>
      </w:r>
    </w:p>
    <w:p w14:paraId="46BB3505">
      <w:pPr>
        <w:spacing w:line="360" w:lineRule="auto"/>
        <w:ind w:firstLine="480" w:firstLineChars="200"/>
        <w:jc w:val="both"/>
        <w:rPr>
          <w:rFonts w:eastAsiaTheme="minorEastAsia"/>
          <w:b/>
          <w:color w:val="000000" w:themeColor="text1"/>
          <w:szCs w:val="28"/>
          <w14:textFill>
            <w14:solidFill>
              <w14:schemeClr w14:val="tx1"/>
            </w14:solidFill>
          </w14:textFill>
        </w:rPr>
      </w:pPr>
      <w:r>
        <w:rPr>
          <w:rFonts w:hint="eastAsia" w:eastAsiaTheme="minorEastAsia"/>
          <w:color w:val="000000" w:themeColor="text1"/>
          <w:szCs w:val="28"/>
          <w14:textFill>
            <w14:solidFill>
              <w14:schemeClr w14:val="tx1"/>
            </w14:solidFill>
          </w14:textFill>
        </w:rPr>
        <w:t>所有分歧均通过 “数据支撑 + 行业共识” 解决，无重大意见分歧。</w:t>
      </w:r>
    </w:p>
    <w:p w14:paraId="5A54F6B1">
      <w:pPr>
        <w:pStyle w:val="27"/>
        <w:spacing w:before="326" w:beforeLines="100" w:after="326" w:afterLines="100"/>
        <w:rPr>
          <w:rFonts w:ascii="Times New Roman"/>
          <w:color w:val="000000" w:themeColor="text1"/>
          <w:sz w:val="28"/>
          <w:szCs w:val="28"/>
          <w14:textFill>
            <w14:solidFill>
              <w14:schemeClr w14:val="tx1"/>
            </w14:solidFill>
          </w14:textFill>
        </w:rPr>
      </w:pPr>
      <w:bookmarkStart w:id="26" w:name="_Toc108389272"/>
      <w:r>
        <w:rPr>
          <w:rFonts w:ascii="Times New Roman"/>
          <w:color w:val="000000" w:themeColor="text1"/>
          <w:sz w:val="28"/>
          <w:szCs w:val="28"/>
          <w14:textFill>
            <w14:solidFill>
              <w14:schemeClr w14:val="tx1"/>
            </w14:solidFill>
          </w14:textFill>
        </w:rPr>
        <w:t xml:space="preserve">9 </w:t>
      </w:r>
      <w:r>
        <w:rPr>
          <w:rFonts w:hint="eastAsia" w:ascii="Times New Roman"/>
          <w:color w:val="000000" w:themeColor="text1"/>
          <w:sz w:val="28"/>
          <w:szCs w:val="28"/>
          <w14:textFill>
            <w14:solidFill>
              <w14:schemeClr w14:val="tx1"/>
            </w14:solidFill>
          </w14:textFill>
        </w:rPr>
        <w:t>标准性质的建议说明</w:t>
      </w:r>
      <w:bookmarkEnd w:id="26"/>
    </w:p>
    <w:p w14:paraId="1C409677">
      <w:pPr>
        <w:spacing w:line="360" w:lineRule="auto"/>
        <w:ind w:firstLine="480" w:firstLineChars="200"/>
        <w:jc w:val="both"/>
        <w:rPr>
          <w:rFonts w:eastAsiaTheme="minorEastAsia"/>
          <w:color w:val="000000" w:themeColor="text1"/>
          <w:szCs w:val="28"/>
          <w14:textFill>
            <w14:solidFill>
              <w14:schemeClr w14:val="tx1"/>
            </w14:solidFill>
          </w14:textFill>
        </w:rPr>
      </w:pPr>
      <w:r>
        <w:rPr>
          <w:rFonts w:hint="eastAsia" w:eastAsiaTheme="minorEastAsia"/>
          <w:color w:val="000000" w:themeColor="text1"/>
          <w:szCs w:val="28"/>
          <w14:textFill>
            <w14:solidFill>
              <w14:schemeClr w14:val="tx1"/>
            </w14:solidFill>
          </w14:textFill>
        </w:rPr>
        <w:t>建议本标准为推荐性，发布后立即实施。</w:t>
      </w:r>
    </w:p>
    <w:p w14:paraId="60A57F55">
      <w:pPr>
        <w:pStyle w:val="27"/>
        <w:spacing w:before="326" w:beforeLines="100" w:after="326" w:afterLines="100"/>
        <w:rPr>
          <w:rFonts w:ascii="Times New Roman"/>
          <w:color w:val="000000" w:themeColor="text1"/>
          <w:sz w:val="28"/>
          <w:szCs w:val="28"/>
          <w14:textFill>
            <w14:solidFill>
              <w14:schemeClr w14:val="tx1"/>
            </w14:solidFill>
          </w14:textFill>
        </w:rPr>
      </w:pPr>
      <w:bookmarkStart w:id="27" w:name="_Toc108389273"/>
      <w:r>
        <w:rPr>
          <w:rFonts w:hint="eastAsia" w:ascii="Times New Roman"/>
          <w:color w:val="000000" w:themeColor="text1"/>
          <w:sz w:val="28"/>
          <w:szCs w:val="28"/>
          <w14:textFill>
            <w14:solidFill>
              <w14:schemeClr w14:val="tx1"/>
            </w14:solidFill>
          </w14:textFill>
        </w:rPr>
        <w:t>1</w:t>
      </w:r>
      <w:r>
        <w:rPr>
          <w:rFonts w:ascii="Times New Roman"/>
          <w:color w:val="000000" w:themeColor="text1"/>
          <w:sz w:val="28"/>
          <w:szCs w:val="28"/>
          <w14:textFill>
            <w14:solidFill>
              <w14:schemeClr w14:val="tx1"/>
            </w14:solidFill>
          </w14:textFill>
        </w:rPr>
        <w:t>0 贯彻标准的措施建议</w:t>
      </w:r>
      <w:bookmarkEnd w:id="27"/>
    </w:p>
    <w:p w14:paraId="5DCB3E89">
      <w:pPr>
        <w:spacing w:line="360" w:lineRule="auto"/>
        <w:ind w:firstLine="480" w:firstLineChars="200"/>
        <w:jc w:val="both"/>
        <w:rPr>
          <w:rFonts w:hint="eastAsia" w:eastAsiaTheme="minorEastAsia"/>
          <w:color w:val="000000" w:themeColor="text1"/>
          <w:szCs w:val="28"/>
          <w14:textFill>
            <w14:solidFill>
              <w14:schemeClr w14:val="tx1"/>
            </w14:solidFill>
          </w14:textFill>
        </w:rPr>
      </w:pPr>
      <w:bookmarkStart w:id="28" w:name="_Toc108389274"/>
      <w:r>
        <w:rPr>
          <w:rFonts w:hint="eastAsia" w:eastAsiaTheme="minorEastAsia"/>
          <w:color w:val="000000" w:themeColor="text1"/>
          <w:szCs w:val="28"/>
          <w:lang w:eastAsia="zh-CN"/>
          <w14:textFill>
            <w14:solidFill>
              <w14:schemeClr w14:val="tx1"/>
            </w14:solidFill>
          </w14:textFill>
        </w:rPr>
        <w:t>（</w:t>
      </w:r>
      <w:r>
        <w:rPr>
          <w:rFonts w:hint="eastAsia" w:eastAsiaTheme="minorEastAsia"/>
          <w:color w:val="000000" w:themeColor="text1"/>
          <w:szCs w:val="28"/>
          <w:lang w:val="en-US" w:eastAsia="zh-CN"/>
          <w14:textFill>
            <w14:solidFill>
              <w14:schemeClr w14:val="tx1"/>
            </w14:solidFill>
          </w14:textFill>
        </w:rPr>
        <w:t>1</w:t>
      </w:r>
      <w:r>
        <w:rPr>
          <w:rFonts w:hint="eastAsia" w:eastAsiaTheme="minorEastAsia"/>
          <w:color w:val="000000" w:themeColor="text1"/>
          <w:szCs w:val="28"/>
          <w:lang w:eastAsia="zh-CN"/>
          <w14:textFill>
            <w14:solidFill>
              <w14:schemeClr w14:val="tx1"/>
            </w14:solidFill>
          </w14:textFill>
        </w:rPr>
        <w:t>）</w:t>
      </w:r>
      <w:r>
        <w:rPr>
          <w:rFonts w:hint="eastAsia" w:eastAsiaTheme="minorEastAsia"/>
          <w:color w:val="000000" w:themeColor="text1"/>
          <w:szCs w:val="28"/>
          <w14:textFill>
            <w14:solidFill>
              <w14:schemeClr w14:val="tx1"/>
            </w14:solidFill>
          </w14:textFill>
        </w:rPr>
        <w:t>宣贯培训：由归口单位组织 “标准宣贯会”，覆盖生产企业、检测机构、施工单位，解读核心指标（如可焊性、耐光老化）及试验方法，发放培训教材；</w:t>
      </w:r>
    </w:p>
    <w:p w14:paraId="5A502C07">
      <w:pPr>
        <w:spacing w:line="360" w:lineRule="auto"/>
        <w:ind w:firstLine="480" w:firstLineChars="200"/>
        <w:jc w:val="both"/>
        <w:rPr>
          <w:rFonts w:hint="eastAsia" w:eastAsiaTheme="minorEastAsia"/>
          <w:color w:val="000000" w:themeColor="text1"/>
          <w:szCs w:val="28"/>
          <w14:textFill>
            <w14:solidFill>
              <w14:schemeClr w14:val="tx1"/>
            </w14:solidFill>
          </w14:textFill>
        </w:rPr>
      </w:pPr>
      <w:r>
        <w:rPr>
          <w:rFonts w:hint="eastAsia" w:eastAsiaTheme="minorEastAsia"/>
          <w:color w:val="000000" w:themeColor="text1"/>
          <w:szCs w:val="28"/>
          <w:lang w:eastAsia="zh-CN"/>
          <w14:textFill>
            <w14:solidFill>
              <w14:schemeClr w14:val="tx1"/>
            </w14:solidFill>
          </w14:textFill>
        </w:rPr>
        <w:t>（</w:t>
      </w:r>
      <w:r>
        <w:rPr>
          <w:rFonts w:hint="eastAsia" w:eastAsiaTheme="minorEastAsia"/>
          <w:color w:val="000000" w:themeColor="text1"/>
          <w:szCs w:val="28"/>
          <w:lang w:val="en-US" w:eastAsia="zh-CN"/>
          <w14:textFill>
            <w14:solidFill>
              <w14:schemeClr w14:val="tx1"/>
            </w14:solidFill>
          </w14:textFill>
        </w:rPr>
        <w:t>2</w:t>
      </w:r>
      <w:r>
        <w:rPr>
          <w:rFonts w:hint="eastAsia" w:eastAsiaTheme="minorEastAsia"/>
          <w:color w:val="000000" w:themeColor="text1"/>
          <w:szCs w:val="28"/>
          <w:lang w:eastAsia="zh-CN"/>
          <w14:textFill>
            <w14:solidFill>
              <w14:schemeClr w14:val="tx1"/>
            </w14:solidFill>
          </w14:textFill>
        </w:rPr>
        <w:t>）</w:t>
      </w:r>
      <w:r>
        <w:rPr>
          <w:rFonts w:hint="eastAsia" w:eastAsiaTheme="minorEastAsia"/>
          <w:color w:val="000000" w:themeColor="text1"/>
          <w:szCs w:val="28"/>
          <w14:textFill>
            <w14:solidFill>
              <w14:schemeClr w14:val="tx1"/>
            </w14:solidFill>
          </w14:textFill>
        </w:rPr>
        <w:t>企业对标：鼓励企业制定 “标准实施计划”，完善检测设备，对生产工艺进行优化（如 ETFE 软膜抗紫外线改性）；</w:t>
      </w:r>
    </w:p>
    <w:p w14:paraId="60280A3E">
      <w:pPr>
        <w:spacing w:line="360" w:lineRule="auto"/>
        <w:ind w:firstLine="480" w:firstLineChars="200"/>
        <w:jc w:val="both"/>
        <w:rPr>
          <w:rFonts w:hint="eastAsia" w:eastAsiaTheme="minorEastAsia"/>
          <w:color w:val="000000" w:themeColor="text1"/>
          <w:szCs w:val="28"/>
          <w14:textFill>
            <w14:solidFill>
              <w14:schemeClr w14:val="tx1"/>
            </w14:solidFill>
          </w14:textFill>
        </w:rPr>
      </w:pPr>
      <w:r>
        <w:rPr>
          <w:rFonts w:hint="eastAsia" w:eastAsiaTheme="minorEastAsia"/>
          <w:color w:val="000000" w:themeColor="text1"/>
          <w:szCs w:val="28"/>
          <w:lang w:eastAsia="zh-CN"/>
          <w14:textFill>
            <w14:solidFill>
              <w14:schemeClr w14:val="tx1"/>
            </w14:solidFill>
          </w14:textFill>
        </w:rPr>
        <w:t>（</w:t>
      </w:r>
      <w:r>
        <w:rPr>
          <w:rFonts w:hint="eastAsia" w:eastAsiaTheme="minorEastAsia"/>
          <w:color w:val="000000" w:themeColor="text1"/>
          <w:szCs w:val="28"/>
          <w:lang w:val="en-US" w:eastAsia="zh-CN"/>
          <w14:textFill>
            <w14:solidFill>
              <w14:schemeClr w14:val="tx1"/>
            </w14:solidFill>
          </w14:textFill>
        </w:rPr>
        <w:t>3</w:t>
      </w:r>
      <w:r>
        <w:rPr>
          <w:rFonts w:hint="eastAsia" w:eastAsiaTheme="minorEastAsia"/>
          <w:color w:val="000000" w:themeColor="text1"/>
          <w:szCs w:val="28"/>
          <w:lang w:eastAsia="zh-CN"/>
          <w14:textFill>
            <w14:solidFill>
              <w14:schemeClr w14:val="tx1"/>
            </w14:solidFill>
          </w14:textFill>
        </w:rPr>
        <w:t>）</w:t>
      </w:r>
      <w:r>
        <w:rPr>
          <w:rFonts w:hint="eastAsia" w:eastAsiaTheme="minorEastAsia"/>
          <w:color w:val="000000" w:themeColor="text1"/>
          <w:szCs w:val="28"/>
          <w14:textFill>
            <w14:solidFill>
              <w14:schemeClr w14:val="tx1"/>
            </w14:solidFill>
          </w14:textFill>
        </w:rPr>
        <w:t>监督引导：市场监管部门将标准纳入 “产品质量监督抽查” 范围，重点检查 “燃烧性能”“有害物质限量” 等安全指标；行业协会发布 “达标企业名录”，引导下游用户选用合规产品；</w:t>
      </w:r>
    </w:p>
    <w:p w14:paraId="494743D6">
      <w:pPr>
        <w:spacing w:line="360" w:lineRule="auto"/>
        <w:ind w:firstLine="480" w:firstLineChars="200"/>
        <w:jc w:val="both"/>
        <w:rPr>
          <w:rFonts w:hint="eastAsia" w:eastAsiaTheme="minorEastAsia"/>
          <w:color w:val="000000" w:themeColor="text1"/>
          <w:szCs w:val="28"/>
          <w14:textFill>
            <w14:solidFill>
              <w14:schemeClr w14:val="tx1"/>
            </w14:solidFill>
          </w14:textFill>
        </w:rPr>
      </w:pPr>
      <w:r>
        <w:rPr>
          <w:rFonts w:hint="eastAsia" w:eastAsiaTheme="minorEastAsia"/>
          <w:color w:val="000000" w:themeColor="text1"/>
          <w:szCs w:val="28"/>
          <w:lang w:eastAsia="zh-CN"/>
          <w14:textFill>
            <w14:solidFill>
              <w14:schemeClr w14:val="tx1"/>
            </w14:solidFill>
          </w14:textFill>
        </w:rPr>
        <w:t>（</w:t>
      </w:r>
      <w:r>
        <w:rPr>
          <w:rFonts w:hint="eastAsia" w:eastAsiaTheme="minorEastAsia"/>
          <w:color w:val="000000" w:themeColor="text1"/>
          <w:szCs w:val="28"/>
          <w:lang w:val="en-US" w:eastAsia="zh-CN"/>
          <w14:textFill>
            <w14:solidFill>
              <w14:schemeClr w14:val="tx1"/>
            </w14:solidFill>
          </w14:textFill>
        </w:rPr>
        <w:t>4</w:t>
      </w:r>
      <w:r>
        <w:rPr>
          <w:rFonts w:hint="eastAsia" w:eastAsiaTheme="minorEastAsia"/>
          <w:color w:val="000000" w:themeColor="text1"/>
          <w:szCs w:val="28"/>
          <w:lang w:eastAsia="zh-CN"/>
          <w14:textFill>
            <w14:solidFill>
              <w14:schemeClr w14:val="tx1"/>
            </w14:solidFill>
          </w14:textFill>
        </w:rPr>
        <w:t>）</w:t>
      </w:r>
      <w:r>
        <w:rPr>
          <w:rFonts w:hint="eastAsia" w:eastAsiaTheme="minorEastAsia"/>
          <w:color w:val="000000" w:themeColor="text1"/>
          <w:szCs w:val="28"/>
          <w14:textFill>
            <w14:solidFill>
              <w14:schemeClr w14:val="tx1"/>
            </w14:solidFill>
          </w14:textFill>
        </w:rPr>
        <w:t>配套文件：编制《</w:t>
      </w:r>
      <w:r>
        <w:rPr>
          <w:rFonts w:hint="eastAsia" w:eastAsiaTheme="minorEastAsia"/>
          <w:color w:val="000000" w:themeColor="text1"/>
          <w:szCs w:val="28"/>
          <w:lang w:eastAsia="zh-CN"/>
          <w14:textFill>
            <w14:solidFill>
              <w14:schemeClr w14:val="tx1"/>
            </w14:solidFill>
          </w14:textFill>
        </w:rPr>
        <w:t>〈</w:t>
      </w:r>
      <w:r>
        <w:rPr>
          <w:rFonts w:hint="eastAsia" w:eastAsiaTheme="minorEastAsia"/>
          <w:color w:val="000000" w:themeColor="text1"/>
          <w:szCs w:val="28"/>
          <w14:textFill>
            <w14:solidFill>
              <w14:schemeClr w14:val="tx1"/>
            </w14:solidFill>
          </w14:textFill>
        </w:rPr>
        <w:t>装饰装修用软膜天花</w:t>
      </w:r>
      <w:r>
        <w:rPr>
          <w:rFonts w:hint="eastAsia" w:eastAsiaTheme="minorEastAsia"/>
          <w:color w:val="000000" w:themeColor="text1"/>
          <w:szCs w:val="28"/>
          <w:lang w:eastAsia="zh-CN"/>
          <w14:textFill>
            <w14:solidFill>
              <w14:schemeClr w14:val="tx1"/>
            </w14:solidFill>
          </w14:textFill>
        </w:rPr>
        <w:t>〉</w:t>
      </w:r>
      <w:r>
        <w:rPr>
          <w:rFonts w:hint="eastAsia" w:eastAsiaTheme="minorEastAsia"/>
          <w:color w:val="000000" w:themeColor="text1"/>
          <w:szCs w:val="28"/>
          <w14:textFill>
            <w14:solidFill>
              <w14:schemeClr w14:val="tx1"/>
            </w14:solidFill>
          </w14:textFill>
        </w:rPr>
        <w:t xml:space="preserve"> 标准实施指南》，提供选型示例、</w:t>
      </w:r>
      <w:r>
        <w:rPr>
          <w:rFonts w:hint="eastAsia" w:eastAsiaTheme="minorEastAsia"/>
          <w:color w:val="000000" w:themeColor="text1"/>
          <w:szCs w:val="28"/>
          <w:lang w:val="en-US" w:eastAsia="zh-CN"/>
          <w14:textFill>
            <w14:solidFill>
              <w14:schemeClr w14:val="tx1"/>
            </w14:solidFill>
          </w14:textFill>
        </w:rPr>
        <w:t>使用</w:t>
      </w:r>
      <w:r>
        <w:rPr>
          <w:rFonts w:hint="eastAsia" w:eastAsiaTheme="minorEastAsia"/>
          <w:color w:val="000000" w:themeColor="text1"/>
          <w:szCs w:val="28"/>
          <w14:textFill>
            <w14:solidFill>
              <w14:schemeClr w14:val="tx1"/>
            </w14:solidFill>
          </w14:textFill>
        </w:rPr>
        <w:t>注意事项</w:t>
      </w:r>
      <w:r>
        <w:rPr>
          <w:rFonts w:hint="eastAsia" w:eastAsiaTheme="minorEastAsia"/>
          <w:color w:val="000000" w:themeColor="text1"/>
          <w:szCs w:val="28"/>
          <w:lang w:val="en-US" w:eastAsia="zh-CN"/>
          <w14:textFill>
            <w14:solidFill>
              <w14:schemeClr w14:val="tx1"/>
            </w14:solidFill>
          </w14:textFill>
        </w:rPr>
        <w:t>等</w:t>
      </w:r>
      <w:r>
        <w:rPr>
          <w:rFonts w:hint="eastAsia" w:eastAsiaTheme="minorEastAsia"/>
          <w:color w:val="000000" w:themeColor="text1"/>
          <w:szCs w:val="28"/>
          <w14:textFill>
            <w14:solidFill>
              <w14:schemeClr w14:val="tx1"/>
            </w14:solidFill>
          </w14:textFill>
        </w:rPr>
        <w:t>，助力标准落地</w:t>
      </w:r>
      <w:r>
        <w:rPr>
          <w:rFonts w:hint="eastAsia" w:eastAsiaTheme="minorEastAsia"/>
          <w:color w:val="000000" w:themeColor="text1"/>
          <w:szCs w:val="28"/>
          <w:lang w:eastAsia="zh-CN"/>
          <w14:textFill>
            <w14:solidFill>
              <w14:schemeClr w14:val="tx1"/>
            </w14:solidFill>
          </w14:textFill>
        </w:rPr>
        <w:t>；</w:t>
      </w:r>
      <w:r>
        <w:rPr>
          <w:rFonts w:hint="eastAsia" w:eastAsiaTheme="minorEastAsia"/>
          <w:color w:val="000000" w:themeColor="text1"/>
          <w:szCs w:val="28"/>
          <w:lang w:val="en-US" w:eastAsia="zh-CN"/>
          <w14:textFill>
            <w14:solidFill>
              <w14:schemeClr w14:val="tx1"/>
            </w14:solidFill>
          </w14:textFill>
        </w:rPr>
        <w:t>进一步编制《装饰装修软膜应用标准》，规范软膜工程设计、安装和质量验收等要求，保障产品工程落地质量</w:t>
      </w:r>
      <w:r>
        <w:rPr>
          <w:rFonts w:hint="eastAsia" w:eastAsiaTheme="minorEastAsia"/>
          <w:color w:val="000000" w:themeColor="text1"/>
          <w:szCs w:val="28"/>
          <w14:textFill>
            <w14:solidFill>
              <w14:schemeClr w14:val="tx1"/>
            </w14:solidFill>
          </w14:textFill>
        </w:rPr>
        <w:t>。</w:t>
      </w:r>
    </w:p>
    <w:p w14:paraId="0FE3AF55">
      <w:pPr>
        <w:pStyle w:val="27"/>
        <w:spacing w:before="326" w:beforeLines="100" w:after="326" w:afterLines="100"/>
        <w:rPr>
          <w:rFonts w:ascii="Times New Roman"/>
          <w:color w:val="000000" w:themeColor="text1"/>
          <w:sz w:val="28"/>
          <w:szCs w:val="28"/>
          <w14:textFill>
            <w14:solidFill>
              <w14:schemeClr w14:val="tx1"/>
            </w14:solidFill>
          </w14:textFill>
        </w:rPr>
      </w:pPr>
      <w:r>
        <w:rPr>
          <w:rFonts w:ascii="Times New Roman"/>
          <w:color w:val="000000" w:themeColor="text1"/>
          <w:sz w:val="28"/>
          <w:szCs w:val="28"/>
          <w14:textFill>
            <w14:solidFill>
              <w14:schemeClr w14:val="tx1"/>
            </w14:solidFill>
          </w14:textFill>
        </w:rPr>
        <w:t>11 废止现行有关标准的建议</w:t>
      </w:r>
      <w:bookmarkEnd w:id="28"/>
    </w:p>
    <w:p w14:paraId="2CCA1498">
      <w:pPr>
        <w:spacing w:line="360" w:lineRule="auto"/>
        <w:ind w:firstLine="480"/>
        <w:jc w:val="both"/>
        <w:rPr>
          <w:rFonts w:eastAsiaTheme="minorEastAsia"/>
          <w:color w:val="000000" w:themeColor="text1"/>
          <w:szCs w:val="28"/>
          <w14:textFill>
            <w14:solidFill>
              <w14:schemeClr w14:val="tx1"/>
            </w14:solidFill>
          </w14:textFill>
        </w:rPr>
      </w:pPr>
      <w:r>
        <w:rPr>
          <w:rFonts w:eastAsiaTheme="minorEastAsia"/>
          <w:color w:val="000000" w:themeColor="text1"/>
          <w:szCs w:val="28"/>
          <w14:textFill>
            <w14:solidFill>
              <w14:schemeClr w14:val="tx1"/>
            </w14:solidFill>
          </w14:textFill>
        </w:rPr>
        <w:t>无。</w:t>
      </w:r>
    </w:p>
    <w:p w14:paraId="5F84C4FD">
      <w:pPr>
        <w:pStyle w:val="27"/>
        <w:spacing w:before="326" w:beforeLines="100" w:after="326" w:afterLines="100"/>
        <w:rPr>
          <w:rFonts w:ascii="Times New Roman"/>
          <w:color w:val="000000" w:themeColor="text1"/>
          <w:sz w:val="28"/>
          <w:szCs w:val="28"/>
          <w14:textFill>
            <w14:solidFill>
              <w14:schemeClr w14:val="tx1"/>
            </w14:solidFill>
          </w14:textFill>
        </w:rPr>
      </w:pPr>
      <w:bookmarkStart w:id="29" w:name="_Toc108389275"/>
      <w:r>
        <w:rPr>
          <w:rFonts w:ascii="Times New Roman"/>
          <w:color w:val="000000" w:themeColor="text1"/>
          <w:sz w:val="28"/>
          <w:szCs w:val="28"/>
          <w14:textFill>
            <w14:solidFill>
              <w14:schemeClr w14:val="tx1"/>
            </w14:solidFill>
          </w14:textFill>
        </w:rPr>
        <w:t>12 其他应说明的事项</w:t>
      </w:r>
      <w:bookmarkEnd w:id="29"/>
    </w:p>
    <w:p w14:paraId="0385F97A">
      <w:pPr>
        <w:spacing w:line="360" w:lineRule="auto"/>
        <w:ind w:firstLine="495"/>
        <w:jc w:val="both"/>
        <w:rPr>
          <w:rFonts w:eastAsiaTheme="minorEastAsia"/>
          <w:color w:val="000000" w:themeColor="text1"/>
          <w:szCs w:val="28"/>
          <w14:textFill>
            <w14:solidFill>
              <w14:schemeClr w14:val="tx1"/>
            </w14:solidFill>
          </w14:textFill>
        </w:rPr>
      </w:pPr>
      <w:r>
        <w:rPr>
          <w:rFonts w:eastAsiaTheme="minorEastAsia"/>
          <w:color w:val="000000" w:themeColor="text1"/>
          <w:szCs w:val="28"/>
          <w14:textFill>
            <w14:solidFill>
              <w14:schemeClr w14:val="tx1"/>
            </w14:solidFill>
          </w14:textFill>
        </w:rPr>
        <w:t>无。</w:t>
      </w:r>
    </w:p>
    <w:sectPr>
      <w:footerReference r:id="rId3" w:type="default"/>
      <w:pgSz w:w="11906" w:h="16838"/>
      <w:pgMar w:top="1134" w:right="1134" w:bottom="1134" w:left="1304"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方正小标宋简体">
    <w:altName w:val="方正舒体"/>
    <w:panose1 w:val="02010601030101010101"/>
    <w:charset w:val="86"/>
    <w:family w:val="auto"/>
    <w:pitch w:val="default"/>
    <w:sig w:usb0="00000000" w:usb1="00000000" w:usb2="00000010" w:usb3="00000000" w:csb0="00040000"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C02AC2">
    <w:pPr>
      <w:pStyle w:val="12"/>
      <w:jc w:val="right"/>
    </w:pPr>
    <w:r>
      <w:fldChar w:fldCharType="begin"/>
    </w:r>
    <w:r>
      <w:instrText xml:space="preserve"> PAGE   \* MERGEFORMAT </w:instrText>
    </w:r>
    <w:r>
      <w:fldChar w:fldCharType="separate"/>
    </w:r>
    <w:r>
      <w:rPr>
        <w:lang w:val="zh-CN"/>
      </w:rPr>
      <w:t>29</w:t>
    </w:r>
    <w:r>
      <w:rPr>
        <w:lang w:val="zh-CN"/>
      </w:rPr>
      <w:fldChar w:fldCharType="end"/>
    </w:r>
  </w:p>
  <w:p w14:paraId="6335100B">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B7D84A"/>
    <w:multiLevelType w:val="singleLevel"/>
    <w:tmpl w:val="9BB7D84A"/>
    <w:lvl w:ilvl="0" w:tentative="0">
      <w:start w:val="1"/>
      <w:numFmt w:val="decimal"/>
      <w:lvlText w:val="%1)"/>
      <w:lvlJc w:val="left"/>
      <w:pPr>
        <w:ind w:left="425" w:hanging="425"/>
      </w:pPr>
      <w:rPr>
        <w:rFonts w:hint="default"/>
      </w:rPr>
    </w:lvl>
  </w:abstractNum>
  <w:abstractNum w:abstractNumId="1">
    <w:nsid w:val="BC2ACFE6"/>
    <w:multiLevelType w:val="singleLevel"/>
    <w:tmpl w:val="BC2ACFE6"/>
    <w:lvl w:ilvl="0" w:tentative="0">
      <w:start w:val="1"/>
      <w:numFmt w:val="decimalEnclosedCircleChinese"/>
      <w:suff w:val="nothing"/>
      <w:lvlText w:val="%1　"/>
      <w:lvlJc w:val="left"/>
      <w:pPr>
        <w:ind w:left="0" w:firstLine="400"/>
      </w:pPr>
      <w:rPr>
        <w:rFonts w:hint="eastAsia"/>
      </w:rPr>
    </w:lvl>
  </w:abstractNum>
  <w:abstractNum w:abstractNumId="2">
    <w:nsid w:val="D3A74080"/>
    <w:multiLevelType w:val="singleLevel"/>
    <w:tmpl w:val="D3A74080"/>
    <w:lvl w:ilvl="0" w:tentative="0">
      <w:start w:val="1"/>
      <w:numFmt w:val="lowerLetter"/>
      <w:lvlText w:val="%1."/>
      <w:lvlJc w:val="left"/>
      <w:pPr>
        <w:ind w:left="425" w:hanging="425"/>
      </w:pPr>
      <w:rPr>
        <w:rFonts w:hint="default"/>
      </w:rPr>
    </w:lvl>
  </w:abstractNum>
  <w:abstractNum w:abstractNumId="3">
    <w:nsid w:val="D685BE49"/>
    <w:multiLevelType w:val="singleLevel"/>
    <w:tmpl w:val="D685BE49"/>
    <w:lvl w:ilvl="0" w:tentative="0">
      <w:start w:val="1"/>
      <w:numFmt w:val="decimal"/>
      <w:suff w:val="nothing"/>
      <w:lvlText w:val="（%1）"/>
      <w:lvlJc w:val="left"/>
      <w:pPr>
        <w:ind w:left="0" w:firstLine="403"/>
      </w:pPr>
      <w:rPr>
        <w:rFonts w:hint="default"/>
      </w:rPr>
    </w:lvl>
  </w:abstractNum>
  <w:abstractNum w:abstractNumId="4">
    <w:nsid w:val="D9BC3823"/>
    <w:multiLevelType w:val="singleLevel"/>
    <w:tmpl w:val="D9BC3823"/>
    <w:lvl w:ilvl="0" w:tentative="0">
      <w:start w:val="1"/>
      <w:numFmt w:val="decimal"/>
      <w:suff w:val="nothing"/>
      <w:lvlText w:val="（%1）"/>
      <w:lvlJc w:val="left"/>
      <w:pPr>
        <w:ind w:left="0" w:firstLine="403"/>
      </w:pPr>
      <w:rPr>
        <w:rFonts w:hint="default"/>
      </w:rPr>
    </w:lvl>
  </w:abstractNum>
  <w:abstractNum w:abstractNumId="5">
    <w:nsid w:val="E7C201D4"/>
    <w:multiLevelType w:val="singleLevel"/>
    <w:tmpl w:val="E7C201D4"/>
    <w:lvl w:ilvl="0" w:tentative="0">
      <w:start w:val="1"/>
      <w:numFmt w:val="decimal"/>
      <w:suff w:val="nothing"/>
      <w:lvlText w:val="（%1）"/>
      <w:lvlJc w:val="left"/>
      <w:pPr>
        <w:ind w:left="0" w:firstLine="403"/>
      </w:pPr>
      <w:rPr>
        <w:rFonts w:hint="default"/>
      </w:rPr>
    </w:lvl>
  </w:abstractNum>
  <w:abstractNum w:abstractNumId="6">
    <w:nsid w:val="F359F6E1"/>
    <w:multiLevelType w:val="singleLevel"/>
    <w:tmpl w:val="F359F6E1"/>
    <w:lvl w:ilvl="0" w:tentative="0">
      <w:start w:val="1"/>
      <w:numFmt w:val="decimal"/>
      <w:lvlText w:val="%1)"/>
      <w:lvlJc w:val="left"/>
      <w:pPr>
        <w:ind w:left="425" w:hanging="425"/>
      </w:pPr>
      <w:rPr>
        <w:rFonts w:hint="default"/>
      </w:rPr>
    </w:lvl>
  </w:abstractNum>
  <w:abstractNum w:abstractNumId="7">
    <w:nsid w:val="F989C7B1"/>
    <w:multiLevelType w:val="singleLevel"/>
    <w:tmpl w:val="F989C7B1"/>
    <w:lvl w:ilvl="0" w:tentative="0">
      <w:start w:val="1"/>
      <w:numFmt w:val="decimal"/>
      <w:lvlText w:val="(%1)"/>
      <w:lvlJc w:val="left"/>
      <w:pPr>
        <w:ind w:left="425" w:hanging="425"/>
      </w:pPr>
      <w:rPr>
        <w:rFonts w:hint="default"/>
      </w:rPr>
    </w:lvl>
  </w:abstractNum>
  <w:abstractNum w:abstractNumId="8">
    <w:nsid w:val="024FC08C"/>
    <w:multiLevelType w:val="singleLevel"/>
    <w:tmpl w:val="024FC08C"/>
    <w:lvl w:ilvl="0" w:tentative="0">
      <w:start w:val="1"/>
      <w:numFmt w:val="decimal"/>
      <w:suff w:val="nothing"/>
      <w:lvlText w:val="（%1）"/>
      <w:lvlJc w:val="left"/>
      <w:pPr>
        <w:ind w:left="0" w:firstLine="403"/>
      </w:pPr>
      <w:rPr>
        <w:rFonts w:hint="default"/>
      </w:rPr>
    </w:lvl>
  </w:abstractNum>
  <w:abstractNum w:abstractNumId="9">
    <w:nsid w:val="0AE367E9"/>
    <w:multiLevelType w:val="multilevel"/>
    <w:tmpl w:val="0AE367E9"/>
    <w:lvl w:ilvl="0" w:tentative="0">
      <w:start w:val="1"/>
      <w:numFmt w:val="none"/>
      <w:pStyle w:val="43"/>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10">
    <w:nsid w:val="1DCB3BFD"/>
    <w:multiLevelType w:val="multilevel"/>
    <w:tmpl w:val="1DCB3BFD"/>
    <w:lvl w:ilvl="0" w:tentative="0">
      <w:start w:val="1"/>
      <w:numFmt w:val="lowerLetter"/>
      <w:pStyle w:val="106"/>
      <w:lvlText w:val="%1）"/>
      <w:lvlJc w:val="left"/>
      <w:pPr>
        <w:tabs>
          <w:tab w:val="left" w:pos="840"/>
        </w:tabs>
        <w:ind w:left="839" w:hanging="419"/>
      </w:pPr>
      <w:rPr>
        <w:rFonts w:hint="eastAsia" w:ascii="宋体" w:eastAsia="宋体"/>
        <w:b w:val="0"/>
        <w:i w:val="0"/>
        <w:sz w:val="21"/>
        <w:szCs w:val="21"/>
      </w:rPr>
    </w:lvl>
    <w:lvl w:ilvl="1" w:tentative="0">
      <w:start w:val="1"/>
      <w:numFmt w:val="decimal"/>
      <w:pStyle w:val="105"/>
      <w:lvlText w:val="%2)"/>
      <w:lvlJc w:val="left"/>
      <w:pPr>
        <w:tabs>
          <w:tab w:val="left" w:pos="1260"/>
        </w:tabs>
        <w:ind w:left="1259" w:hanging="419"/>
      </w:pPr>
      <w:rPr>
        <w:rFonts w:hint="eastAsia"/>
      </w:rPr>
    </w:lvl>
    <w:lvl w:ilvl="2" w:tentative="0">
      <w:start w:val="1"/>
      <w:numFmt w:val="decimal"/>
      <w:pStyle w:val="107"/>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1">
    <w:nsid w:val="1FC91163"/>
    <w:multiLevelType w:val="multilevel"/>
    <w:tmpl w:val="1FC91163"/>
    <w:lvl w:ilvl="0" w:tentative="0">
      <w:start w:val="1"/>
      <w:numFmt w:val="decimal"/>
      <w:suff w:val="nothing"/>
      <w:lvlText w:val="%1　"/>
      <w:lvlJc w:val="left"/>
      <w:pPr>
        <w:ind w:left="710" w:firstLine="0"/>
      </w:pPr>
      <w:rPr>
        <w:rFonts w:hint="eastAsia" w:ascii="黑体" w:hAnsi="Times New Roman" w:eastAsia="黑体"/>
        <w:b w:val="0"/>
        <w:i w:val="0"/>
        <w:sz w:val="21"/>
        <w:szCs w:val="21"/>
      </w:rPr>
    </w:lvl>
    <w:lvl w:ilvl="1" w:tentative="0">
      <w:start w:val="1"/>
      <w:numFmt w:val="decimal"/>
      <w:suff w:val="nothing"/>
      <w:lvlText w:val="%1.%2　"/>
      <w:lvlJc w:val="left"/>
      <w:pPr>
        <w:ind w:left="1135"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142"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2">
    <w:nsid w:val="44217ECD"/>
    <w:multiLevelType w:val="singleLevel"/>
    <w:tmpl w:val="44217ECD"/>
    <w:lvl w:ilvl="0" w:tentative="0">
      <w:start w:val="1"/>
      <w:numFmt w:val="lowerLetter"/>
      <w:lvlText w:val="%1."/>
      <w:lvlJc w:val="left"/>
      <w:pPr>
        <w:ind w:left="425" w:hanging="425"/>
      </w:pPr>
      <w:rPr>
        <w:rFonts w:hint="default"/>
      </w:rPr>
    </w:lvl>
  </w:abstractNum>
  <w:abstractNum w:abstractNumId="13">
    <w:nsid w:val="515D6C2A"/>
    <w:multiLevelType w:val="singleLevel"/>
    <w:tmpl w:val="515D6C2A"/>
    <w:lvl w:ilvl="0" w:tentative="0">
      <w:start w:val="1"/>
      <w:numFmt w:val="lowerLetter"/>
      <w:lvlText w:val="%1."/>
      <w:lvlJc w:val="left"/>
      <w:pPr>
        <w:ind w:left="425" w:hanging="425"/>
      </w:pPr>
      <w:rPr>
        <w:rFonts w:hint="default"/>
      </w:rPr>
    </w:lvl>
  </w:abstractNum>
  <w:abstractNum w:abstractNumId="14">
    <w:nsid w:val="557C2AF5"/>
    <w:multiLevelType w:val="multilevel"/>
    <w:tmpl w:val="557C2AF5"/>
    <w:lvl w:ilvl="0" w:tentative="0">
      <w:start w:val="1"/>
      <w:numFmt w:val="decimal"/>
      <w:pStyle w:val="46"/>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5">
    <w:nsid w:val="646260FA"/>
    <w:multiLevelType w:val="multilevel"/>
    <w:tmpl w:val="646260FA"/>
    <w:lvl w:ilvl="0" w:tentative="0">
      <w:start w:val="1"/>
      <w:numFmt w:val="decimal"/>
      <w:pStyle w:val="45"/>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6">
    <w:nsid w:val="657D3FBC"/>
    <w:multiLevelType w:val="multilevel"/>
    <w:tmpl w:val="657D3FBC"/>
    <w:lvl w:ilvl="0" w:tentative="0">
      <w:start w:val="1"/>
      <w:numFmt w:val="upperLetter"/>
      <w:pStyle w:val="108"/>
      <w:suff w:val="nothing"/>
      <w:lvlText w:val="附录%1"/>
      <w:lvlJc w:val="left"/>
      <w:pPr>
        <w:ind w:left="0" w:firstLine="0"/>
      </w:pPr>
      <w:rPr>
        <w:rFonts w:hint="eastAsia"/>
        <w:spacing w:val="100"/>
      </w:rPr>
    </w:lvl>
    <w:lvl w:ilvl="1" w:tentative="0">
      <w:start w:val="1"/>
      <w:numFmt w:val="decimal"/>
      <w:pStyle w:val="109"/>
      <w:suff w:val="nothing"/>
      <w:lvlText w:val="%1.%2　"/>
      <w:lvlJc w:val="left"/>
      <w:pPr>
        <w:ind w:left="0" w:firstLine="0"/>
      </w:pPr>
      <w:rPr>
        <w:rFonts w:hint="eastAsia" w:ascii="黑体" w:eastAsia="黑体"/>
        <w:b w:val="0"/>
        <w:i w:val="0"/>
        <w:sz w:val="21"/>
      </w:rPr>
    </w:lvl>
    <w:lvl w:ilvl="2" w:tentative="0">
      <w:start w:val="1"/>
      <w:numFmt w:val="decimal"/>
      <w:pStyle w:val="110"/>
      <w:suff w:val="nothing"/>
      <w:lvlText w:val="%1.%2.%3　"/>
      <w:lvlJc w:val="left"/>
      <w:pPr>
        <w:ind w:left="0" w:firstLine="0"/>
      </w:pPr>
      <w:rPr>
        <w:rFonts w:hint="eastAsia" w:ascii="黑体" w:eastAsia="黑体"/>
        <w:b w:val="0"/>
        <w:i w:val="0"/>
        <w:sz w:val="21"/>
      </w:rPr>
    </w:lvl>
    <w:lvl w:ilvl="3" w:tentative="0">
      <w:start w:val="1"/>
      <w:numFmt w:val="decimal"/>
      <w:pStyle w:val="111"/>
      <w:suff w:val="nothing"/>
      <w:lvlText w:val="%1.%2.%3.%4　"/>
      <w:lvlJc w:val="left"/>
      <w:pPr>
        <w:ind w:left="0" w:firstLine="0"/>
      </w:pPr>
      <w:rPr>
        <w:rFonts w:hint="eastAsia" w:ascii="黑体" w:eastAsia="黑体"/>
        <w:b w:val="0"/>
        <w:i w:val="0"/>
        <w:sz w:val="21"/>
      </w:rPr>
    </w:lvl>
    <w:lvl w:ilvl="4" w:tentative="0">
      <w:start w:val="1"/>
      <w:numFmt w:val="decimal"/>
      <w:pStyle w:val="112"/>
      <w:suff w:val="nothing"/>
      <w:lvlText w:val="%1.%2.%3.%4.%5　"/>
      <w:lvlJc w:val="left"/>
      <w:pPr>
        <w:ind w:left="0" w:firstLine="0"/>
      </w:pPr>
      <w:rPr>
        <w:rFonts w:hint="eastAsia" w:ascii="黑体" w:eastAsia="黑体"/>
        <w:b w:val="0"/>
        <w:i w:val="0"/>
        <w:sz w:val="21"/>
      </w:rPr>
    </w:lvl>
    <w:lvl w:ilvl="5" w:tentative="0">
      <w:start w:val="1"/>
      <w:numFmt w:val="decimal"/>
      <w:pStyle w:val="113"/>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num w:numId="1">
    <w:abstractNumId w:val="9"/>
  </w:num>
  <w:num w:numId="2">
    <w:abstractNumId w:val="15"/>
  </w:num>
  <w:num w:numId="3">
    <w:abstractNumId w:val="14"/>
  </w:num>
  <w:num w:numId="4">
    <w:abstractNumId w:val="10"/>
  </w:num>
  <w:num w:numId="5">
    <w:abstractNumId w:val="16"/>
  </w:num>
  <w:num w:numId="6">
    <w:abstractNumId w:val="11"/>
  </w:num>
  <w:num w:numId="7">
    <w:abstractNumId w:val="4"/>
  </w:num>
  <w:num w:numId="8">
    <w:abstractNumId w:val="7"/>
  </w:num>
  <w:num w:numId="9">
    <w:abstractNumId w:val="5"/>
  </w:num>
  <w:num w:numId="10">
    <w:abstractNumId w:val="3"/>
  </w:num>
  <w:num w:numId="11">
    <w:abstractNumId w:val="8"/>
  </w:num>
  <w:num w:numId="12">
    <w:abstractNumId w:val="6"/>
  </w:num>
  <w:num w:numId="13">
    <w:abstractNumId w:val="13"/>
  </w:num>
  <w:num w:numId="14">
    <w:abstractNumId w:val="2"/>
  </w:num>
  <w:num w:numId="15">
    <w:abstractNumId w:val="12"/>
  </w:num>
  <w:num w:numId="16">
    <w:abstractNumId w:val="0"/>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bordersDoNotSurroundHeader w:val="1"/>
  <w:bordersDoNotSurroundFooter w:val="1"/>
  <w:documentProtection w:enforcement="0"/>
  <w:defaultTabStop w:val="420"/>
  <w:drawingGridHorizontalSpacing w:val="120"/>
  <w:drawingGridVerticalSpacing w:val="163"/>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3E0F"/>
    <w:rsid w:val="000001E5"/>
    <w:rsid w:val="000007AC"/>
    <w:rsid w:val="00000A35"/>
    <w:rsid w:val="0000141D"/>
    <w:rsid w:val="000022B1"/>
    <w:rsid w:val="00003AFF"/>
    <w:rsid w:val="0001042F"/>
    <w:rsid w:val="00010A8B"/>
    <w:rsid w:val="000129F4"/>
    <w:rsid w:val="00013B79"/>
    <w:rsid w:val="00015A6C"/>
    <w:rsid w:val="000166C4"/>
    <w:rsid w:val="00017084"/>
    <w:rsid w:val="00017C80"/>
    <w:rsid w:val="00020415"/>
    <w:rsid w:val="00024525"/>
    <w:rsid w:val="00025B48"/>
    <w:rsid w:val="000269F6"/>
    <w:rsid w:val="00027763"/>
    <w:rsid w:val="00030247"/>
    <w:rsid w:val="0003190D"/>
    <w:rsid w:val="00031DAF"/>
    <w:rsid w:val="00033768"/>
    <w:rsid w:val="00033ECC"/>
    <w:rsid w:val="00034BDB"/>
    <w:rsid w:val="000354EE"/>
    <w:rsid w:val="00037C38"/>
    <w:rsid w:val="0004092A"/>
    <w:rsid w:val="00040A03"/>
    <w:rsid w:val="000434B8"/>
    <w:rsid w:val="000455BE"/>
    <w:rsid w:val="00045870"/>
    <w:rsid w:val="00045E4A"/>
    <w:rsid w:val="0005158F"/>
    <w:rsid w:val="0005301A"/>
    <w:rsid w:val="00056209"/>
    <w:rsid w:val="00056E5B"/>
    <w:rsid w:val="00056E94"/>
    <w:rsid w:val="000618F5"/>
    <w:rsid w:val="00062D78"/>
    <w:rsid w:val="00062F18"/>
    <w:rsid w:val="00063AB8"/>
    <w:rsid w:val="000658C5"/>
    <w:rsid w:val="00071468"/>
    <w:rsid w:val="00071497"/>
    <w:rsid w:val="00072999"/>
    <w:rsid w:val="00076334"/>
    <w:rsid w:val="00076DC9"/>
    <w:rsid w:val="00076E00"/>
    <w:rsid w:val="00077386"/>
    <w:rsid w:val="0008016C"/>
    <w:rsid w:val="000819C0"/>
    <w:rsid w:val="00081DC3"/>
    <w:rsid w:val="000821A1"/>
    <w:rsid w:val="00082BD1"/>
    <w:rsid w:val="00083D72"/>
    <w:rsid w:val="000844C5"/>
    <w:rsid w:val="00084FF3"/>
    <w:rsid w:val="00085FD8"/>
    <w:rsid w:val="0008622A"/>
    <w:rsid w:val="00090AAF"/>
    <w:rsid w:val="00090BB7"/>
    <w:rsid w:val="00091EC0"/>
    <w:rsid w:val="00092504"/>
    <w:rsid w:val="00092B00"/>
    <w:rsid w:val="00092C34"/>
    <w:rsid w:val="000973F8"/>
    <w:rsid w:val="000A2A34"/>
    <w:rsid w:val="000A3998"/>
    <w:rsid w:val="000A4C17"/>
    <w:rsid w:val="000A61FC"/>
    <w:rsid w:val="000A61FE"/>
    <w:rsid w:val="000A7210"/>
    <w:rsid w:val="000B051F"/>
    <w:rsid w:val="000B0A70"/>
    <w:rsid w:val="000B1507"/>
    <w:rsid w:val="000B226A"/>
    <w:rsid w:val="000B4363"/>
    <w:rsid w:val="000B593F"/>
    <w:rsid w:val="000B5D25"/>
    <w:rsid w:val="000C3198"/>
    <w:rsid w:val="000C32D4"/>
    <w:rsid w:val="000C35B5"/>
    <w:rsid w:val="000C53E0"/>
    <w:rsid w:val="000C5E7B"/>
    <w:rsid w:val="000C7B3C"/>
    <w:rsid w:val="000D29F4"/>
    <w:rsid w:val="000D6CF5"/>
    <w:rsid w:val="000E023D"/>
    <w:rsid w:val="000E0AB2"/>
    <w:rsid w:val="000E1B6C"/>
    <w:rsid w:val="000E4AE2"/>
    <w:rsid w:val="000E577F"/>
    <w:rsid w:val="000E6630"/>
    <w:rsid w:val="000F19D8"/>
    <w:rsid w:val="000F1B97"/>
    <w:rsid w:val="000F3C33"/>
    <w:rsid w:val="000F4A3B"/>
    <w:rsid w:val="000F4CE8"/>
    <w:rsid w:val="001018E2"/>
    <w:rsid w:val="0010305D"/>
    <w:rsid w:val="001036AD"/>
    <w:rsid w:val="001040D5"/>
    <w:rsid w:val="001050DA"/>
    <w:rsid w:val="001064D7"/>
    <w:rsid w:val="00111084"/>
    <w:rsid w:val="001117AF"/>
    <w:rsid w:val="00113794"/>
    <w:rsid w:val="00115B5E"/>
    <w:rsid w:val="00117C75"/>
    <w:rsid w:val="00122E38"/>
    <w:rsid w:val="00123381"/>
    <w:rsid w:val="00124C46"/>
    <w:rsid w:val="0012660A"/>
    <w:rsid w:val="00126D94"/>
    <w:rsid w:val="00131914"/>
    <w:rsid w:val="0013245B"/>
    <w:rsid w:val="00134A81"/>
    <w:rsid w:val="00135688"/>
    <w:rsid w:val="00136191"/>
    <w:rsid w:val="00141391"/>
    <w:rsid w:val="00142FAD"/>
    <w:rsid w:val="0014686E"/>
    <w:rsid w:val="00147B81"/>
    <w:rsid w:val="00150ABB"/>
    <w:rsid w:val="001532ED"/>
    <w:rsid w:val="001602C5"/>
    <w:rsid w:val="0016215B"/>
    <w:rsid w:val="001622C0"/>
    <w:rsid w:val="00162784"/>
    <w:rsid w:val="001647BB"/>
    <w:rsid w:val="0016491D"/>
    <w:rsid w:val="00167CE9"/>
    <w:rsid w:val="00173530"/>
    <w:rsid w:val="0017400A"/>
    <w:rsid w:val="00176EFD"/>
    <w:rsid w:val="00177FA6"/>
    <w:rsid w:val="001809AD"/>
    <w:rsid w:val="001818CE"/>
    <w:rsid w:val="00181DCA"/>
    <w:rsid w:val="00182654"/>
    <w:rsid w:val="00182FBA"/>
    <w:rsid w:val="001844FC"/>
    <w:rsid w:val="00184AF2"/>
    <w:rsid w:val="00190A45"/>
    <w:rsid w:val="001922C3"/>
    <w:rsid w:val="00192A5B"/>
    <w:rsid w:val="001966BA"/>
    <w:rsid w:val="001A05C7"/>
    <w:rsid w:val="001A1D91"/>
    <w:rsid w:val="001A344D"/>
    <w:rsid w:val="001A36A9"/>
    <w:rsid w:val="001A7E28"/>
    <w:rsid w:val="001B03ED"/>
    <w:rsid w:val="001B0B72"/>
    <w:rsid w:val="001B145A"/>
    <w:rsid w:val="001B2B09"/>
    <w:rsid w:val="001B3029"/>
    <w:rsid w:val="001B47CF"/>
    <w:rsid w:val="001B6249"/>
    <w:rsid w:val="001B7FB5"/>
    <w:rsid w:val="001C19B4"/>
    <w:rsid w:val="001C209D"/>
    <w:rsid w:val="001C49C9"/>
    <w:rsid w:val="001C5350"/>
    <w:rsid w:val="001C7E50"/>
    <w:rsid w:val="001D0624"/>
    <w:rsid w:val="001D2C4D"/>
    <w:rsid w:val="001D3388"/>
    <w:rsid w:val="001D421B"/>
    <w:rsid w:val="001D466C"/>
    <w:rsid w:val="001D5FEA"/>
    <w:rsid w:val="001D7791"/>
    <w:rsid w:val="001E216C"/>
    <w:rsid w:val="001E2A4B"/>
    <w:rsid w:val="001E2D15"/>
    <w:rsid w:val="001E3871"/>
    <w:rsid w:val="001E56A7"/>
    <w:rsid w:val="001E7665"/>
    <w:rsid w:val="001E7CEE"/>
    <w:rsid w:val="001F0376"/>
    <w:rsid w:val="001F4B34"/>
    <w:rsid w:val="001F7A32"/>
    <w:rsid w:val="00201456"/>
    <w:rsid w:val="00201C5F"/>
    <w:rsid w:val="00205CEE"/>
    <w:rsid w:val="00210503"/>
    <w:rsid w:val="002118AB"/>
    <w:rsid w:val="002126D9"/>
    <w:rsid w:val="00213E30"/>
    <w:rsid w:val="0021604E"/>
    <w:rsid w:val="00217B16"/>
    <w:rsid w:val="002211F8"/>
    <w:rsid w:val="002306B0"/>
    <w:rsid w:val="00233834"/>
    <w:rsid w:val="00234126"/>
    <w:rsid w:val="002348A6"/>
    <w:rsid w:val="00236B80"/>
    <w:rsid w:val="00240F1D"/>
    <w:rsid w:val="002431FA"/>
    <w:rsid w:val="002446E2"/>
    <w:rsid w:val="00247197"/>
    <w:rsid w:val="0025034B"/>
    <w:rsid w:val="00250A16"/>
    <w:rsid w:val="0025217B"/>
    <w:rsid w:val="00254E39"/>
    <w:rsid w:val="00255F9C"/>
    <w:rsid w:val="0026107B"/>
    <w:rsid w:val="00261162"/>
    <w:rsid w:val="00262D99"/>
    <w:rsid w:val="00263789"/>
    <w:rsid w:val="002666A7"/>
    <w:rsid w:val="00266E7D"/>
    <w:rsid w:val="0026725F"/>
    <w:rsid w:val="00275782"/>
    <w:rsid w:val="00275CE1"/>
    <w:rsid w:val="002768F3"/>
    <w:rsid w:val="00277890"/>
    <w:rsid w:val="002813D0"/>
    <w:rsid w:val="00284FE2"/>
    <w:rsid w:val="00285718"/>
    <w:rsid w:val="002863DE"/>
    <w:rsid w:val="00290007"/>
    <w:rsid w:val="00294C50"/>
    <w:rsid w:val="00295D04"/>
    <w:rsid w:val="00296ECE"/>
    <w:rsid w:val="0029709E"/>
    <w:rsid w:val="002978CE"/>
    <w:rsid w:val="002A2585"/>
    <w:rsid w:val="002A2C84"/>
    <w:rsid w:val="002A3520"/>
    <w:rsid w:val="002A7256"/>
    <w:rsid w:val="002A7C01"/>
    <w:rsid w:val="002B0727"/>
    <w:rsid w:val="002B1FD6"/>
    <w:rsid w:val="002B5424"/>
    <w:rsid w:val="002B7008"/>
    <w:rsid w:val="002B77A1"/>
    <w:rsid w:val="002B7DB0"/>
    <w:rsid w:val="002C022E"/>
    <w:rsid w:val="002C18D7"/>
    <w:rsid w:val="002C40F4"/>
    <w:rsid w:val="002C721D"/>
    <w:rsid w:val="002C7925"/>
    <w:rsid w:val="002D044E"/>
    <w:rsid w:val="002D07F4"/>
    <w:rsid w:val="002D3ADD"/>
    <w:rsid w:val="002D4561"/>
    <w:rsid w:val="002D49FE"/>
    <w:rsid w:val="002D6251"/>
    <w:rsid w:val="002D7368"/>
    <w:rsid w:val="002D7540"/>
    <w:rsid w:val="002D7A4E"/>
    <w:rsid w:val="002D7D6F"/>
    <w:rsid w:val="002E08A7"/>
    <w:rsid w:val="002E0A53"/>
    <w:rsid w:val="002E1F62"/>
    <w:rsid w:val="002E3251"/>
    <w:rsid w:val="002E356B"/>
    <w:rsid w:val="002E671D"/>
    <w:rsid w:val="002F14E0"/>
    <w:rsid w:val="002F386B"/>
    <w:rsid w:val="002F413E"/>
    <w:rsid w:val="002F67EC"/>
    <w:rsid w:val="0030029E"/>
    <w:rsid w:val="00301041"/>
    <w:rsid w:val="0030478F"/>
    <w:rsid w:val="00312323"/>
    <w:rsid w:val="003128B6"/>
    <w:rsid w:val="00313B99"/>
    <w:rsid w:val="00316883"/>
    <w:rsid w:val="003202CC"/>
    <w:rsid w:val="00321B9B"/>
    <w:rsid w:val="00321BEA"/>
    <w:rsid w:val="00321FE1"/>
    <w:rsid w:val="0032377D"/>
    <w:rsid w:val="003250AF"/>
    <w:rsid w:val="003264DB"/>
    <w:rsid w:val="00326842"/>
    <w:rsid w:val="00330850"/>
    <w:rsid w:val="003321EA"/>
    <w:rsid w:val="00334FB8"/>
    <w:rsid w:val="00335A26"/>
    <w:rsid w:val="003367E3"/>
    <w:rsid w:val="00336AC0"/>
    <w:rsid w:val="00336C0A"/>
    <w:rsid w:val="0033700A"/>
    <w:rsid w:val="003374DF"/>
    <w:rsid w:val="00337AD1"/>
    <w:rsid w:val="00340627"/>
    <w:rsid w:val="003433EC"/>
    <w:rsid w:val="00345970"/>
    <w:rsid w:val="00345F55"/>
    <w:rsid w:val="0034684B"/>
    <w:rsid w:val="00346E04"/>
    <w:rsid w:val="00347457"/>
    <w:rsid w:val="00347BCC"/>
    <w:rsid w:val="003513CB"/>
    <w:rsid w:val="00351F4C"/>
    <w:rsid w:val="00357490"/>
    <w:rsid w:val="00357CB3"/>
    <w:rsid w:val="003615D2"/>
    <w:rsid w:val="00363070"/>
    <w:rsid w:val="003638A8"/>
    <w:rsid w:val="003645D5"/>
    <w:rsid w:val="00365D8A"/>
    <w:rsid w:val="00366F63"/>
    <w:rsid w:val="00367A5B"/>
    <w:rsid w:val="003726C8"/>
    <w:rsid w:val="00372853"/>
    <w:rsid w:val="00372BB9"/>
    <w:rsid w:val="003745BC"/>
    <w:rsid w:val="00374772"/>
    <w:rsid w:val="003758EE"/>
    <w:rsid w:val="00376523"/>
    <w:rsid w:val="00380E2E"/>
    <w:rsid w:val="003837E1"/>
    <w:rsid w:val="00383FE7"/>
    <w:rsid w:val="00387411"/>
    <w:rsid w:val="00387991"/>
    <w:rsid w:val="003901E8"/>
    <w:rsid w:val="00390880"/>
    <w:rsid w:val="003910F4"/>
    <w:rsid w:val="00391D3A"/>
    <w:rsid w:val="00393DA0"/>
    <w:rsid w:val="003A17BE"/>
    <w:rsid w:val="003A3A72"/>
    <w:rsid w:val="003A468C"/>
    <w:rsid w:val="003A7036"/>
    <w:rsid w:val="003A7848"/>
    <w:rsid w:val="003B129E"/>
    <w:rsid w:val="003B22E2"/>
    <w:rsid w:val="003B25C9"/>
    <w:rsid w:val="003B3C6C"/>
    <w:rsid w:val="003B620B"/>
    <w:rsid w:val="003B7B55"/>
    <w:rsid w:val="003C6534"/>
    <w:rsid w:val="003D06C9"/>
    <w:rsid w:val="003D23D7"/>
    <w:rsid w:val="003D4694"/>
    <w:rsid w:val="003D6024"/>
    <w:rsid w:val="003D65BA"/>
    <w:rsid w:val="003E108D"/>
    <w:rsid w:val="003E52E9"/>
    <w:rsid w:val="003E62CC"/>
    <w:rsid w:val="003E7C10"/>
    <w:rsid w:val="003E7DE2"/>
    <w:rsid w:val="003F0454"/>
    <w:rsid w:val="003F66A1"/>
    <w:rsid w:val="003F6747"/>
    <w:rsid w:val="00401447"/>
    <w:rsid w:val="00401E4A"/>
    <w:rsid w:val="00402A56"/>
    <w:rsid w:val="0040720D"/>
    <w:rsid w:val="0040776A"/>
    <w:rsid w:val="004109A2"/>
    <w:rsid w:val="0041214A"/>
    <w:rsid w:val="00412D5F"/>
    <w:rsid w:val="00413BB6"/>
    <w:rsid w:val="00414311"/>
    <w:rsid w:val="00414C25"/>
    <w:rsid w:val="00415A15"/>
    <w:rsid w:val="004176B3"/>
    <w:rsid w:val="00420C4C"/>
    <w:rsid w:val="00425546"/>
    <w:rsid w:val="00427964"/>
    <w:rsid w:val="004310FF"/>
    <w:rsid w:val="00433341"/>
    <w:rsid w:val="004342B0"/>
    <w:rsid w:val="00434840"/>
    <w:rsid w:val="00435360"/>
    <w:rsid w:val="0043602C"/>
    <w:rsid w:val="00437997"/>
    <w:rsid w:val="00437FCF"/>
    <w:rsid w:val="00440D57"/>
    <w:rsid w:val="004415B9"/>
    <w:rsid w:val="00444E74"/>
    <w:rsid w:val="00447ABD"/>
    <w:rsid w:val="004505BD"/>
    <w:rsid w:val="0045116D"/>
    <w:rsid w:val="004556EE"/>
    <w:rsid w:val="00455C25"/>
    <w:rsid w:val="00456060"/>
    <w:rsid w:val="004560DD"/>
    <w:rsid w:val="00461871"/>
    <w:rsid w:val="00462578"/>
    <w:rsid w:val="00464A9D"/>
    <w:rsid w:val="00464D2C"/>
    <w:rsid w:val="00464FF0"/>
    <w:rsid w:val="004739BF"/>
    <w:rsid w:val="004739D2"/>
    <w:rsid w:val="00474C1E"/>
    <w:rsid w:val="004839FB"/>
    <w:rsid w:val="004853A4"/>
    <w:rsid w:val="0048610A"/>
    <w:rsid w:val="00490D61"/>
    <w:rsid w:val="004942F7"/>
    <w:rsid w:val="00494B76"/>
    <w:rsid w:val="00496551"/>
    <w:rsid w:val="004967CF"/>
    <w:rsid w:val="004967D1"/>
    <w:rsid w:val="004A21C9"/>
    <w:rsid w:val="004A2993"/>
    <w:rsid w:val="004A4A7E"/>
    <w:rsid w:val="004A4DBF"/>
    <w:rsid w:val="004A7234"/>
    <w:rsid w:val="004B25C3"/>
    <w:rsid w:val="004B331A"/>
    <w:rsid w:val="004B59C7"/>
    <w:rsid w:val="004B6F2A"/>
    <w:rsid w:val="004C1B3E"/>
    <w:rsid w:val="004C45E0"/>
    <w:rsid w:val="004C7666"/>
    <w:rsid w:val="004D40CB"/>
    <w:rsid w:val="004D5542"/>
    <w:rsid w:val="004D6A87"/>
    <w:rsid w:val="004E0392"/>
    <w:rsid w:val="004E1727"/>
    <w:rsid w:val="004E579D"/>
    <w:rsid w:val="004E7D76"/>
    <w:rsid w:val="004F00E7"/>
    <w:rsid w:val="004F0210"/>
    <w:rsid w:val="004F62DD"/>
    <w:rsid w:val="005009A8"/>
    <w:rsid w:val="005023E7"/>
    <w:rsid w:val="00503AC4"/>
    <w:rsid w:val="0050522F"/>
    <w:rsid w:val="00505D34"/>
    <w:rsid w:val="005066E8"/>
    <w:rsid w:val="00506F09"/>
    <w:rsid w:val="00512597"/>
    <w:rsid w:val="00515722"/>
    <w:rsid w:val="00516975"/>
    <w:rsid w:val="0051719F"/>
    <w:rsid w:val="00517A06"/>
    <w:rsid w:val="00521073"/>
    <w:rsid w:val="00521F0B"/>
    <w:rsid w:val="005226C9"/>
    <w:rsid w:val="005228C8"/>
    <w:rsid w:val="00523C5C"/>
    <w:rsid w:val="005242CB"/>
    <w:rsid w:val="00524432"/>
    <w:rsid w:val="0053100D"/>
    <w:rsid w:val="005313F0"/>
    <w:rsid w:val="00531E1D"/>
    <w:rsid w:val="00532434"/>
    <w:rsid w:val="00532A53"/>
    <w:rsid w:val="00534132"/>
    <w:rsid w:val="00535F4E"/>
    <w:rsid w:val="00540407"/>
    <w:rsid w:val="00541C96"/>
    <w:rsid w:val="00541D12"/>
    <w:rsid w:val="005459C6"/>
    <w:rsid w:val="00546FEB"/>
    <w:rsid w:val="00554789"/>
    <w:rsid w:val="00554F4C"/>
    <w:rsid w:val="00556516"/>
    <w:rsid w:val="0055716C"/>
    <w:rsid w:val="005600B6"/>
    <w:rsid w:val="005621B1"/>
    <w:rsid w:val="00564076"/>
    <w:rsid w:val="00566323"/>
    <w:rsid w:val="00566B2F"/>
    <w:rsid w:val="005673F4"/>
    <w:rsid w:val="00567442"/>
    <w:rsid w:val="005704A4"/>
    <w:rsid w:val="00571D46"/>
    <w:rsid w:val="005725DE"/>
    <w:rsid w:val="00575BEE"/>
    <w:rsid w:val="00575CE9"/>
    <w:rsid w:val="00576D4F"/>
    <w:rsid w:val="0058175D"/>
    <w:rsid w:val="005857CF"/>
    <w:rsid w:val="00587046"/>
    <w:rsid w:val="005874F9"/>
    <w:rsid w:val="00587A76"/>
    <w:rsid w:val="00590114"/>
    <w:rsid w:val="00590D83"/>
    <w:rsid w:val="00590ED0"/>
    <w:rsid w:val="00591858"/>
    <w:rsid w:val="00594A81"/>
    <w:rsid w:val="005960AC"/>
    <w:rsid w:val="005A1423"/>
    <w:rsid w:val="005A2EA0"/>
    <w:rsid w:val="005A3D56"/>
    <w:rsid w:val="005A435D"/>
    <w:rsid w:val="005A43EE"/>
    <w:rsid w:val="005A4490"/>
    <w:rsid w:val="005A5C60"/>
    <w:rsid w:val="005B015E"/>
    <w:rsid w:val="005B1264"/>
    <w:rsid w:val="005B1B5F"/>
    <w:rsid w:val="005B3BCC"/>
    <w:rsid w:val="005B528A"/>
    <w:rsid w:val="005B5717"/>
    <w:rsid w:val="005B65EE"/>
    <w:rsid w:val="005B680C"/>
    <w:rsid w:val="005B68B3"/>
    <w:rsid w:val="005B6C02"/>
    <w:rsid w:val="005C2487"/>
    <w:rsid w:val="005C2E11"/>
    <w:rsid w:val="005C3AA3"/>
    <w:rsid w:val="005C5325"/>
    <w:rsid w:val="005C583E"/>
    <w:rsid w:val="005C5D4C"/>
    <w:rsid w:val="005C67E4"/>
    <w:rsid w:val="005C7698"/>
    <w:rsid w:val="005C7B04"/>
    <w:rsid w:val="005D4460"/>
    <w:rsid w:val="005D62F5"/>
    <w:rsid w:val="005D67F8"/>
    <w:rsid w:val="005D6C00"/>
    <w:rsid w:val="005D6F38"/>
    <w:rsid w:val="005D79A5"/>
    <w:rsid w:val="005D7AFF"/>
    <w:rsid w:val="005E084F"/>
    <w:rsid w:val="005E1E91"/>
    <w:rsid w:val="005E30F1"/>
    <w:rsid w:val="005E68A3"/>
    <w:rsid w:val="005F07D4"/>
    <w:rsid w:val="005F1052"/>
    <w:rsid w:val="005F4209"/>
    <w:rsid w:val="005F45C6"/>
    <w:rsid w:val="005F4696"/>
    <w:rsid w:val="005F4A8C"/>
    <w:rsid w:val="00601AA4"/>
    <w:rsid w:val="00601CCA"/>
    <w:rsid w:val="00602C6C"/>
    <w:rsid w:val="0060368B"/>
    <w:rsid w:val="0060518B"/>
    <w:rsid w:val="00605963"/>
    <w:rsid w:val="00605E0D"/>
    <w:rsid w:val="00605F1B"/>
    <w:rsid w:val="00607D3A"/>
    <w:rsid w:val="00611B18"/>
    <w:rsid w:val="00611DAB"/>
    <w:rsid w:val="00612D27"/>
    <w:rsid w:val="006132C6"/>
    <w:rsid w:val="006215E2"/>
    <w:rsid w:val="0062193C"/>
    <w:rsid w:val="00622989"/>
    <w:rsid w:val="00624E89"/>
    <w:rsid w:val="00625477"/>
    <w:rsid w:val="00625A6C"/>
    <w:rsid w:val="00627038"/>
    <w:rsid w:val="006308E0"/>
    <w:rsid w:val="00632EA4"/>
    <w:rsid w:val="0063367C"/>
    <w:rsid w:val="006342E7"/>
    <w:rsid w:val="0063527F"/>
    <w:rsid w:val="006371D6"/>
    <w:rsid w:val="006431C7"/>
    <w:rsid w:val="00644E8B"/>
    <w:rsid w:val="006458C4"/>
    <w:rsid w:val="006459A4"/>
    <w:rsid w:val="00647166"/>
    <w:rsid w:val="00652240"/>
    <w:rsid w:val="00654574"/>
    <w:rsid w:val="006550C3"/>
    <w:rsid w:val="00657E5D"/>
    <w:rsid w:val="0066346D"/>
    <w:rsid w:val="0066399F"/>
    <w:rsid w:val="0066404C"/>
    <w:rsid w:val="00664E3A"/>
    <w:rsid w:val="006659DF"/>
    <w:rsid w:val="006723B6"/>
    <w:rsid w:val="00672FFF"/>
    <w:rsid w:val="00673376"/>
    <w:rsid w:val="006739AB"/>
    <w:rsid w:val="00673C74"/>
    <w:rsid w:val="00674E45"/>
    <w:rsid w:val="00681EB0"/>
    <w:rsid w:val="00684961"/>
    <w:rsid w:val="00684EC4"/>
    <w:rsid w:val="0068551C"/>
    <w:rsid w:val="006856BE"/>
    <w:rsid w:val="00687CD5"/>
    <w:rsid w:val="00691135"/>
    <w:rsid w:val="006923A6"/>
    <w:rsid w:val="006923E3"/>
    <w:rsid w:val="006936D5"/>
    <w:rsid w:val="0069455E"/>
    <w:rsid w:val="00695F14"/>
    <w:rsid w:val="00696786"/>
    <w:rsid w:val="00696BA4"/>
    <w:rsid w:val="006A092F"/>
    <w:rsid w:val="006A3188"/>
    <w:rsid w:val="006A4E3B"/>
    <w:rsid w:val="006A5208"/>
    <w:rsid w:val="006B0644"/>
    <w:rsid w:val="006B0CE7"/>
    <w:rsid w:val="006B2433"/>
    <w:rsid w:val="006B25E3"/>
    <w:rsid w:val="006B5093"/>
    <w:rsid w:val="006B7ABB"/>
    <w:rsid w:val="006C0950"/>
    <w:rsid w:val="006C19B7"/>
    <w:rsid w:val="006C694C"/>
    <w:rsid w:val="006C74FE"/>
    <w:rsid w:val="006D304D"/>
    <w:rsid w:val="006D3673"/>
    <w:rsid w:val="006D49EE"/>
    <w:rsid w:val="006D524D"/>
    <w:rsid w:val="006D675B"/>
    <w:rsid w:val="006E3B1C"/>
    <w:rsid w:val="006E519C"/>
    <w:rsid w:val="006E5A81"/>
    <w:rsid w:val="006E5F28"/>
    <w:rsid w:val="006E79AD"/>
    <w:rsid w:val="006F038A"/>
    <w:rsid w:val="006F0F68"/>
    <w:rsid w:val="006F2107"/>
    <w:rsid w:val="006F2BB7"/>
    <w:rsid w:val="006F3506"/>
    <w:rsid w:val="006F51BE"/>
    <w:rsid w:val="006F5F8E"/>
    <w:rsid w:val="006F7701"/>
    <w:rsid w:val="0070206E"/>
    <w:rsid w:val="00703F34"/>
    <w:rsid w:val="0071080C"/>
    <w:rsid w:val="007108B5"/>
    <w:rsid w:val="00712056"/>
    <w:rsid w:val="00712227"/>
    <w:rsid w:val="0071409C"/>
    <w:rsid w:val="00714291"/>
    <w:rsid w:val="007154A3"/>
    <w:rsid w:val="007167C7"/>
    <w:rsid w:val="007200A5"/>
    <w:rsid w:val="007201FB"/>
    <w:rsid w:val="00720DC8"/>
    <w:rsid w:val="00721DBE"/>
    <w:rsid w:val="0072523B"/>
    <w:rsid w:val="00730971"/>
    <w:rsid w:val="00731116"/>
    <w:rsid w:val="00733611"/>
    <w:rsid w:val="00734068"/>
    <w:rsid w:val="007367F3"/>
    <w:rsid w:val="007372CF"/>
    <w:rsid w:val="00740263"/>
    <w:rsid w:val="007406FF"/>
    <w:rsid w:val="00740710"/>
    <w:rsid w:val="00740B91"/>
    <w:rsid w:val="00742C0F"/>
    <w:rsid w:val="0074337E"/>
    <w:rsid w:val="00744284"/>
    <w:rsid w:val="007443BB"/>
    <w:rsid w:val="00744A1A"/>
    <w:rsid w:val="00745528"/>
    <w:rsid w:val="0074736F"/>
    <w:rsid w:val="007532B7"/>
    <w:rsid w:val="007533D8"/>
    <w:rsid w:val="00754014"/>
    <w:rsid w:val="007567C8"/>
    <w:rsid w:val="007617ED"/>
    <w:rsid w:val="00762533"/>
    <w:rsid w:val="00764A0F"/>
    <w:rsid w:val="00771282"/>
    <w:rsid w:val="00772848"/>
    <w:rsid w:val="00773B04"/>
    <w:rsid w:val="00775F9E"/>
    <w:rsid w:val="0077675B"/>
    <w:rsid w:val="00776A41"/>
    <w:rsid w:val="0077767D"/>
    <w:rsid w:val="00783084"/>
    <w:rsid w:val="00783B1D"/>
    <w:rsid w:val="00783C0B"/>
    <w:rsid w:val="00787966"/>
    <w:rsid w:val="007914A9"/>
    <w:rsid w:val="0079227F"/>
    <w:rsid w:val="00794DAC"/>
    <w:rsid w:val="00796575"/>
    <w:rsid w:val="007972FA"/>
    <w:rsid w:val="007974F6"/>
    <w:rsid w:val="00797E5B"/>
    <w:rsid w:val="007A1B23"/>
    <w:rsid w:val="007A38D4"/>
    <w:rsid w:val="007A4ADF"/>
    <w:rsid w:val="007B576A"/>
    <w:rsid w:val="007B5E19"/>
    <w:rsid w:val="007B6B3C"/>
    <w:rsid w:val="007B76CD"/>
    <w:rsid w:val="007C308B"/>
    <w:rsid w:val="007C352B"/>
    <w:rsid w:val="007C3C8E"/>
    <w:rsid w:val="007C431E"/>
    <w:rsid w:val="007C5158"/>
    <w:rsid w:val="007C58A3"/>
    <w:rsid w:val="007C612B"/>
    <w:rsid w:val="007C625E"/>
    <w:rsid w:val="007C6FEE"/>
    <w:rsid w:val="007C73F6"/>
    <w:rsid w:val="007D062A"/>
    <w:rsid w:val="007D0B22"/>
    <w:rsid w:val="007D36D7"/>
    <w:rsid w:val="007D3ABB"/>
    <w:rsid w:val="007D4BB6"/>
    <w:rsid w:val="007D618D"/>
    <w:rsid w:val="007D7BD0"/>
    <w:rsid w:val="007D7F1B"/>
    <w:rsid w:val="007E1CB2"/>
    <w:rsid w:val="007E288B"/>
    <w:rsid w:val="007E33E9"/>
    <w:rsid w:val="007E3D14"/>
    <w:rsid w:val="007E5444"/>
    <w:rsid w:val="007E5B2D"/>
    <w:rsid w:val="007E5ED4"/>
    <w:rsid w:val="007E5EF8"/>
    <w:rsid w:val="007E6668"/>
    <w:rsid w:val="007E6FA8"/>
    <w:rsid w:val="007F1192"/>
    <w:rsid w:val="007F294E"/>
    <w:rsid w:val="007F38D6"/>
    <w:rsid w:val="00801413"/>
    <w:rsid w:val="0080184F"/>
    <w:rsid w:val="008049BE"/>
    <w:rsid w:val="008054FD"/>
    <w:rsid w:val="00805BC2"/>
    <w:rsid w:val="00805D0F"/>
    <w:rsid w:val="00806097"/>
    <w:rsid w:val="008068BB"/>
    <w:rsid w:val="00812C4F"/>
    <w:rsid w:val="00813BD3"/>
    <w:rsid w:val="00816282"/>
    <w:rsid w:val="00816D19"/>
    <w:rsid w:val="00821590"/>
    <w:rsid w:val="00822115"/>
    <w:rsid w:val="008224CF"/>
    <w:rsid w:val="008239E3"/>
    <w:rsid w:val="00823D78"/>
    <w:rsid w:val="00823FFD"/>
    <w:rsid w:val="00824C51"/>
    <w:rsid w:val="00825164"/>
    <w:rsid w:val="00825AE1"/>
    <w:rsid w:val="00825E2E"/>
    <w:rsid w:val="00826FCA"/>
    <w:rsid w:val="00832C3F"/>
    <w:rsid w:val="00836D26"/>
    <w:rsid w:val="00836F1C"/>
    <w:rsid w:val="008378D0"/>
    <w:rsid w:val="00837F39"/>
    <w:rsid w:val="00841809"/>
    <w:rsid w:val="00843B80"/>
    <w:rsid w:val="00852B1E"/>
    <w:rsid w:val="00852DC1"/>
    <w:rsid w:val="00854006"/>
    <w:rsid w:val="0085400A"/>
    <w:rsid w:val="008542C0"/>
    <w:rsid w:val="00856063"/>
    <w:rsid w:val="00857791"/>
    <w:rsid w:val="0086035A"/>
    <w:rsid w:val="0086067C"/>
    <w:rsid w:val="00860682"/>
    <w:rsid w:val="00861EA3"/>
    <w:rsid w:val="008655C1"/>
    <w:rsid w:val="00865A9A"/>
    <w:rsid w:val="00866D2F"/>
    <w:rsid w:val="00870580"/>
    <w:rsid w:val="00872300"/>
    <w:rsid w:val="00872B35"/>
    <w:rsid w:val="008732EE"/>
    <w:rsid w:val="008740FA"/>
    <w:rsid w:val="00875077"/>
    <w:rsid w:val="00875F27"/>
    <w:rsid w:val="008760B3"/>
    <w:rsid w:val="00876B70"/>
    <w:rsid w:val="008838FE"/>
    <w:rsid w:val="0088407F"/>
    <w:rsid w:val="00884B45"/>
    <w:rsid w:val="00885859"/>
    <w:rsid w:val="0088627F"/>
    <w:rsid w:val="008874A5"/>
    <w:rsid w:val="00890062"/>
    <w:rsid w:val="00890E8D"/>
    <w:rsid w:val="00892249"/>
    <w:rsid w:val="00897893"/>
    <w:rsid w:val="008A0267"/>
    <w:rsid w:val="008A107C"/>
    <w:rsid w:val="008A1B07"/>
    <w:rsid w:val="008A36DB"/>
    <w:rsid w:val="008A4B8F"/>
    <w:rsid w:val="008A5150"/>
    <w:rsid w:val="008A704B"/>
    <w:rsid w:val="008A7387"/>
    <w:rsid w:val="008B1394"/>
    <w:rsid w:val="008B29AB"/>
    <w:rsid w:val="008B2AED"/>
    <w:rsid w:val="008B3975"/>
    <w:rsid w:val="008B5D39"/>
    <w:rsid w:val="008B5DC1"/>
    <w:rsid w:val="008B648C"/>
    <w:rsid w:val="008B6A54"/>
    <w:rsid w:val="008B6B4A"/>
    <w:rsid w:val="008C0E9C"/>
    <w:rsid w:val="008C1A7F"/>
    <w:rsid w:val="008C2B63"/>
    <w:rsid w:val="008C73D7"/>
    <w:rsid w:val="008C76A1"/>
    <w:rsid w:val="008C7FB0"/>
    <w:rsid w:val="008D0771"/>
    <w:rsid w:val="008D2410"/>
    <w:rsid w:val="008D2724"/>
    <w:rsid w:val="008D5138"/>
    <w:rsid w:val="008D7151"/>
    <w:rsid w:val="008E1326"/>
    <w:rsid w:val="008E1E47"/>
    <w:rsid w:val="008E1F02"/>
    <w:rsid w:val="008E2243"/>
    <w:rsid w:val="008E305C"/>
    <w:rsid w:val="008E36D1"/>
    <w:rsid w:val="008E54BE"/>
    <w:rsid w:val="008E6A7A"/>
    <w:rsid w:val="008E6C40"/>
    <w:rsid w:val="008E714C"/>
    <w:rsid w:val="008E77E0"/>
    <w:rsid w:val="008E78CE"/>
    <w:rsid w:val="008F3C76"/>
    <w:rsid w:val="008F5579"/>
    <w:rsid w:val="008F5ED9"/>
    <w:rsid w:val="008F5FC9"/>
    <w:rsid w:val="008F6DB7"/>
    <w:rsid w:val="008F78FC"/>
    <w:rsid w:val="00904E3B"/>
    <w:rsid w:val="009070DB"/>
    <w:rsid w:val="00907332"/>
    <w:rsid w:val="00907808"/>
    <w:rsid w:val="00913902"/>
    <w:rsid w:val="00914570"/>
    <w:rsid w:val="0091526A"/>
    <w:rsid w:val="0091630E"/>
    <w:rsid w:val="009166FB"/>
    <w:rsid w:val="00922715"/>
    <w:rsid w:val="00923094"/>
    <w:rsid w:val="00924559"/>
    <w:rsid w:val="00924652"/>
    <w:rsid w:val="00926B99"/>
    <w:rsid w:val="0092714D"/>
    <w:rsid w:val="009314F5"/>
    <w:rsid w:val="00931589"/>
    <w:rsid w:val="00932710"/>
    <w:rsid w:val="00933472"/>
    <w:rsid w:val="00933911"/>
    <w:rsid w:val="0093473A"/>
    <w:rsid w:val="00935948"/>
    <w:rsid w:val="00935C05"/>
    <w:rsid w:val="00935CD0"/>
    <w:rsid w:val="00936ACD"/>
    <w:rsid w:val="00936C3F"/>
    <w:rsid w:val="00937D7A"/>
    <w:rsid w:val="00941A89"/>
    <w:rsid w:val="009420BF"/>
    <w:rsid w:val="00942365"/>
    <w:rsid w:val="00942BF3"/>
    <w:rsid w:val="00945C0F"/>
    <w:rsid w:val="00945CAD"/>
    <w:rsid w:val="009468F1"/>
    <w:rsid w:val="0095133E"/>
    <w:rsid w:val="009530E3"/>
    <w:rsid w:val="00953C2C"/>
    <w:rsid w:val="009552F8"/>
    <w:rsid w:val="0095606D"/>
    <w:rsid w:val="00956168"/>
    <w:rsid w:val="00957218"/>
    <w:rsid w:val="009621CB"/>
    <w:rsid w:val="00962CBB"/>
    <w:rsid w:val="009660DB"/>
    <w:rsid w:val="0096723E"/>
    <w:rsid w:val="00970DF7"/>
    <w:rsid w:val="0097228B"/>
    <w:rsid w:val="00973624"/>
    <w:rsid w:val="00973ABE"/>
    <w:rsid w:val="00974569"/>
    <w:rsid w:val="00975A38"/>
    <w:rsid w:val="00976707"/>
    <w:rsid w:val="0098024C"/>
    <w:rsid w:val="00981013"/>
    <w:rsid w:val="009810FF"/>
    <w:rsid w:val="00982D40"/>
    <w:rsid w:val="00982E3E"/>
    <w:rsid w:val="00986428"/>
    <w:rsid w:val="00990160"/>
    <w:rsid w:val="00991487"/>
    <w:rsid w:val="00991CEE"/>
    <w:rsid w:val="00992137"/>
    <w:rsid w:val="009925E7"/>
    <w:rsid w:val="00992844"/>
    <w:rsid w:val="00993C87"/>
    <w:rsid w:val="00997575"/>
    <w:rsid w:val="009A10FA"/>
    <w:rsid w:val="009A1AF6"/>
    <w:rsid w:val="009A2400"/>
    <w:rsid w:val="009A37FC"/>
    <w:rsid w:val="009A4946"/>
    <w:rsid w:val="009A5D21"/>
    <w:rsid w:val="009A7C7F"/>
    <w:rsid w:val="009B2745"/>
    <w:rsid w:val="009B2C86"/>
    <w:rsid w:val="009B3162"/>
    <w:rsid w:val="009B3819"/>
    <w:rsid w:val="009B5765"/>
    <w:rsid w:val="009B68AC"/>
    <w:rsid w:val="009B7BD3"/>
    <w:rsid w:val="009B7C45"/>
    <w:rsid w:val="009C3A51"/>
    <w:rsid w:val="009C58D5"/>
    <w:rsid w:val="009C5CEE"/>
    <w:rsid w:val="009C7628"/>
    <w:rsid w:val="009D0E88"/>
    <w:rsid w:val="009D153F"/>
    <w:rsid w:val="009D1D1F"/>
    <w:rsid w:val="009D2C8C"/>
    <w:rsid w:val="009D2F4E"/>
    <w:rsid w:val="009D41A0"/>
    <w:rsid w:val="009D44E1"/>
    <w:rsid w:val="009D609A"/>
    <w:rsid w:val="009D6406"/>
    <w:rsid w:val="009D65DF"/>
    <w:rsid w:val="009D72DD"/>
    <w:rsid w:val="009D7D67"/>
    <w:rsid w:val="009E24F3"/>
    <w:rsid w:val="009E366C"/>
    <w:rsid w:val="009E4BC2"/>
    <w:rsid w:val="009E5B2B"/>
    <w:rsid w:val="009E69F1"/>
    <w:rsid w:val="009E6AFD"/>
    <w:rsid w:val="009E71F0"/>
    <w:rsid w:val="009F0A5E"/>
    <w:rsid w:val="009F0E91"/>
    <w:rsid w:val="009F1394"/>
    <w:rsid w:val="009F29F1"/>
    <w:rsid w:val="009F4063"/>
    <w:rsid w:val="009F450E"/>
    <w:rsid w:val="009F49FC"/>
    <w:rsid w:val="009F55C8"/>
    <w:rsid w:val="00A00D2D"/>
    <w:rsid w:val="00A04912"/>
    <w:rsid w:val="00A04972"/>
    <w:rsid w:val="00A07BFC"/>
    <w:rsid w:val="00A1117A"/>
    <w:rsid w:val="00A126C3"/>
    <w:rsid w:val="00A15E65"/>
    <w:rsid w:val="00A16D8F"/>
    <w:rsid w:val="00A2342F"/>
    <w:rsid w:val="00A23D08"/>
    <w:rsid w:val="00A24C6D"/>
    <w:rsid w:val="00A259E7"/>
    <w:rsid w:val="00A27069"/>
    <w:rsid w:val="00A30CB5"/>
    <w:rsid w:val="00A3292F"/>
    <w:rsid w:val="00A32B1D"/>
    <w:rsid w:val="00A33048"/>
    <w:rsid w:val="00A34B34"/>
    <w:rsid w:val="00A35320"/>
    <w:rsid w:val="00A356FE"/>
    <w:rsid w:val="00A40183"/>
    <w:rsid w:val="00A43D8A"/>
    <w:rsid w:val="00A4598F"/>
    <w:rsid w:val="00A47CB4"/>
    <w:rsid w:val="00A47E80"/>
    <w:rsid w:val="00A47F06"/>
    <w:rsid w:val="00A518A9"/>
    <w:rsid w:val="00A5191F"/>
    <w:rsid w:val="00A528E9"/>
    <w:rsid w:val="00A536AD"/>
    <w:rsid w:val="00A542A5"/>
    <w:rsid w:val="00A62B50"/>
    <w:rsid w:val="00A62C25"/>
    <w:rsid w:val="00A65564"/>
    <w:rsid w:val="00A664E2"/>
    <w:rsid w:val="00A70039"/>
    <w:rsid w:val="00A70123"/>
    <w:rsid w:val="00A7202B"/>
    <w:rsid w:val="00A73312"/>
    <w:rsid w:val="00A747F1"/>
    <w:rsid w:val="00A750E5"/>
    <w:rsid w:val="00A754DA"/>
    <w:rsid w:val="00A7607D"/>
    <w:rsid w:val="00A77075"/>
    <w:rsid w:val="00A84CB0"/>
    <w:rsid w:val="00A908E5"/>
    <w:rsid w:val="00A93578"/>
    <w:rsid w:val="00A94810"/>
    <w:rsid w:val="00AA0EC3"/>
    <w:rsid w:val="00AA142E"/>
    <w:rsid w:val="00AA3E0F"/>
    <w:rsid w:val="00AA4EF8"/>
    <w:rsid w:val="00AA63D8"/>
    <w:rsid w:val="00AB3378"/>
    <w:rsid w:val="00AB3D5C"/>
    <w:rsid w:val="00AB4F51"/>
    <w:rsid w:val="00AB560C"/>
    <w:rsid w:val="00AB5A42"/>
    <w:rsid w:val="00AB7B33"/>
    <w:rsid w:val="00AC199D"/>
    <w:rsid w:val="00AC35CF"/>
    <w:rsid w:val="00AC4560"/>
    <w:rsid w:val="00AC6FE0"/>
    <w:rsid w:val="00AD0B5A"/>
    <w:rsid w:val="00AD2170"/>
    <w:rsid w:val="00AD25E3"/>
    <w:rsid w:val="00AD32FA"/>
    <w:rsid w:val="00AD47E1"/>
    <w:rsid w:val="00AD5857"/>
    <w:rsid w:val="00AD65FE"/>
    <w:rsid w:val="00AE25A4"/>
    <w:rsid w:val="00AE3F06"/>
    <w:rsid w:val="00AE7D80"/>
    <w:rsid w:val="00AE7E97"/>
    <w:rsid w:val="00AF05D6"/>
    <w:rsid w:val="00AF0A06"/>
    <w:rsid w:val="00AF22D7"/>
    <w:rsid w:val="00AF32AE"/>
    <w:rsid w:val="00AF365C"/>
    <w:rsid w:val="00AF3E8E"/>
    <w:rsid w:val="00AF449A"/>
    <w:rsid w:val="00AF55C9"/>
    <w:rsid w:val="00AF5672"/>
    <w:rsid w:val="00AF65A2"/>
    <w:rsid w:val="00AF6CB2"/>
    <w:rsid w:val="00AF6FF3"/>
    <w:rsid w:val="00AF705B"/>
    <w:rsid w:val="00B00830"/>
    <w:rsid w:val="00B0284B"/>
    <w:rsid w:val="00B102AE"/>
    <w:rsid w:val="00B102E6"/>
    <w:rsid w:val="00B12792"/>
    <w:rsid w:val="00B13B48"/>
    <w:rsid w:val="00B15A36"/>
    <w:rsid w:val="00B16E51"/>
    <w:rsid w:val="00B2397A"/>
    <w:rsid w:val="00B23AF1"/>
    <w:rsid w:val="00B23F58"/>
    <w:rsid w:val="00B24F48"/>
    <w:rsid w:val="00B24F78"/>
    <w:rsid w:val="00B27034"/>
    <w:rsid w:val="00B3002E"/>
    <w:rsid w:val="00B33477"/>
    <w:rsid w:val="00B41554"/>
    <w:rsid w:val="00B415C9"/>
    <w:rsid w:val="00B4212F"/>
    <w:rsid w:val="00B42478"/>
    <w:rsid w:val="00B42A2A"/>
    <w:rsid w:val="00B42EFD"/>
    <w:rsid w:val="00B440DC"/>
    <w:rsid w:val="00B44E8B"/>
    <w:rsid w:val="00B45032"/>
    <w:rsid w:val="00B45C2D"/>
    <w:rsid w:val="00B50CF6"/>
    <w:rsid w:val="00B51DE7"/>
    <w:rsid w:val="00B52E78"/>
    <w:rsid w:val="00B5316D"/>
    <w:rsid w:val="00B55A6D"/>
    <w:rsid w:val="00B5605A"/>
    <w:rsid w:val="00B57008"/>
    <w:rsid w:val="00B571B7"/>
    <w:rsid w:val="00B608CA"/>
    <w:rsid w:val="00B6111F"/>
    <w:rsid w:val="00B6115E"/>
    <w:rsid w:val="00B611B7"/>
    <w:rsid w:val="00B61B69"/>
    <w:rsid w:val="00B650E0"/>
    <w:rsid w:val="00B72397"/>
    <w:rsid w:val="00B72A25"/>
    <w:rsid w:val="00B7323D"/>
    <w:rsid w:val="00B752FB"/>
    <w:rsid w:val="00B76F7D"/>
    <w:rsid w:val="00B80B3F"/>
    <w:rsid w:val="00B817C8"/>
    <w:rsid w:val="00B832CC"/>
    <w:rsid w:val="00B83B41"/>
    <w:rsid w:val="00B85DF8"/>
    <w:rsid w:val="00B86C8F"/>
    <w:rsid w:val="00B87BAB"/>
    <w:rsid w:val="00B9280C"/>
    <w:rsid w:val="00B93CD3"/>
    <w:rsid w:val="00B94687"/>
    <w:rsid w:val="00BA0121"/>
    <w:rsid w:val="00BA0897"/>
    <w:rsid w:val="00BA55AF"/>
    <w:rsid w:val="00BA66D1"/>
    <w:rsid w:val="00BA73CB"/>
    <w:rsid w:val="00BB3C91"/>
    <w:rsid w:val="00BB6270"/>
    <w:rsid w:val="00BB6816"/>
    <w:rsid w:val="00BB6985"/>
    <w:rsid w:val="00BC0879"/>
    <w:rsid w:val="00BC0E83"/>
    <w:rsid w:val="00BC2219"/>
    <w:rsid w:val="00BC432A"/>
    <w:rsid w:val="00BC4AB7"/>
    <w:rsid w:val="00BC535D"/>
    <w:rsid w:val="00BC5A73"/>
    <w:rsid w:val="00BC616A"/>
    <w:rsid w:val="00BC660A"/>
    <w:rsid w:val="00BC69E5"/>
    <w:rsid w:val="00BC77FA"/>
    <w:rsid w:val="00BD0897"/>
    <w:rsid w:val="00BD0E96"/>
    <w:rsid w:val="00BD1973"/>
    <w:rsid w:val="00BD44A8"/>
    <w:rsid w:val="00BD50F5"/>
    <w:rsid w:val="00BD6FDD"/>
    <w:rsid w:val="00BD748D"/>
    <w:rsid w:val="00BE0C8E"/>
    <w:rsid w:val="00BE4D00"/>
    <w:rsid w:val="00BE755D"/>
    <w:rsid w:val="00BF0252"/>
    <w:rsid w:val="00BF0F3C"/>
    <w:rsid w:val="00BF1159"/>
    <w:rsid w:val="00BF15F2"/>
    <w:rsid w:val="00BF1930"/>
    <w:rsid w:val="00BF6680"/>
    <w:rsid w:val="00BF67F2"/>
    <w:rsid w:val="00BF75E8"/>
    <w:rsid w:val="00BF79AC"/>
    <w:rsid w:val="00C004C3"/>
    <w:rsid w:val="00C00827"/>
    <w:rsid w:val="00C02084"/>
    <w:rsid w:val="00C025E2"/>
    <w:rsid w:val="00C033EF"/>
    <w:rsid w:val="00C048AE"/>
    <w:rsid w:val="00C04EA9"/>
    <w:rsid w:val="00C07A80"/>
    <w:rsid w:val="00C10C1B"/>
    <w:rsid w:val="00C115C3"/>
    <w:rsid w:val="00C116D3"/>
    <w:rsid w:val="00C129B3"/>
    <w:rsid w:val="00C12E03"/>
    <w:rsid w:val="00C146DF"/>
    <w:rsid w:val="00C15D6C"/>
    <w:rsid w:val="00C15F60"/>
    <w:rsid w:val="00C160B7"/>
    <w:rsid w:val="00C232B7"/>
    <w:rsid w:val="00C23999"/>
    <w:rsid w:val="00C2518E"/>
    <w:rsid w:val="00C25692"/>
    <w:rsid w:val="00C26BFE"/>
    <w:rsid w:val="00C26E3A"/>
    <w:rsid w:val="00C27F6D"/>
    <w:rsid w:val="00C30EF0"/>
    <w:rsid w:val="00C34EC1"/>
    <w:rsid w:val="00C35D58"/>
    <w:rsid w:val="00C36B40"/>
    <w:rsid w:val="00C3747A"/>
    <w:rsid w:val="00C45CA0"/>
    <w:rsid w:val="00C45E91"/>
    <w:rsid w:val="00C46D1D"/>
    <w:rsid w:val="00C507BE"/>
    <w:rsid w:val="00C50C56"/>
    <w:rsid w:val="00C5555F"/>
    <w:rsid w:val="00C55D55"/>
    <w:rsid w:val="00C569CB"/>
    <w:rsid w:val="00C56C7A"/>
    <w:rsid w:val="00C6093E"/>
    <w:rsid w:val="00C627C7"/>
    <w:rsid w:val="00C64E00"/>
    <w:rsid w:val="00C651BF"/>
    <w:rsid w:val="00C71E56"/>
    <w:rsid w:val="00C7320F"/>
    <w:rsid w:val="00C77343"/>
    <w:rsid w:val="00C82EBC"/>
    <w:rsid w:val="00C85ED7"/>
    <w:rsid w:val="00C86968"/>
    <w:rsid w:val="00C8706B"/>
    <w:rsid w:val="00C90493"/>
    <w:rsid w:val="00C906D7"/>
    <w:rsid w:val="00C90DC3"/>
    <w:rsid w:val="00C9106B"/>
    <w:rsid w:val="00C91735"/>
    <w:rsid w:val="00C932A5"/>
    <w:rsid w:val="00C942D9"/>
    <w:rsid w:val="00C943D3"/>
    <w:rsid w:val="00C94BF3"/>
    <w:rsid w:val="00C94D6C"/>
    <w:rsid w:val="00C967D2"/>
    <w:rsid w:val="00C96F4C"/>
    <w:rsid w:val="00C973CC"/>
    <w:rsid w:val="00CA07A9"/>
    <w:rsid w:val="00CA1AFD"/>
    <w:rsid w:val="00CA1C22"/>
    <w:rsid w:val="00CA261C"/>
    <w:rsid w:val="00CA3498"/>
    <w:rsid w:val="00CA53F7"/>
    <w:rsid w:val="00CA6E43"/>
    <w:rsid w:val="00CA70FD"/>
    <w:rsid w:val="00CA7977"/>
    <w:rsid w:val="00CB1693"/>
    <w:rsid w:val="00CB1868"/>
    <w:rsid w:val="00CB1CFF"/>
    <w:rsid w:val="00CB23D2"/>
    <w:rsid w:val="00CB2B2F"/>
    <w:rsid w:val="00CB409C"/>
    <w:rsid w:val="00CB47BB"/>
    <w:rsid w:val="00CB50F5"/>
    <w:rsid w:val="00CC0678"/>
    <w:rsid w:val="00CC554F"/>
    <w:rsid w:val="00CC63BD"/>
    <w:rsid w:val="00CC698E"/>
    <w:rsid w:val="00CC7AD0"/>
    <w:rsid w:val="00CD02D0"/>
    <w:rsid w:val="00CD25EC"/>
    <w:rsid w:val="00CD29E2"/>
    <w:rsid w:val="00CD3C90"/>
    <w:rsid w:val="00CD3E58"/>
    <w:rsid w:val="00CD4E85"/>
    <w:rsid w:val="00CD7084"/>
    <w:rsid w:val="00CE09E1"/>
    <w:rsid w:val="00CE0A7C"/>
    <w:rsid w:val="00CE4836"/>
    <w:rsid w:val="00CE7441"/>
    <w:rsid w:val="00CF07AB"/>
    <w:rsid w:val="00CF13BC"/>
    <w:rsid w:val="00CF2075"/>
    <w:rsid w:val="00CF35CD"/>
    <w:rsid w:val="00CF40C8"/>
    <w:rsid w:val="00CF41C9"/>
    <w:rsid w:val="00CF5D3B"/>
    <w:rsid w:val="00CF6775"/>
    <w:rsid w:val="00CF71C5"/>
    <w:rsid w:val="00CF71F8"/>
    <w:rsid w:val="00D05876"/>
    <w:rsid w:val="00D05F22"/>
    <w:rsid w:val="00D066A8"/>
    <w:rsid w:val="00D103F9"/>
    <w:rsid w:val="00D10D07"/>
    <w:rsid w:val="00D12144"/>
    <w:rsid w:val="00D128EF"/>
    <w:rsid w:val="00D1302A"/>
    <w:rsid w:val="00D13AD2"/>
    <w:rsid w:val="00D158F2"/>
    <w:rsid w:val="00D16B9B"/>
    <w:rsid w:val="00D17838"/>
    <w:rsid w:val="00D17986"/>
    <w:rsid w:val="00D209EF"/>
    <w:rsid w:val="00D20C86"/>
    <w:rsid w:val="00D2112F"/>
    <w:rsid w:val="00D213EC"/>
    <w:rsid w:val="00D2289A"/>
    <w:rsid w:val="00D22E06"/>
    <w:rsid w:val="00D2571B"/>
    <w:rsid w:val="00D25AA2"/>
    <w:rsid w:val="00D25CDF"/>
    <w:rsid w:val="00D265E8"/>
    <w:rsid w:val="00D31618"/>
    <w:rsid w:val="00D31722"/>
    <w:rsid w:val="00D3217C"/>
    <w:rsid w:val="00D346E6"/>
    <w:rsid w:val="00D349AD"/>
    <w:rsid w:val="00D3502E"/>
    <w:rsid w:val="00D35056"/>
    <w:rsid w:val="00D3641B"/>
    <w:rsid w:val="00D40746"/>
    <w:rsid w:val="00D407B8"/>
    <w:rsid w:val="00D43D53"/>
    <w:rsid w:val="00D51521"/>
    <w:rsid w:val="00D5565E"/>
    <w:rsid w:val="00D6129E"/>
    <w:rsid w:val="00D65A3F"/>
    <w:rsid w:val="00D65DA8"/>
    <w:rsid w:val="00D661E4"/>
    <w:rsid w:val="00D66455"/>
    <w:rsid w:val="00D665BF"/>
    <w:rsid w:val="00D66A0C"/>
    <w:rsid w:val="00D673B8"/>
    <w:rsid w:val="00D702B1"/>
    <w:rsid w:val="00D7264A"/>
    <w:rsid w:val="00D7306A"/>
    <w:rsid w:val="00D7306B"/>
    <w:rsid w:val="00D73684"/>
    <w:rsid w:val="00D74AC1"/>
    <w:rsid w:val="00D74E61"/>
    <w:rsid w:val="00D8010B"/>
    <w:rsid w:val="00D82B16"/>
    <w:rsid w:val="00D8366B"/>
    <w:rsid w:val="00D83E9D"/>
    <w:rsid w:val="00D8444A"/>
    <w:rsid w:val="00D87599"/>
    <w:rsid w:val="00D8796B"/>
    <w:rsid w:val="00D87D0C"/>
    <w:rsid w:val="00D911A9"/>
    <w:rsid w:val="00D92392"/>
    <w:rsid w:val="00D923E9"/>
    <w:rsid w:val="00D9295A"/>
    <w:rsid w:val="00D943FF"/>
    <w:rsid w:val="00D95107"/>
    <w:rsid w:val="00D961AA"/>
    <w:rsid w:val="00DA0F98"/>
    <w:rsid w:val="00DA11A1"/>
    <w:rsid w:val="00DA3B11"/>
    <w:rsid w:val="00DA4D5B"/>
    <w:rsid w:val="00DA72ED"/>
    <w:rsid w:val="00DA7C10"/>
    <w:rsid w:val="00DB2245"/>
    <w:rsid w:val="00DB3AAD"/>
    <w:rsid w:val="00DB40D7"/>
    <w:rsid w:val="00DB4F65"/>
    <w:rsid w:val="00DB70DB"/>
    <w:rsid w:val="00DB749B"/>
    <w:rsid w:val="00DC06F7"/>
    <w:rsid w:val="00DC64BA"/>
    <w:rsid w:val="00DC68E5"/>
    <w:rsid w:val="00DC6986"/>
    <w:rsid w:val="00DC6C38"/>
    <w:rsid w:val="00DC707F"/>
    <w:rsid w:val="00DD02C5"/>
    <w:rsid w:val="00DD07AF"/>
    <w:rsid w:val="00DD119F"/>
    <w:rsid w:val="00DD33FB"/>
    <w:rsid w:val="00DD6434"/>
    <w:rsid w:val="00DD6C1E"/>
    <w:rsid w:val="00DD79D0"/>
    <w:rsid w:val="00DE11A0"/>
    <w:rsid w:val="00DE11F0"/>
    <w:rsid w:val="00DE2CCF"/>
    <w:rsid w:val="00DE4453"/>
    <w:rsid w:val="00DE63D1"/>
    <w:rsid w:val="00DE6B7B"/>
    <w:rsid w:val="00DE72F7"/>
    <w:rsid w:val="00DF058C"/>
    <w:rsid w:val="00DF09B1"/>
    <w:rsid w:val="00DF16D5"/>
    <w:rsid w:val="00DF4DB9"/>
    <w:rsid w:val="00DF57CB"/>
    <w:rsid w:val="00DF6F9F"/>
    <w:rsid w:val="00E011C7"/>
    <w:rsid w:val="00E011F0"/>
    <w:rsid w:val="00E02490"/>
    <w:rsid w:val="00E026BC"/>
    <w:rsid w:val="00E04F59"/>
    <w:rsid w:val="00E0504C"/>
    <w:rsid w:val="00E0723E"/>
    <w:rsid w:val="00E11826"/>
    <w:rsid w:val="00E12C34"/>
    <w:rsid w:val="00E1542A"/>
    <w:rsid w:val="00E15F2C"/>
    <w:rsid w:val="00E16823"/>
    <w:rsid w:val="00E172B5"/>
    <w:rsid w:val="00E17E8D"/>
    <w:rsid w:val="00E208A5"/>
    <w:rsid w:val="00E22201"/>
    <w:rsid w:val="00E26F6E"/>
    <w:rsid w:val="00E31F35"/>
    <w:rsid w:val="00E332E2"/>
    <w:rsid w:val="00E33A67"/>
    <w:rsid w:val="00E35422"/>
    <w:rsid w:val="00E35711"/>
    <w:rsid w:val="00E37677"/>
    <w:rsid w:val="00E3794B"/>
    <w:rsid w:val="00E37E84"/>
    <w:rsid w:val="00E41766"/>
    <w:rsid w:val="00E41E1C"/>
    <w:rsid w:val="00E457B8"/>
    <w:rsid w:val="00E50415"/>
    <w:rsid w:val="00E51AD3"/>
    <w:rsid w:val="00E51D4C"/>
    <w:rsid w:val="00E520E3"/>
    <w:rsid w:val="00E54143"/>
    <w:rsid w:val="00E54E4F"/>
    <w:rsid w:val="00E57369"/>
    <w:rsid w:val="00E618D4"/>
    <w:rsid w:val="00E62F1A"/>
    <w:rsid w:val="00E6336A"/>
    <w:rsid w:val="00E639CE"/>
    <w:rsid w:val="00E6439A"/>
    <w:rsid w:val="00E700EC"/>
    <w:rsid w:val="00E7011B"/>
    <w:rsid w:val="00E707A2"/>
    <w:rsid w:val="00E72124"/>
    <w:rsid w:val="00E75B06"/>
    <w:rsid w:val="00E760B7"/>
    <w:rsid w:val="00E76AC2"/>
    <w:rsid w:val="00E7775E"/>
    <w:rsid w:val="00E83CEC"/>
    <w:rsid w:val="00E84B03"/>
    <w:rsid w:val="00E860A5"/>
    <w:rsid w:val="00E869DB"/>
    <w:rsid w:val="00E86F7F"/>
    <w:rsid w:val="00E903A6"/>
    <w:rsid w:val="00E914BA"/>
    <w:rsid w:val="00E92B02"/>
    <w:rsid w:val="00E9606D"/>
    <w:rsid w:val="00EA0254"/>
    <w:rsid w:val="00EA1819"/>
    <w:rsid w:val="00EA2995"/>
    <w:rsid w:val="00EA478A"/>
    <w:rsid w:val="00EA5D5A"/>
    <w:rsid w:val="00EA5FD6"/>
    <w:rsid w:val="00EB1024"/>
    <w:rsid w:val="00EB2C73"/>
    <w:rsid w:val="00EB2E10"/>
    <w:rsid w:val="00EB426E"/>
    <w:rsid w:val="00EB5054"/>
    <w:rsid w:val="00EB5429"/>
    <w:rsid w:val="00EB55C1"/>
    <w:rsid w:val="00EB5BC8"/>
    <w:rsid w:val="00EB6933"/>
    <w:rsid w:val="00EB7DC2"/>
    <w:rsid w:val="00EB7DCF"/>
    <w:rsid w:val="00EB7E90"/>
    <w:rsid w:val="00EC13B7"/>
    <w:rsid w:val="00EC1CF9"/>
    <w:rsid w:val="00EC29BE"/>
    <w:rsid w:val="00EC3743"/>
    <w:rsid w:val="00EC5BD0"/>
    <w:rsid w:val="00ED1156"/>
    <w:rsid w:val="00ED2D37"/>
    <w:rsid w:val="00ED3B6A"/>
    <w:rsid w:val="00ED40B2"/>
    <w:rsid w:val="00ED53C9"/>
    <w:rsid w:val="00ED68A0"/>
    <w:rsid w:val="00EE2CA7"/>
    <w:rsid w:val="00EE4143"/>
    <w:rsid w:val="00EE43BA"/>
    <w:rsid w:val="00EE6A18"/>
    <w:rsid w:val="00EE7DE4"/>
    <w:rsid w:val="00EF0127"/>
    <w:rsid w:val="00EF0800"/>
    <w:rsid w:val="00EF1060"/>
    <w:rsid w:val="00EF20CE"/>
    <w:rsid w:val="00EF5119"/>
    <w:rsid w:val="00EF660F"/>
    <w:rsid w:val="00EF66E8"/>
    <w:rsid w:val="00EF6E4A"/>
    <w:rsid w:val="00F005DA"/>
    <w:rsid w:val="00F006A2"/>
    <w:rsid w:val="00F01124"/>
    <w:rsid w:val="00F021D4"/>
    <w:rsid w:val="00F03B94"/>
    <w:rsid w:val="00F0506A"/>
    <w:rsid w:val="00F06F18"/>
    <w:rsid w:val="00F071E2"/>
    <w:rsid w:val="00F15883"/>
    <w:rsid w:val="00F16ED4"/>
    <w:rsid w:val="00F17FE2"/>
    <w:rsid w:val="00F22015"/>
    <w:rsid w:val="00F230A6"/>
    <w:rsid w:val="00F271F4"/>
    <w:rsid w:val="00F2734E"/>
    <w:rsid w:val="00F273D6"/>
    <w:rsid w:val="00F304ED"/>
    <w:rsid w:val="00F32D07"/>
    <w:rsid w:val="00F32FF9"/>
    <w:rsid w:val="00F347FE"/>
    <w:rsid w:val="00F36810"/>
    <w:rsid w:val="00F37176"/>
    <w:rsid w:val="00F41B9C"/>
    <w:rsid w:val="00F42768"/>
    <w:rsid w:val="00F43499"/>
    <w:rsid w:val="00F43D93"/>
    <w:rsid w:val="00F44F4A"/>
    <w:rsid w:val="00F45925"/>
    <w:rsid w:val="00F45979"/>
    <w:rsid w:val="00F45A92"/>
    <w:rsid w:val="00F471B6"/>
    <w:rsid w:val="00F50FCB"/>
    <w:rsid w:val="00F51439"/>
    <w:rsid w:val="00F51B0E"/>
    <w:rsid w:val="00F51BB9"/>
    <w:rsid w:val="00F537B5"/>
    <w:rsid w:val="00F53F63"/>
    <w:rsid w:val="00F54175"/>
    <w:rsid w:val="00F5500C"/>
    <w:rsid w:val="00F55220"/>
    <w:rsid w:val="00F561BB"/>
    <w:rsid w:val="00F56FA1"/>
    <w:rsid w:val="00F57BBE"/>
    <w:rsid w:val="00F60EED"/>
    <w:rsid w:val="00F64E94"/>
    <w:rsid w:val="00F658E8"/>
    <w:rsid w:val="00F65C55"/>
    <w:rsid w:val="00F70AF1"/>
    <w:rsid w:val="00F725A3"/>
    <w:rsid w:val="00F732C4"/>
    <w:rsid w:val="00F75492"/>
    <w:rsid w:val="00F75EFF"/>
    <w:rsid w:val="00F761FA"/>
    <w:rsid w:val="00F76EAF"/>
    <w:rsid w:val="00F80B9A"/>
    <w:rsid w:val="00F80EA2"/>
    <w:rsid w:val="00F83294"/>
    <w:rsid w:val="00F838CE"/>
    <w:rsid w:val="00F84052"/>
    <w:rsid w:val="00F84119"/>
    <w:rsid w:val="00F856CA"/>
    <w:rsid w:val="00F85B8C"/>
    <w:rsid w:val="00F90768"/>
    <w:rsid w:val="00F90838"/>
    <w:rsid w:val="00F91D4F"/>
    <w:rsid w:val="00F93B2F"/>
    <w:rsid w:val="00F940D9"/>
    <w:rsid w:val="00F94982"/>
    <w:rsid w:val="00F96CE1"/>
    <w:rsid w:val="00FA4A0D"/>
    <w:rsid w:val="00FA6584"/>
    <w:rsid w:val="00FB1612"/>
    <w:rsid w:val="00FB2D03"/>
    <w:rsid w:val="00FB4873"/>
    <w:rsid w:val="00FB55ED"/>
    <w:rsid w:val="00FC0BAC"/>
    <w:rsid w:val="00FC1EA8"/>
    <w:rsid w:val="00FC2504"/>
    <w:rsid w:val="00FC3DB2"/>
    <w:rsid w:val="00FC3E81"/>
    <w:rsid w:val="00FC4C19"/>
    <w:rsid w:val="00FC5AB9"/>
    <w:rsid w:val="00FC6482"/>
    <w:rsid w:val="00FC7228"/>
    <w:rsid w:val="00FD0A33"/>
    <w:rsid w:val="00FD102B"/>
    <w:rsid w:val="00FD1C22"/>
    <w:rsid w:val="00FD4AE8"/>
    <w:rsid w:val="00FD55E1"/>
    <w:rsid w:val="00FD6061"/>
    <w:rsid w:val="00FD650F"/>
    <w:rsid w:val="00FD6AC5"/>
    <w:rsid w:val="00FD71A2"/>
    <w:rsid w:val="00FD7F09"/>
    <w:rsid w:val="00FE26CC"/>
    <w:rsid w:val="00FE2779"/>
    <w:rsid w:val="00FE2A1C"/>
    <w:rsid w:val="00FE4164"/>
    <w:rsid w:val="00FE4232"/>
    <w:rsid w:val="00FE6FEC"/>
    <w:rsid w:val="00FE7684"/>
    <w:rsid w:val="00FF063C"/>
    <w:rsid w:val="00FF2502"/>
    <w:rsid w:val="00FF2D6D"/>
    <w:rsid w:val="00FF40C5"/>
    <w:rsid w:val="00FF46AF"/>
    <w:rsid w:val="00FF61E9"/>
    <w:rsid w:val="00FF6916"/>
    <w:rsid w:val="00FF7584"/>
    <w:rsid w:val="011F09A2"/>
    <w:rsid w:val="01D53E1F"/>
    <w:rsid w:val="01F817E8"/>
    <w:rsid w:val="02333FAB"/>
    <w:rsid w:val="027A3847"/>
    <w:rsid w:val="02960B90"/>
    <w:rsid w:val="02FF6933"/>
    <w:rsid w:val="03DC72AD"/>
    <w:rsid w:val="04603446"/>
    <w:rsid w:val="04C5731B"/>
    <w:rsid w:val="06B15226"/>
    <w:rsid w:val="06D87876"/>
    <w:rsid w:val="073A2D2E"/>
    <w:rsid w:val="08C65425"/>
    <w:rsid w:val="08E3593C"/>
    <w:rsid w:val="093F522E"/>
    <w:rsid w:val="095772E3"/>
    <w:rsid w:val="09AC1DD0"/>
    <w:rsid w:val="0A232DC1"/>
    <w:rsid w:val="0A364F31"/>
    <w:rsid w:val="0AAB7EDF"/>
    <w:rsid w:val="0ABA2816"/>
    <w:rsid w:val="0B0C1DEE"/>
    <w:rsid w:val="0B703056"/>
    <w:rsid w:val="0B98683A"/>
    <w:rsid w:val="0BC41A01"/>
    <w:rsid w:val="0C177AFF"/>
    <w:rsid w:val="0C407D57"/>
    <w:rsid w:val="0CAB602D"/>
    <w:rsid w:val="0CD949FA"/>
    <w:rsid w:val="0D162518"/>
    <w:rsid w:val="0D206706"/>
    <w:rsid w:val="0D8D6A2A"/>
    <w:rsid w:val="0DC90477"/>
    <w:rsid w:val="0E7B0C16"/>
    <w:rsid w:val="0F1C6975"/>
    <w:rsid w:val="0F592033"/>
    <w:rsid w:val="0F85606A"/>
    <w:rsid w:val="103D587C"/>
    <w:rsid w:val="10711547"/>
    <w:rsid w:val="10CC559A"/>
    <w:rsid w:val="10D03F34"/>
    <w:rsid w:val="10E46E5E"/>
    <w:rsid w:val="11323F23"/>
    <w:rsid w:val="120C0FDE"/>
    <w:rsid w:val="121D0224"/>
    <w:rsid w:val="13DA7296"/>
    <w:rsid w:val="140416E2"/>
    <w:rsid w:val="142069F5"/>
    <w:rsid w:val="14BE01CE"/>
    <w:rsid w:val="15431692"/>
    <w:rsid w:val="16A31BD1"/>
    <w:rsid w:val="16BD2A5D"/>
    <w:rsid w:val="17B02FA2"/>
    <w:rsid w:val="18057723"/>
    <w:rsid w:val="186C5FA5"/>
    <w:rsid w:val="18B03D66"/>
    <w:rsid w:val="19736861"/>
    <w:rsid w:val="19AB6542"/>
    <w:rsid w:val="1A506434"/>
    <w:rsid w:val="1A53435A"/>
    <w:rsid w:val="1A825C01"/>
    <w:rsid w:val="1A896E91"/>
    <w:rsid w:val="1AF028B4"/>
    <w:rsid w:val="1B356450"/>
    <w:rsid w:val="1B9D0191"/>
    <w:rsid w:val="1C050C73"/>
    <w:rsid w:val="1C63645D"/>
    <w:rsid w:val="1D8C1CC9"/>
    <w:rsid w:val="1DA014F6"/>
    <w:rsid w:val="1DD55076"/>
    <w:rsid w:val="1EA32FFE"/>
    <w:rsid w:val="1EEF49AE"/>
    <w:rsid w:val="1F063793"/>
    <w:rsid w:val="1F4C51E7"/>
    <w:rsid w:val="1F81420A"/>
    <w:rsid w:val="1F931CF9"/>
    <w:rsid w:val="201F76FF"/>
    <w:rsid w:val="20D05CA6"/>
    <w:rsid w:val="218B0BA8"/>
    <w:rsid w:val="21A125BF"/>
    <w:rsid w:val="21E147D5"/>
    <w:rsid w:val="226B3000"/>
    <w:rsid w:val="22836696"/>
    <w:rsid w:val="22D463D9"/>
    <w:rsid w:val="23694EE9"/>
    <w:rsid w:val="23740BA2"/>
    <w:rsid w:val="240674D2"/>
    <w:rsid w:val="2421781B"/>
    <w:rsid w:val="24341105"/>
    <w:rsid w:val="24394A69"/>
    <w:rsid w:val="24810EF8"/>
    <w:rsid w:val="250C0583"/>
    <w:rsid w:val="252A0EF3"/>
    <w:rsid w:val="25F42076"/>
    <w:rsid w:val="26181471"/>
    <w:rsid w:val="26865B8B"/>
    <w:rsid w:val="269E54AA"/>
    <w:rsid w:val="272A55F7"/>
    <w:rsid w:val="27551BD8"/>
    <w:rsid w:val="27912C60"/>
    <w:rsid w:val="27B10559"/>
    <w:rsid w:val="28B80C7D"/>
    <w:rsid w:val="2940493E"/>
    <w:rsid w:val="29AE0DF8"/>
    <w:rsid w:val="2A2945DA"/>
    <w:rsid w:val="2A7B4178"/>
    <w:rsid w:val="2AA1765E"/>
    <w:rsid w:val="2ACA5D7D"/>
    <w:rsid w:val="2AD46786"/>
    <w:rsid w:val="2B74234C"/>
    <w:rsid w:val="2C562776"/>
    <w:rsid w:val="2D331474"/>
    <w:rsid w:val="2DC500ED"/>
    <w:rsid w:val="2DE71491"/>
    <w:rsid w:val="2E85293B"/>
    <w:rsid w:val="2EC27D0A"/>
    <w:rsid w:val="2FBE0181"/>
    <w:rsid w:val="30B617E9"/>
    <w:rsid w:val="314C66A1"/>
    <w:rsid w:val="314C7A29"/>
    <w:rsid w:val="322A5947"/>
    <w:rsid w:val="324C68C1"/>
    <w:rsid w:val="32836087"/>
    <w:rsid w:val="331E1308"/>
    <w:rsid w:val="33546376"/>
    <w:rsid w:val="337C6572"/>
    <w:rsid w:val="33D9161D"/>
    <w:rsid w:val="34B053F5"/>
    <w:rsid w:val="34C832E9"/>
    <w:rsid w:val="34F91C74"/>
    <w:rsid w:val="357207A0"/>
    <w:rsid w:val="35BE5A70"/>
    <w:rsid w:val="36A007CA"/>
    <w:rsid w:val="36E24103"/>
    <w:rsid w:val="37A16625"/>
    <w:rsid w:val="3839725F"/>
    <w:rsid w:val="3866038A"/>
    <w:rsid w:val="38740FD9"/>
    <w:rsid w:val="38B531E7"/>
    <w:rsid w:val="38EF3989"/>
    <w:rsid w:val="39F138EB"/>
    <w:rsid w:val="3A496654"/>
    <w:rsid w:val="3AAE377F"/>
    <w:rsid w:val="3AB56A99"/>
    <w:rsid w:val="3AB94164"/>
    <w:rsid w:val="3AFF1B22"/>
    <w:rsid w:val="3B994CB1"/>
    <w:rsid w:val="3D382B5C"/>
    <w:rsid w:val="3D8C14EF"/>
    <w:rsid w:val="3D9F2DE5"/>
    <w:rsid w:val="3DD2462E"/>
    <w:rsid w:val="3E0A7CEA"/>
    <w:rsid w:val="3E4663E0"/>
    <w:rsid w:val="3E6C5B08"/>
    <w:rsid w:val="3FB23F6B"/>
    <w:rsid w:val="40245F92"/>
    <w:rsid w:val="40523A0F"/>
    <w:rsid w:val="40686E46"/>
    <w:rsid w:val="41001CF8"/>
    <w:rsid w:val="41051994"/>
    <w:rsid w:val="412F72DC"/>
    <w:rsid w:val="416B3D2E"/>
    <w:rsid w:val="41D23927"/>
    <w:rsid w:val="43472A26"/>
    <w:rsid w:val="436D78B0"/>
    <w:rsid w:val="43756984"/>
    <w:rsid w:val="43A04F61"/>
    <w:rsid w:val="44111B88"/>
    <w:rsid w:val="449C05C5"/>
    <w:rsid w:val="44A307DB"/>
    <w:rsid w:val="44AA20BA"/>
    <w:rsid w:val="44BE1E40"/>
    <w:rsid w:val="44C81773"/>
    <w:rsid w:val="458919AF"/>
    <w:rsid w:val="45A941B4"/>
    <w:rsid w:val="45CF45A7"/>
    <w:rsid w:val="461D3BFD"/>
    <w:rsid w:val="462B08C0"/>
    <w:rsid w:val="468974CC"/>
    <w:rsid w:val="4753488D"/>
    <w:rsid w:val="4846162B"/>
    <w:rsid w:val="48D25D47"/>
    <w:rsid w:val="49A020DB"/>
    <w:rsid w:val="4A420AF3"/>
    <w:rsid w:val="4AED6059"/>
    <w:rsid w:val="4B4A4CF5"/>
    <w:rsid w:val="4B5A4F93"/>
    <w:rsid w:val="4B9D5E1B"/>
    <w:rsid w:val="4C0B2B0C"/>
    <w:rsid w:val="4C774E73"/>
    <w:rsid w:val="4C89261F"/>
    <w:rsid w:val="4CB2471F"/>
    <w:rsid w:val="4D25504A"/>
    <w:rsid w:val="4E05469C"/>
    <w:rsid w:val="4EBB1970"/>
    <w:rsid w:val="50425F1E"/>
    <w:rsid w:val="50C8571F"/>
    <w:rsid w:val="50DC4C63"/>
    <w:rsid w:val="515A5BC3"/>
    <w:rsid w:val="51914FFA"/>
    <w:rsid w:val="51A836AC"/>
    <w:rsid w:val="51DA7D6C"/>
    <w:rsid w:val="51DE3290"/>
    <w:rsid w:val="540C2AD6"/>
    <w:rsid w:val="54155EC6"/>
    <w:rsid w:val="547556FD"/>
    <w:rsid w:val="54F46486"/>
    <w:rsid w:val="55474B85"/>
    <w:rsid w:val="55A66958"/>
    <w:rsid w:val="55B5349C"/>
    <w:rsid w:val="561A7328"/>
    <w:rsid w:val="56771490"/>
    <w:rsid w:val="56825C77"/>
    <w:rsid w:val="56D8390A"/>
    <w:rsid w:val="56EB551F"/>
    <w:rsid w:val="57323882"/>
    <w:rsid w:val="574160B7"/>
    <w:rsid w:val="57F35041"/>
    <w:rsid w:val="584F46D5"/>
    <w:rsid w:val="58687B75"/>
    <w:rsid w:val="58725E54"/>
    <w:rsid w:val="588B4200"/>
    <w:rsid w:val="58E51859"/>
    <w:rsid w:val="59034EBC"/>
    <w:rsid w:val="59594DB4"/>
    <w:rsid w:val="59F34F31"/>
    <w:rsid w:val="59FC0DE5"/>
    <w:rsid w:val="5B6A090E"/>
    <w:rsid w:val="5C312D8E"/>
    <w:rsid w:val="5C8D02B6"/>
    <w:rsid w:val="5C8D0831"/>
    <w:rsid w:val="5CBF27AE"/>
    <w:rsid w:val="5D172DAC"/>
    <w:rsid w:val="5D1B42BE"/>
    <w:rsid w:val="5D6128E6"/>
    <w:rsid w:val="5D844A9D"/>
    <w:rsid w:val="5E856373"/>
    <w:rsid w:val="5ED864A3"/>
    <w:rsid w:val="5F254AFD"/>
    <w:rsid w:val="5F8E545E"/>
    <w:rsid w:val="5FBC0D86"/>
    <w:rsid w:val="5FD233B5"/>
    <w:rsid w:val="604021DC"/>
    <w:rsid w:val="60CF1C1E"/>
    <w:rsid w:val="611257D9"/>
    <w:rsid w:val="611904B9"/>
    <w:rsid w:val="61A9409A"/>
    <w:rsid w:val="61E7065A"/>
    <w:rsid w:val="62577814"/>
    <w:rsid w:val="62597512"/>
    <w:rsid w:val="637B5F37"/>
    <w:rsid w:val="6385586D"/>
    <w:rsid w:val="640902F7"/>
    <w:rsid w:val="65A67909"/>
    <w:rsid w:val="66096C51"/>
    <w:rsid w:val="66A66835"/>
    <w:rsid w:val="66BC25E4"/>
    <w:rsid w:val="67210179"/>
    <w:rsid w:val="67292B47"/>
    <w:rsid w:val="67B620D5"/>
    <w:rsid w:val="67BC59A7"/>
    <w:rsid w:val="67EE3F97"/>
    <w:rsid w:val="681D2DB3"/>
    <w:rsid w:val="6853313E"/>
    <w:rsid w:val="696D380D"/>
    <w:rsid w:val="69AA240A"/>
    <w:rsid w:val="6A070525"/>
    <w:rsid w:val="6A961869"/>
    <w:rsid w:val="6B493C0F"/>
    <w:rsid w:val="6C6B7364"/>
    <w:rsid w:val="6D125BC1"/>
    <w:rsid w:val="6D2775E8"/>
    <w:rsid w:val="6D3C3594"/>
    <w:rsid w:val="6EAE13FC"/>
    <w:rsid w:val="6FAB6FAD"/>
    <w:rsid w:val="6FE63936"/>
    <w:rsid w:val="70094CBB"/>
    <w:rsid w:val="703A0523"/>
    <w:rsid w:val="7050129B"/>
    <w:rsid w:val="70645946"/>
    <w:rsid w:val="71602504"/>
    <w:rsid w:val="719B38C2"/>
    <w:rsid w:val="71FA7599"/>
    <w:rsid w:val="726E215E"/>
    <w:rsid w:val="73286B4F"/>
    <w:rsid w:val="73645429"/>
    <w:rsid w:val="739635BA"/>
    <w:rsid w:val="73F513B8"/>
    <w:rsid w:val="74F373EC"/>
    <w:rsid w:val="756768FA"/>
    <w:rsid w:val="76732B4F"/>
    <w:rsid w:val="767C0130"/>
    <w:rsid w:val="76B06DE6"/>
    <w:rsid w:val="76E618C8"/>
    <w:rsid w:val="76FE524A"/>
    <w:rsid w:val="770701F2"/>
    <w:rsid w:val="780C7A78"/>
    <w:rsid w:val="7889622B"/>
    <w:rsid w:val="78B406C7"/>
    <w:rsid w:val="78FE497D"/>
    <w:rsid w:val="797F780A"/>
    <w:rsid w:val="79A775AA"/>
    <w:rsid w:val="7A1F09D7"/>
    <w:rsid w:val="7A5831FC"/>
    <w:rsid w:val="7A770543"/>
    <w:rsid w:val="7AA839B3"/>
    <w:rsid w:val="7B4F6BA7"/>
    <w:rsid w:val="7B6B08A7"/>
    <w:rsid w:val="7BDA1036"/>
    <w:rsid w:val="7CB57743"/>
    <w:rsid w:val="7CC81775"/>
    <w:rsid w:val="7CFF6582"/>
    <w:rsid w:val="7D7E4262"/>
    <w:rsid w:val="7E317FCB"/>
    <w:rsid w:val="7EB766E3"/>
    <w:rsid w:val="7FAD7723"/>
    <w:rsid w:val="7FB25C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9" w:semiHidden="0"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paragraph" w:styleId="2">
    <w:name w:val="heading 1"/>
    <w:basedOn w:val="1"/>
    <w:next w:val="1"/>
    <w:link w:val="57"/>
    <w:qFormat/>
    <w:uiPriority w:val="9"/>
    <w:pPr>
      <w:keepNext/>
      <w:keepLines/>
      <w:spacing w:line="360" w:lineRule="auto"/>
      <w:outlineLvl w:val="0"/>
    </w:pPr>
    <w:rPr>
      <w:b/>
      <w:bCs/>
      <w:kern w:val="44"/>
      <w:sz w:val="28"/>
      <w:szCs w:val="44"/>
    </w:rPr>
  </w:style>
  <w:style w:type="paragraph" w:styleId="3">
    <w:name w:val="heading 2"/>
    <w:basedOn w:val="1"/>
    <w:next w:val="1"/>
    <w:link w:val="58"/>
    <w:unhideWhenUsed/>
    <w:qFormat/>
    <w:uiPriority w:val="9"/>
    <w:pPr>
      <w:keepNext/>
      <w:keepLines/>
      <w:spacing w:line="360" w:lineRule="auto"/>
      <w:outlineLvl w:val="1"/>
    </w:pPr>
    <w:rPr>
      <w:rFonts w:asciiTheme="majorHAnsi" w:hAnsiTheme="majorHAnsi" w:eastAsiaTheme="majorEastAsia" w:cstheme="majorBidi"/>
      <w:b/>
      <w:bCs/>
      <w:szCs w:val="32"/>
    </w:rPr>
  </w:style>
  <w:style w:type="paragraph" w:styleId="4">
    <w:name w:val="heading 3"/>
    <w:basedOn w:val="1"/>
    <w:next w:val="1"/>
    <w:link w:val="39"/>
    <w:qFormat/>
    <w:uiPriority w:val="9"/>
    <w:pPr>
      <w:spacing w:line="360" w:lineRule="auto"/>
      <w:outlineLvl w:val="2"/>
    </w:pPr>
    <w:rPr>
      <w:b/>
      <w:bCs/>
      <w:szCs w:val="27"/>
    </w:rPr>
  </w:style>
  <w:style w:type="paragraph" w:styleId="5">
    <w:name w:val="heading 4"/>
    <w:basedOn w:val="4"/>
    <w:next w:val="1"/>
    <w:link w:val="68"/>
    <w:unhideWhenUsed/>
    <w:qFormat/>
    <w:uiPriority w:val="9"/>
    <w:pPr>
      <w:outlineLvl w:val="3"/>
    </w:pPr>
    <w:rPr>
      <w:szCs w:val="24"/>
    </w:rPr>
  </w:style>
  <w:style w:type="paragraph" w:styleId="6">
    <w:name w:val="heading 5"/>
    <w:basedOn w:val="1"/>
    <w:next w:val="1"/>
    <w:link w:val="72"/>
    <w:unhideWhenUsed/>
    <w:qFormat/>
    <w:uiPriority w:val="9"/>
    <w:pPr>
      <w:spacing w:line="360" w:lineRule="auto"/>
      <w:outlineLvl w:val="4"/>
    </w:pPr>
    <w:rPr>
      <w:b/>
      <w:bCs/>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7">
    <w:name w:val="annotation text"/>
    <w:basedOn w:val="1"/>
    <w:link w:val="61"/>
    <w:unhideWhenUsed/>
    <w:qFormat/>
    <w:uiPriority w:val="99"/>
  </w:style>
  <w:style w:type="paragraph" w:styleId="8">
    <w:name w:val="Body Text"/>
    <w:basedOn w:val="1"/>
    <w:link w:val="30"/>
    <w:qFormat/>
    <w:uiPriority w:val="0"/>
    <w:rPr>
      <w:bCs/>
      <w:sz w:val="28"/>
      <w:szCs w:val="28"/>
    </w:rPr>
  </w:style>
  <w:style w:type="paragraph" w:styleId="9">
    <w:name w:val="toc 3"/>
    <w:basedOn w:val="1"/>
    <w:next w:val="1"/>
    <w:unhideWhenUsed/>
    <w:qFormat/>
    <w:uiPriority w:val="39"/>
    <w:pPr>
      <w:ind w:left="840" w:leftChars="400"/>
    </w:pPr>
  </w:style>
  <w:style w:type="paragraph" w:styleId="10">
    <w:name w:val="Date"/>
    <w:basedOn w:val="1"/>
    <w:next w:val="1"/>
    <w:link w:val="38"/>
    <w:unhideWhenUsed/>
    <w:qFormat/>
    <w:uiPriority w:val="99"/>
    <w:pPr>
      <w:ind w:left="100" w:leftChars="2500"/>
    </w:pPr>
  </w:style>
  <w:style w:type="paragraph" w:styleId="11">
    <w:name w:val="Balloon Text"/>
    <w:basedOn w:val="1"/>
    <w:link w:val="40"/>
    <w:unhideWhenUsed/>
    <w:qFormat/>
    <w:uiPriority w:val="99"/>
    <w:rPr>
      <w:sz w:val="18"/>
      <w:szCs w:val="18"/>
    </w:rPr>
  </w:style>
  <w:style w:type="paragraph" w:styleId="12">
    <w:name w:val="footer"/>
    <w:basedOn w:val="1"/>
    <w:link w:val="32"/>
    <w:unhideWhenUsed/>
    <w:qFormat/>
    <w:uiPriority w:val="99"/>
    <w:pPr>
      <w:tabs>
        <w:tab w:val="center" w:pos="4153"/>
        <w:tab w:val="right" w:pos="8306"/>
      </w:tabs>
      <w:snapToGrid w:val="0"/>
    </w:pPr>
    <w:rPr>
      <w:sz w:val="18"/>
      <w:szCs w:val="18"/>
    </w:rPr>
  </w:style>
  <w:style w:type="paragraph" w:styleId="13">
    <w:name w:val="header"/>
    <w:basedOn w:val="1"/>
    <w:link w:val="31"/>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toc 1"/>
    <w:basedOn w:val="1"/>
    <w:next w:val="1"/>
    <w:unhideWhenUsed/>
    <w:qFormat/>
    <w:uiPriority w:val="39"/>
  </w:style>
  <w:style w:type="paragraph" w:styleId="15">
    <w:name w:val="toc 2"/>
    <w:basedOn w:val="1"/>
    <w:next w:val="1"/>
    <w:unhideWhenUsed/>
    <w:qFormat/>
    <w:uiPriority w:val="39"/>
    <w:pPr>
      <w:ind w:left="420" w:leftChars="200"/>
    </w:pPr>
  </w:style>
  <w:style w:type="paragraph" w:styleId="16">
    <w:name w:val="Normal (Web)"/>
    <w:basedOn w:val="1"/>
    <w:unhideWhenUsed/>
    <w:qFormat/>
    <w:uiPriority w:val="99"/>
    <w:pPr>
      <w:spacing w:before="100" w:beforeAutospacing="1" w:after="100" w:afterAutospacing="1"/>
    </w:pPr>
  </w:style>
  <w:style w:type="paragraph" w:styleId="17">
    <w:name w:val="annotation subject"/>
    <w:basedOn w:val="7"/>
    <w:next w:val="7"/>
    <w:link w:val="62"/>
    <w:unhideWhenUsed/>
    <w:qFormat/>
    <w:uiPriority w:val="99"/>
    <w:rPr>
      <w:b/>
      <w:bCs/>
    </w:rPr>
  </w:style>
  <w:style w:type="table" w:styleId="19">
    <w:name w:val="Table Grid"/>
    <w:basedOn w:val="18"/>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1">
    <w:name w:val="FollowedHyperlink"/>
    <w:basedOn w:val="20"/>
    <w:semiHidden/>
    <w:unhideWhenUsed/>
    <w:qFormat/>
    <w:uiPriority w:val="99"/>
    <w:rPr>
      <w:color w:val="954F72"/>
      <w:u w:val="single"/>
    </w:rPr>
  </w:style>
  <w:style w:type="character" w:styleId="22">
    <w:name w:val="Emphasis"/>
    <w:qFormat/>
    <w:uiPriority w:val="20"/>
    <w:rPr>
      <w:color w:val="CC0000"/>
    </w:rPr>
  </w:style>
  <w:style w:type="character" w:styleId="23">
    <w:name w:val="Hyperlink"/>
    <w:basedOn w:val="20"/>
    <w:unhideWhenUsed/>
    <w:qFormat/>
    <w:uiPriority w:val="99"/>
    <w:rPr>
      <w:color w:val="136EC2"/>
      <w:u w:val="single"/>
    </w:rPr>
  </w:style>
  <w:style w:type="character" w:styleId="24">
    <w:name w:val="annotation reference"/>
    <w:basedOn w:val="20"/>
    <w:unhideWhenUsed/>
    <w:qFormat/>
    <w:uiPriority w:val="99"/>
    <w:rPr>
      <w:sz w:val="21"/>
      <w:szCs w:val="21"/>
    </w:rPr>
  </w:style>
  <w:style w:type="paragraph" w:customStyle="1" w:styleId="25">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26">
    <w:name w:val="前言、引言标题"/>
    <w:next w:val="1"/>
    <w:qFormat/>
    <w:uiPriority w:val="0"/>
    <w:pPr>
      <w:shd w:val="clear" w:color="FFFFFF" w:fill="FFFFFF"/>
      <w:tabs>
        <w:tab w:val="left" w:pos="360"/>
      </w:tabs>
      <w:spacing w:before="640" w:after="560"/>
      <w:jc w:val="center"/>
      <w:outlineLvl w:val="0"/>
    </w:pPr>
    <w:rPr>
      <w:rFonts w:ascii="黑体" w:hAnsi="Times New Roman" w:eastAsia="黑体" w:cs="Times New Roman"/>
      <w:sz w:val="32"/>
      <w:lang w:val="en-US" w:eastAsia="zh-CN" w:bidi="ar-SA"/>
    </w:rPr>
  </w:style>
  <w:style w:type="paragraph" w:customStyle="1" w:styleId="27">
    <w:name w:val="章标题"/>
    <w:next w:val="1"/>
    <w:qFormat/>
    <w:uiPriority w:val="0"/>
    <w:pPr>
      <w:spacing w:beforeLines="50" w:afterLines="50"/>
      <w:jc w:val="both"/>
      <w:outlineLvl w:val="1"/>
    </w:pPr>
    <w:rPr>
      <w:rFonts w:ascii="黑体" w:hAnsi="Times New Roman" w:eastAsia="黑体" w:cs="Times New Roman"/>
      <w:sz w:val="21"/>
      <w:lang w:val="en-US" w:eastAsia="zh-CN" w:bidi="ar-SA"/>
    </w:rPr>
  </w:style>
  <w:style w:type="paragraph" w:customStyle="1" w:styleId="28">
    <w:name w:val="一级条标题"/>
    <w:next w:val="1"/>
    <w:qFormat/>
    <w:uiPriority w:val="0"/>
    <w:pPr>
      <w:outlineLvl w:val="2"/>
    </w:pPr>
    <w:rPr>
      <w:rFonts w:ascii="Times New Roman" w:hAnsi="Times New Roman" w:eastAsia="黑体" w:cs="Times New Roman"/>
      <w:sz w:val="21"/>
      <w:lang w:val="en-US" w:eastAsia="zh-CN" w:bidi="ar-SA"/>
    </w:rPr>
  </w:style>
  <w:style w:type="paragraph" w:customStyle="1" w:styleId="29">
    <w:name w:val="二级条标题"/>
    <w:basedOn w:val="28"/>
    <w:next w:val="1"/>
    <w:qFormat/>
    <w:uiPriority w:val="0"/>
    <w:pPr>
      <w:outlineLvl w:val="3"/>
    </w:pPr>
  </w:style>
  <w:style w:type="character" w:customStyle="1" w:styleId="30">
    <w:name w:val="正文文本 字符"/>
    <w:link w:val="8"/>
    <w:qFormat/>
    <w:uiPriority w:val="0"/>
    <w:rPr>
      <w:rFonts w:ascii="宋体" w:hAnsi="宋体" w:eastAsia="宋体" w:cs="Times New Roman"/>
      <w:bCs/>
      <w:sz w:val="28"/>
      <w:szCs w:val="28"/>
    </w:rPr>
  </w:style>
  <w:style w:type="character" w:customStyle="1" w:styleId="31">
    <w:name w:val="页眉 字符"/>
    <w:link w:val="13"/>
    <w:qFormat/>
    <w:uiPriority w:val="99"/>
    <w:rPr>
      <w:rFonts w:ascii="Times New Roman" w:hAnsi="Times New Roman" w:eastAsia="宋体" w:cs="Times New Roman"/>
      <w:sz w:val="18"/>
      <w:szCs w:val="18"/>
    </w:rPr>
  </w:style>
  <w:style w:type="character" w:customStyle="1" w:styleId="32">
    <w:name w:val="页脚 字符"/>
    <w:link w:val="12"/>
    <w:qFormat/>
    <w:uiPriority w:val="99"/>
    <w:rPr>
      <w:rFonts w:ascii="Times New Roman" w:hAnsi="Times New Roman" w:eastAsia="宋体" w:cs="Times New Roman"/>
      <w:sz w:val="18"/>
      <w:szCs w:val="18"/>
    </w:rPr>
  </w:style>
  <w:style w:type="paragraph" w:customStyle="1" w:styleId="33">
    <w:name w:val="Char Char Char Char Char Char Char"/>
    <w:basedOn w:val="1"/>
    <w:qFormat/>
    <w:uiPriority w:val="0"/>
    <w:pPr>
      <w:spacing w:after="160" w:line="240" w:lineRule="exact"/>
    </w:pPr>
    <w:rPr>
      <w:rFonts w:ascii="Arial" w:hAnsi="Arial" w:eastAsia="Times New Roman" w:cs="Verdana"/>
      <w:b/>
      <w:lang w:eastAsia="en-US"/>
    </w:rPr>
  </w:style>
  <w:style w:type="paragraph" w:customStyle="1" w:styleId="34">
    <w:name w:val="三级条标题"/>
    <w:basedOn w:val="29"/>
    <w:next w:val="1"/>
    <w:qFormat/>
    <w:uiPriority w:val="0"/>
    <w:pPr>
      <w:jc w:val="both"/>
      <w:outlineLvl w:val="4"/>
    </w:pPr>
    <w:rPr>
      <w:rFonts w:ascii="黑体"/>
    </w:rPr>
  </w:style>
  <w:style w:type="paragraph" w:customStyle="1" w:styleId="35">
    <w:name w:val="四级条标题"/>
    <w:basedOn w:val="34"/>
    <w:next w:val="1"/>
    <w:qFormat/>
    <w:uiPriority w:val="0"/>
    <w:pPr>
      <w:outlineLvl w:val="5"/>
    </w:pPr>
  </w:style>
  <w:style w:type="paragraph" w:customStyle="1" w:styleId="36">
    <w:name w:val="五级条标题"/>
    <w:basedOn w:val="35"/>
    <w:next w:val="1"/>
    <w:qFormat/>
    <w:uiPriority w:val="0"/>
    <w:pPr>
      <w:outlineLvl w:val="6"/>
    </w:pPr>
  </w:style>
  <w:style w:type="character" w:customStyle="1" w:styleId="37">
    <w:name w:val="short_text1"/>
    <w:qFormat/>
    <w:uiPriority w:val="0"/>
    <w:rPr>
      <w:sz w:val="29"/>
      <w:szCs w:val="29"/>
    </w:rPr>
  </w:style>
  <w:style w:type="character" w:customStyle="1" w:styleId="38">
    <w:name w:val="日期 字符"/>
    <w:link w:val="10"/>
    <w:semiHidden/>
    <w:qFormat/>
    <w:uiPriority w:val="99"/>
    <w:rPr>
      <w:rFonts w:ascii="Times New Roman" w:hAnsi="Times New Roman"/>
      <w:kern w:val="2"/>
      <w:sz w:val="21"/>
      <w:szCs w:val="24"/>
    </w:rPr>
  </w:style>
  <w:style w:type="character" w:customStyle="1" w:styleId="39">
    <w:name w:val="标题 3 字符"/>
    <w:basedOn w:val="20"/>
    <w:link w:val="4"/>
    <w:qFormat/>
    <w:uiPriority w:val="9"/>
    <w:rPr>
      <w:rFonts w:ascii="宋体" w:hAnsi="宋体" w:cs="宋体"/>
      <w:b/>
      <w:bCs/>
      <w:sz w:val="24"/>
      <w:szCs w:val="27"/>
    </w:rPr>
  </w:style>
  <w:style w:type="character" w:customStyle="1" w:styleId="40">
    <w:name w:val="批注框文本 字符"/>
    <w:basedOn w:val="20"/>
    <w:link w:val="11"/>
    <w:semiHidden/>
    <w:qFormat/>
    <w:uiPriority w:val="99"/>
    <w:rPr>
      <w:rFonts w:ascii="Times New Roman" w:hAnsi="Times New Roman"/>
      <w:kern w:val="2"/>
      <w:sz w:val="18"/>
      <w:szCs w:val="18"/>
    </w:rPr>
  </w:style>
  <w:style w:type="paragraph" w:customStyle="1" w:styleId="41">
    <w:name w:val="段"/>
    <w:link w:val="42"/>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42">
    <w:name w:val="段 Char"/>
    <w:basedOn w:val="20"/>
    <w:link w:val="41"/>
    <w:qFormat/>
    <w:uiPriority w:val="0"/>
    <w:rPr>
      <w:rFonts w:ascii="宋体" w:hAnsi="Times New Roman"/>
      <w:sz w:val="21"/>
    </w:rPr>
  </w:style>
  <w:style w:type="paragraph" w:customStyle="1" w:styleId="43">
    <w:name w:val="示例"/>
    <w:next w:val="1"/>
    <w:qFormat/>
    <w:uiPriority w:val="0"/>
    <w:pPr>
      <w:widowControl w:val="0"/>
      <w:numPr>
        <w:ilvl w:val="0"/>
        <w:numId w:val="1"/>
      </w:numPr>
      <w:jc w:val="both"/>
    </w:pPr>
    <w:rPr>
      <w:rFonts w:ascii="宋体" w:hAnsi="Times New Roman" w:eastAsia="宋体" w:cs="Times New Roman"/>
      <w:sz w:val="18"/>
      <w:szCs w:val="18"/>
      <w:lang w:val="en-US" w:eastAsia="zh-CN" w:bidi="ar-SA"/>
    </w:rPr>
  </w:style>
  <w:style w:type="paragraph" w:customStyle="1" w:styleId="44">
    <w:name w:val="正文表标题"/>
    <w:next w:val="41"/>
    <w:qFormat/>
    <w:uiPriority w:val="0"/>
    <w:p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45">
    <w:name w:val="正文图标题"/>
    <w:next w:val="41"/>
    <w:qFormat/>
    <w:uiPriority w:val="0"/>
    <w:pPr>
      <w:numPr>
        <w:ilvl w:val="0"/>
        <w:numId w:val="2"/>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46">
    <w:name w:val="其他发布日期"/>
    <w:basedOn w:val="1"/>
    <w:qFormat/>
    <w:uiPriority w:val="0"/>
    <w:pPr>
      <w:framePr w:w="3997" w:h="471" w:hRule="exact" w:vSpace="181" w:wrap="around" w:vAnchor="page" w:hAnchor="page" w:x="1419" w:y="14097" w:anchorLock="1"/>
      <w:numPr>
        <w:ilvl w:val="0"/>
        <w:numId w:val="3"/>
      </w:numPr>
    </w:pPr>
    <w:rPr>
      <w:rFonts w:eastAsia="黑体"/>
      <w:sz w:val="28"/>
      <w:szCs w:val="20"/>
    </w:rPr>
  </w:style>
  <w:style w:type="paragraph" w:customStyle="1" w:styleId="47">
    <w:name w:val="标准表题"/>
    <w:basedOn w:val="1"/>
    <w:next w:val="41"/>
    <w:qFormat/>
    <w:uiPriority w:val="0"/>
    <w:pPr>
      <w:jc w:val="center"/>
    </w:pPr>
    <w:rPr>
      <w:rFonts w:ascii="黑体" w:eastAsia="黑体"/>
      <w:kern w:val="21"/>
      <w:szCs w:val="20"/>
    </w:rPr>
  </w:style>
  <w:style w:type="paragraph" w:customStyle="1" w:styleId="48">
    <w:name w:val="章"/>
    <w:basedOn w:val="1"/>
    <w:next w:val="41"/>
    <w:qFormat/>
    <w:uiPriority w:val="0"/>
    <w:pPr>
      <w:adjustRightInd w:val="0"/>
      <w:spacing w:before="160" w:after="160"/>
      <w:outlineLvl w:val="0"/>
    </w:pPr>
    <w:rPr>
      <w:rFonts w:ascii="黑体" w:eastAsia="黑体"/>
      <w:kern w:val="21"/>
      <w:szCs w:val="20"/>
    </w:rPr>
  </w:style>
  <w:style w:type="paragraph" w:customStyle="1" w:styleId="49">
    <w:name w:val="条2"/>
    <w:basedOn w:val="1"/>
    <w:next w:val="41"/>
    <w:qFormat/>
    <w:uiPriority w:val="0"/>
    <w:pPr>
      <w:outlineLvl w:val="1"/>
    </w:pPr>
    <w:rPr>
      <w:rFonts w:ascii="黑体" w:eastAsia="黑体"/>
      <w:kern w:val="21"/>
      <w:szCs w:val="20"/>
    </w:rPr>
  </w:style>
  <w:style w:type="paragraph" w:customStyle="1" w:styleId="50">
    <w:name w:val="条1"/>
    <w:basedOn w:val="1"/>
    <w:next w:val="41"/>
    <w:qFormat/>
    <w:uiPriority w:val="0"/>
    <w:pPr>
      <w:outlineLvl w:val="1"/>
    </w:pPr>
    <w:rPr>
      <w:rFonts w:ascii="黑体" w:eastAsia="黑体"/>
      <w:kern w:val="21"/>
      <w:szCs w:val="20"/>
    </w:rPr>
  </w:style>
  <w:style w:type="character" w:customStyle="1" w:styleId="51">
    <w:name w:val="font111"/>
    <w:basedOn w:val="20"/>
    <w:qFormat/>
    <w:uiPriority w:val="0"/>
    <w:rPr>
      <w:rFonts w:hint="eastAsia" w:ascii="宋体" w:hAnsi="宋体" w:eastAsia="宋体"/>
      <w:color w:val="000000"/>
      <w:sz w:val="18"/>
      <w:szCs w:val="18"/>
      <w:u w:val="none"/>
    </w:rPr>
  </w:style>
  <w:style w:type="character" w:customStyle="1" w:styleId="52">
    <w:name w:val="font81"/>
    <w:basedOn w:val="20"/>
    <w:qFormat/>
    <w:uiPriority w:val="0"/>
    <w:rPr>
      <w:rFonts w:hint="default" w:ascii="Times New Roman" w:hAnsi="Times New Roman" w:cs="Times New Roman"/>
      <w:color w:val="000000"/>
      <w:sz w:val="18"/>
      <w:szCs w:val="18"/>
      <w:u w:val="none"/>
    </w:rPr>
  </w:style>
  <w:style w:type="character" w:customStyle="1" w:styleId="53">
    <w:name w:val="font121"/>
    <w:basedOn w:val="20"/>
    <w:qFormat/>
    <w:uiPriority w:val="0"/>
    <w:rPr>
      <w:rFonts w:hint="eastAsia" w:ascii="宋体" w:hAnsi="宋体" w:eastAsia="宋体"/>
      <w:b/>
      <w:bCs/>
      <w:color w:val="000000"/>
      <w:sz w:val="18"/>
      <w:szCs w:val="18"/>
      <w:u w:val="none"/>
    </w:rPr>
  </w:style>
  <w:style w:type="character" w:customStyle="1" w:styleId="54">
    <w:name w:val="font91"/>
    <w:basedOn w:val="20"/>
    <w:qFormat/>
    <w:uiPriority w:val="0"/>
    <w:rPr>
      <w:rFonts w:hint="default" w:ascii="Times New Roman" w:hAnsi="Times New Roman" w:cs="Times New Roman"/>
      <w:b/>
      <w:bCs/>
      <w:color w:val="000000"/>
      <w:sz w:val="18"/>
      <w:szCs w:val="18"/>
      <w:u w:val="none"/>
    </w:rPr>
  </w:style>
  <w:style w:type="character" w:customStyle="1" w:styleId="55">
    <w:name w:val="font71"/>
    <w:basedOn w:val="20"/>
    <w:qFormat/>
    <w:uiPriority w:val="0"/>
    <w:rPr>
      <w:rFonts w:hint="eastAsia" w:ascii="宋体" w:hAnsi="宋体" w:eastAsia="宋体"/>
      <w:color w:val="000000"/>
      <w:sz w:val="18"/>
      <w:szCs w:val="18"/>
      <w:u w:val="none"/>
    </w:rPr>
  </w:style>
  <w:style w:type="character" w:customStyle="1" w:styleId="56">
    <w:name w:val="font101"/>
    <w:basedOn w:val="20"/>
    <w:qFormat/>
    <w:uiPriority w:val="0"/>
    <w:rPr>
      <w:rFonts w:hint="default" w:ascii="Times New Roman" w:hAnsi="Times New Roman" w:cs="Times New Roman"/>
      <w:color w:val="000000"/>
      <w:sz w:val="18"/>
      <w:szCs w:val="18"/>
      <w:u w:val="none"/>
    </w:rPr>
  </w:style>
  <w:style w:type="character" w:customStyle="1" w:styleId="57">
    <w:name w:val="标题 1 字符"/>
    <w:basedOn w:val="20"/>
    <w:link w:val="2"/>
    <w:qFormat/>
    <w:uiPriority w:val="9"/>
    <w:rPr>
      <w:rFonts w:ascii="Times New Roman" w:hAnsi="Times New Roman"/>
      <w:b/>
      <w:bCs/>
      <w:kern w:val="44"/>
      <w:sz w:val="28"/>
      <w:szCs w:val="44"/>
    </w:rPr>
  </w:style>
  <w:style w:type="character" w:customStyle="1" w:styleId="58">
    <w:name w:val="标题 2 字符"/>
    <w:basedOn w:val="20"/>
    <w:link w:val="3"/>
    <w:qFormat/>
    <w:uiPriority w:val="9"/>
    <w:rPr>
      <w:rFonts w:asciiTheme="majorHAnsi" w:hAnsiTheme="majorHAnsi" w:eastAsiaTheme="majorEastAsia" w:cstheme="majorBidi"/>
      <w:b/>
      <w:bCs/>
      <w:kern w:val="2"/>
      <w:sz w:val="24"/>
      <w:szCs w:val="32"/>
    </w:rPr>
  </w:style>
  <w:style w:type="paragraph" w:customStyle="1" w:styleId="59">
    <w:name w:val="TOC 标题1"/>
    <w:basedOn w:val="2"/>
    <w:next w:val="1"/>
    <w:unhideWhenUsed/>
    <w:qFormat/>
    <w:uiPriority w:val="39"/>
    <w:pPr>
      <w:spacing w:before="240" w:line="259" w:lineRule="auto"/>
      <w:outlineLvl w:val="9"/>
    </w:pPr>
    <w:rPr>
      <w:rFonts w:asciiTheme="majorHAnsi" w:hAnsiTheme="majorHAnsi" w:eastAsiaTheme="majorEastAsia" w:cstheme="majorBidi"/>
      <w:b w:val="0"/>
      <w:bCs w:val="0"/>
      <w:color w:val="376092" w:themeColor="accent1" w:themeShade="BF"/>
      <w:kern w:val="0"/>
      <w:sz w:val="32"/>
      <w:szCs w:val="32"/>
    </w:rPr>
  </w:style>
  <w:style w:type="paragraph" w:customStyle="1" w:styleId="60">
    <w:name w:val="Table Paragraph"/>
    <w:basedOn w:val="1"/>
    <w:qFormat/>
    <w:uiPriority w:val="1"/>
    <w:rPr>
      <w:rFonts w:ascii="Calibri" w:hAnsi="Calibri" w:eastAsia="Calibri"/>
      <w:sz w:val="22"/>
      <w:szCs w:val="22"/>
      <w:lang w:eastAsia="en-US"/>
    </w:rPr>
  </w:style>
  <w:style w:type="character" w:customStyle="1" w:styleId="61">
    <w:name w:val="批注文字 字符"/>
    <w:basedOn w:val="20"/>
    <w:link w:val="7"/>
    <w:semiHidden/>
    <w:qFormat/>
    <w:uiPriority w:val="99"/>
    <w:rPr>
      <w:rFonts w:ascii="Times New Roman" w:hAnsi="Times New Roman"/>
      <w:kern w:val="2"/>
      <w:sz w:val="24"/>
      <w:szCs w:val="24"/>
    </w:rPr>
  </w:style>
  <w:style w:type="character" w:customStyle="1" w:styleId="62">
    <w:name w:val="批注主题 字符"/>
    <w:basedOn w:val="61"/>
    <w:link w:val="17"/>
    <w:semiHidden/>
    <w:qFormat/>
    <w:uiPriority w:val="99"/>
    <w:rPr>
      <w:rFonts w:ascii="Times New Roman" w:hAnsi="Times New Roman"/>
      <w:b/>
      <w:bCs/>
      <w:kern w:val="2"/>
      <w:sz w:val="24"/>
      <w:szCs w:val="24"/>
    </w:rPr>
  </w:style>
  <w:style w:type="paragraph" w:customStyle="1" w:styleId="63">
    <w:name w:val="修订1"/>
    <w:hidden/>
    <w:semiHidden/>
    <w:qFormat/>
    <w:uiPriority w:val="99"/>
    <w:rPr>
      <w:rFonts w:ascii="Times New Roman" w:hAnsi="Times New Roman" w:eastAsia="宋体" w:cs="Times New Roman"/>
      <w:kern w:val="2"/>
      <w:sz w:val="24"/>
      <w:szCs w:val="24"/>
      <w:lang w:val="en-US" w:eastAsia="zh-CN" w:bidi="ar-SA"/>
    </w:rPr>
  </w:style>
  <w:style w:type="character" w:customStyle="1" w:styleId="64">
    <w:name w:val="font11"/>
    <w:basedOn w:val="20"/>
    <w:qFormat/>
    <w:uiPriority w:val="0"/>
    <w:rPr>
      <w:rFonts w:hint="default" w:ascii="Times New Roman" w:hAnsi="Times New Roman" w:cs="Times New Roman"/>
      <w:color w:val="000000"/>
      <w:sz w:val="21"/>
      <w:szCs w:val="21"/>
      <w:u w:val="none"/>
    </w:rPr>
  </w:style>
  <w:style w:type="character" w:customStyle="1" w:styleId="65">
    <w:name w:val="font21"/>
    <w:basedOn w:val="20"/>
    <w:qFormat/>
    <w:uiPriority w:val="0"/>
    <w:rPr>
      <w:rFonts w:hint="eastAsia" w:ascii="宋体" w:hAnsi="宋体" w:eastAsia="宋体" w:cs="宋体"/>
      <w:color w:val="000000"/>
      <w:sz w:val="21"/>
      <w:szCs w:val="21"/>
      <w:u w:val="none"/>
    </w:rPr>
  </w:style>
  <w:style w:type="paragraph" w:styleId="66">
    <w:name w:val="List Paragraph"/>
    <w:basedOn w:val="1"/>
    <w:unhideWhenUsed/>
    <w:qFormat/>
    <w:uiPriority w:val="34"/>
    <w:pPr>
      <w:ind w:firstLine="420" w:firstLineChars="200"/>
    </w:pPr>
  </w:style>
  <w:style w:type="paragraph" w:customStyle="1" w:styleId="67">
    <w:name w:val="条3"/>
    <w:basedOn w:val="1"/>
    <w:qFormat/>
    <w:uiPriority w:val="0"/>
    <w:rPr>
      <w:rFonts w:asciiTheme="minorHAnsi" w:hAnsiTheme="minorHAnsi" w:eastAsiaTheme="minorEastAsia" w:cstheme="minorBidi"/>
      <w:sz w:val="21"/>
      <w:szCs w:val="22"/>
    </w:rPr>
  </w:style>
  <w:style w:type="character" w:customStyle="1" w:styleId="68">
    <w:name w:val="标题 4 字符"/>
    <w:basedOn w:val="20"/>
    <w:link w:val="5"/>
    <w:qFormat/>
    <w:uiPriority w:val="9"/>
    <w:rPr>
      <w:rFonts w:ascii="宋体" w:hAnsi="宋体" w:cs="宋体"/>
      <w:b/>
      <w:bCs/>
      <w:sz w:val="24"/>
      <w:szCs w:val="24"/>
    </w:rPr>
  </w:style>
  <w:style w:type="paragraph" w:customStyle="1" w:styleId="69">
    <w:name w:val="Revision"/>
    <w:hidden/>
    <w:semiHidden/>
    <w:qFormat/>
    <w:uiPriority w:val="99"/>
    <w:rPr>
      <w:rFonts w:ascii="宋体" w:hAnsi="宋体" w:eastAsia="宋体" w:cs="宋体"/>
      <w:sz w:val="24"/>
      <w:szCs w:val="24"/>
      <w:lang w:val="en-US" w:eastAsia="zh-CN" w:bidi="ar-SA"/>
    </w:rPr>
  </w:style>
  <w:style w:type="table" w:customStyle="1" w:styleId="70">
    <w:name w:val="Grid Table Light"/>
    <w:basedOn w:val="18"/>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71">
    <w:name w:val="Grid Table 1 Light Accent 5"/>
    <w:basedOn w:val="18"/>
    <w:qFormat/>
    <w:uiPriority w:val="46"/>
    <w:tblPr>
      <w:tblBorders>
        <w:top w:val="single" w:color="B6DDE8" w:themeColor="accent5" w:themeTint="66" w:sz="4" w:space="0"/>
        <w:left w:val="single" w:color="B6DDE8" w:themeColor="accent5" w:themeTint="66" w:sz="4" w:space="0"/>
        <w:bottom w:val="single" w:color="B6DDE8" w:themeColor="accent5" w:themeTint="66" w:sz="4" w:space="0"/>
        <w:right w:val="single" w:color="B6DDE8" w:themeColor="accent5" w:themeTint="66" w:sz="4" w:space="0"/>
        <w:insideH w:val="single" w:color="B6DDE8" w:themeColor="accent5" w:themeTint="66" w:sz="4" w:space="0"/>
        <w:insideV w:val="single" w:color="B6DDE8" w:themeColor="accent5" w:themeTint="66" w:sz="4" w:space="0"/>
      </w:tblBorders>
    </w:tblPr>
    <w:tblStylePr w:type="firstRow">
      <w:rPr>
        <w:b/>
        <w:bCs/>
      </w:rPr>
      <w:tcPr>
        <w:tcBorders>
          <w:bottom w:val="single" w:color="92CDDC" w:themeColor="accent5" w:themeTint="99" w:sz="12" w:space="0"/>
        </w:tcBorders>
      </w:tcPr>
    </w:tblStylePr>
    <w:tblStylePr w:type="lastRow">
      <w:rPr>
        <w:b/>
        <w:bCs/>
      </w:rPr>
      <w:tcPr>
        <w:tcBorders>
          <w:top w:val="double" w:color="92CDDC" w:themeColor="accent5" w:themeTint="99" w:sz="2" w:space="0"/>
        </w:tcBorders>
      </w:tcPr>
    </w:tblStylePr>
    <w:tblStylePr w:type="firstCol">
      <w:rPr>
        <w:b/>
        <w:bCs/>
      </w:rPr>
    </w:tblStylePr>
    <w:tblStylePr w:type="lastCol">
      <w:rPr>
        <w:b/>
        <w:bCs/>
      </w:rPr>
    </w:tblStylePr>
  </w:style>
  <w:style w:type="character" w:customStyle="1" w:styleId="72">
    <w:name w:val="标题 5 字符"/>
    <w:basedOn w:val="20"/>
    <w:link w:val="6"/>
    <w:qFormat/>
    <w:uiPriority w:val="9"/>
    <w:rPr>
      <w:rFonts w:ascii="宋体" w:hAnsi="宋体" w:cs="宋体"/>
      <w:b/>
      <w:bCs/>
      <w:sz w:val="24"/>
      <w:szCs w:val="24"/>
    </w:rPr>
  </w:style>
  <w:style w:type="paragraph" w:customStyle="1" w:styleId="73">
    <w:name w:val="msonormal"/>
    <w:basedOn w:val="1"/>
    <w:qFormat/>
    <w:uiPriority w:val="0"/>
    <w:pPr>
      <w:spacing w:before="100" w:beforeAutospacing="1" w:after="100" w:afterAutospacing="1"/>
    </w:pPr>
  </w:style>
  <w:style w:type="paragraph" w:customStyle="1" w:styleId="74">
    <w:name w:val="font5"/>
    <w:basedOn w:val="1"/>
    <w:qFormat/>
    <w:uiPriority w:val="0"/>
    <w:pPr>
      <w:spacing w:before="100" w:beforeAutospacing="1" w:after="100" w:afterAutospacing="1"/>
    </w:pPr>
    <w:rPr>
      <w:rFonts w:ascii="等线" w:hAnsi="等线" w:eastAsia="等线"/>
      <w:sz w:val="18"/>
      <w:szCs w:val="18"/>
    </w:rPr>
  </w:style>
  <w:style w:type="paragraph" w:customStyle="1" w:styleId="75">
    <w:name w:val="font6"/>
    <w:basedOn w:val="1"/>
    <w:qFormat/>
    <w:uiPriority w:val="0"/>
    <w:pPr>
      <w:spacing w:before="100" w:beforeAutospacing="1" w:after="100" w:afterAutospacing="1"/>
    </w:pPr>
    <w:rPr>
      <w:color w:val="FF0000"/>
      <w:sz w:val="22"/>
      <w:szCs w:val="22"/>
    </w:rPr>
  </w:style>
  <w:style w:type="paragraph" w:customStyle="1" w:styleId="76">
    <w:name w:val="font7"/>
    <w:basedOn w:val="1"/>
    <w:qFormat/>
    <w:uiPriority w:val="0"/>
    <w:pPr>
      <w:spacing w:before="100" w:beforeAutospacing="1" w:after="100" w:afterAutospacing="1"/>
    </w:pPr>
    <w:rPr>
      <w:rFonts w:ascii="Arial" w:hAnsi="Arial" w:cs="Arial"/>
      <w:color w:val="FF0000"/>
      <w:sz w:val="22"/>
      <w:szCs w:val="22"/>
    </w:rPr>
  </w:style>
  <w:style w:type="paragraph" w:customStyle="1" w:styleId="77">
    <w:name w:val="font8"/>
    <w:basedOn w:val="1"/>
    <w:qFormat/>
    <w:uiPriority w:val="0"/>
    <w:pPr>
      <w:spacing w:before="100" w:beforeAutospacing="1" w:after="100" w:afterAutospacing="1"/>
    </w:pPr>
    <w:rPr>
      <w:rFonts w:ascii="等线" w:hAnsi="等线" w:eastAsia="等线"/>
      <w:color w:val="FF0000"/>
      <w:sz w:val="22"/>
      <w:szCs w:val="22"/>
    </w:rPr>
  </w:style>
  <w:style w:type="paragraph" w:customStyle="1" w:styleId="78">
    <w:name w:val="xl65"/>
    <w:basedOn w:val="1"/>
    <w:qFormat/>
    <w:uiPriority w:val="0"/>
    <w:pPr>
      <w:spacing w:before="100" w:beforeAutospacing="1" w:after="100" w:afterAutospacing="1"/>
      <w:jc w:val="center"/>
      <w:textAlignment w:val="center"/>
    </w:pPr>
    <w:rPr>
      <w:rFonts w:ascii="仿宋" w:hAnsi="仿宋" w:eastAsia="仿宋"/>
      <w:b/>
      <w:bCs/>
    </w:rPr>
  </w:style>
  <w:style w:type="paragraph" w:customStyle="1" w:styleId="79">
    <w:name w:val="xl66"/>
    <w:basedOn w:val="1"/>
    <w:qFormat/>
    <w:uiPriority w:val="0"/>
    <w:pPr>
      <w:spacing w:before="100" w:beforeAutospacing="1" w:after="100" w:afterAutospacing="1"/>
      <w:jc w:val="center"/>
      <w:textAlignment w:val="center"/>
    </w:pPr>
    <w:rPr>
      <w:b/>
      <w:bCs/>
    </w:rPr>
  </w:style>
  <w:style w:type="paragraph" w:customStyle="1" w:styleId="80">
    <w:name w:val="xl67"/>
    <w:basedOn w:val="1"/>
    <w:qFormat/>
    <w:uiPriority w:val="0"/>
    <w:pPr>
      <w:spacing w:before="100" w:beforeAutospacing="1" w:after="100" w:afterAutospacing="1"/>
      <w:jc w:val="center"/>
    </w:pPr>
    <w:rPr>
      <w:b/>
      <w:bCs/>
    </w:rPr>
  </w:style>
  <w:style w:type="paragraph" w:customStyle="1" w:styleId="81">
    <w:name w:val="xl68"/>
    <w:basedOn w:val="1"/>
    <w:qFormat/>
    <w:uiPriority w:val="0"/>
    <w:pPr>
      <w:shd w:val="clear" w:color="000000" w:fill="D9D9D9"/>
      <w:spacing w:before="100" w:beforeAutospacing="1" w:after="100" w:afterAutospacing="1"/>
      <w:jc w:val="center"/>
      <w:textAlignment w:val="center"/>
    </w:pPr>
    <w:rPr>
      <w:b/>
      <w:bCs/>
      <w:color w:val="000000"/>
    </w:rPr>
  </w:style>
  <w:style w:type="paragraph" w:customStyle="1" w:styleId="82">
    <w:name w:val="xl69"/>
    <w:basedOn w:val="1"/>
    <w:qFormat/>
    <w:uiPriority w:val="0"/>
    <w:pPr>
      <w:spacing w:before="100" w:beforeAutospacing="1" w:after="100" w:afterAutospacing="1"/>
      <w:jc w:val="center"/>
      <w:textAlignment w:val="center"/>
    </w:pPr>
    <w:rPr>
      <w:b/>
      <w:bCs/>
    </w:rPr>
  </w:style>
  <w:style w:type="paragraph" w:customStyle="1" w:styleId="83">
    <w:name w:val="xl70"/>
    <w:basedOn w:val="1"/>
    <w:qFormat/>
    <w:uiPriority w:val="0"/>
    <w:pPr>
      <w:spacing w:before="100" w:beforeAutospacing="1" w:after="100" w:afterAutospacing="1"/>
      <w:jc w:val="both"/>
      <w:textAlignment w:val="center"/>
    </w:pPr>
  </w:style>
  <w:style w:type="paragraph" w:customStyle="1" w:styleId="84">
    <w:name w:val="xl71"/>
    <w:basedOn w:val="1"/>
    <w:qFormat/>
    <w:uiPriority w:val="0"/>
    <w:pPr>
      <w:spacing w:before="100" w:beforeAutospacing="1" w:after="100" w:afterAutospacing="1"/>
      <w:textAlignment w:val="center"/>
    </w:pPr>
  </w:style>
  <w:style w:type="paragraph" w:customStyle="1" w:styleId="85">
    <w:name w:val="xl72"/>
    <w:basedOn w:val="1"/>
    <w:qFormat/>
    <w:uiPriority w:val="0"/>
    <w:pPr>
      <w:spacing w:before="100" w:beforeAutospacing="1" w:after="100" w:afterAutospacing="1"/>
      <w:textAlignment w:val="center"/>
    </w:pPr>
    <w:rPr>
      <w:b/>
      <w:bCs/>
    </w:rPr>
  </w:style>
  <w:style w:type="paragraph" w:customStyle="1" w:styleId="86">
    <w:name w:val="xl73"/>
    <w:basedOn w:val="1"/>
    <w:qFormat/>
    <w:uiPriority w:val="0"/>
    <w:pPr>
      <w:spacing w:before="100" w:beforeAutospacing="1" w:after="100" w:afterAutospacing="1"/>
      <w:textAlignment w:val="center"/>
    </w:pPr>
    <w:rPr>
      <w:b/>
      <w:bCs/>
    </w:rPr>
  </w:style>
  <w:style w:type="paragraph" w:customStyle="1" w:styleId="87">
    <w:name w:val="xl74"/>
    <w:basedOn w:val="1"/>
    <w:qFormat/>
    <w:uiPriority w:val="0"/>
    <w:pPr>
      <w:spacing w:before="100" w:beforeAutospacing="1" w:after="100" w:afterAutospacing="1"/>
      <w:textAlignment w:val="top"/>
    </w:pPr>
  </w:style>
  <w:style w:type="paragraph" w:customStyle="1" w:styleId="88">
    <w:name w:val="xl75"/>
    <w:basedOn w:val="1"/>
    <w:qFormat/>
    <w:uiPriority w:val="0"/>
    <w:pPr>
      <w:spacing w:before="100" w:beforeAutospacing="1" w:after="100" w:afterAutospacing="1"/>
      <w:jc w:val="both"/>
      <w:textAlignment w:val="top"/>
    </w:pPr>
  </w:style>
  <w:style w:type="paragraph" w:customStyle="1" w:styleId="89">
    <w:name w:val="xl76"/>
    <w:basedOn w:val="1"/>
    <w:qFormat/>
    <w:uiPriority w:val="0"/>
    <w:pPr>
      <w:spacing w:before="100" w:beforeAutospacing="1" w:after="100" w:afterAutospacing="1"/>
      <w:textAlignment w:val="top"/>
    </w:pPr>
  </w:style>
  <w:style w:type="paragraph" w:customStyle="1" w:styleId="90">
    <w:name w:val="xl77"/>
    <w:basedOn w:val="1"/>
    <w:qFormat/>
    <w:uiPriority w:val="0"/>
    <w:pPr>
      <w:spacing w:before="100" w:beforeAutospacing="1" w:after="100" w:afterAutospacing="1"/>
      <w:jc w:val="both"/>
      <w:textAlignment w:val="center"/>
    </w:pPr>
    <w:rPr>
      <w:color w:val="FF0000"/>
    </w:rPr>
  </w:style>
  <w:style w:type="paragraph" w:customStyle="1" w:styleId="91">
    <w:name w:val="xl78"/>
    <w:basedOn w:val="1"/>
    <w:qFormat/>
    <w:uiPriority w:val="0"/>
    <w:pPr>
      <w:spacing w:before="100" w:beforeAutospacing="1" w:after="100" w:afterAutospacing="1"/>
      <w:jc w:val="center"/>
      <w:textAlignment w:val="center"/>
    </w:pPr>
    <w:rPr>
      <w:b/>
      <w:bCs/>
      <w:color w:val="FF0000"/>
    </w:rPr>
  </w:style>
  <w:style w:type="paragraph" w:customStyle="1" w:styleId="92">
    <w:name w:val="xl79"/>
    <w:basedOn w:val="1"/>
    <w:qFormat/>
    <w:uiPriority w:val="0"/>
    <w:pPr>
      <w:spacing w:before="100" w:beforeAutospacing="1" w:after="100" w:afterAutospacing="1"/>
      <w:textAlignment w:val="top"/>
    </w:pPr>
    <w:rPr>
      <w:b/>
      <w:bCs/>
      <w:color w:val="FF0000"/>
    </w:rPr>
  </w:style>
  <w:style w:type="paragraph" w:customStyle="1" w:styleId="93">
    <w:name w:val="xl80"/>
    <w:basedOn w:val="1"/>
    <w:qFormat/>
    <w:uiPriority w:val="0"/>
    <w:pPr>
      <w:spacing w:before="100" w:beforeAutospacing="1" w:after="100" w:afterAutospacing="1"/>
    </w:pPr>
    <w:rPr>
      <w:b/>
      <w:bCs/>
      <w:color w:val="FF0000"/>
    </w:rPr>
  </w:style>
  <w:style w:type="paragraph" w:customStyle="1" w:styleId="94">
    <w:name w:val="xl81"/>
    <w:basedOn w:val="1"/>
    <w:qFormat/>
    <w:uiPriority w:val="0"/>
    <w:pPr>
      <w:spacing w:before="100" w:beforeAutospacing="1" w:after="100" w:afterAutospacing="1"/>
    </w:pPr>
    <w:rPr>
      <w:color w:val="FF0000"/>
    </w:rPr>
  </w:style>
  <w:style w:type="paragraph" w:customStyle="1" w:styleId="95">
    <w:name w:val="xl82"/>
    <w:basedOn w:val="1"/>
    <w:qFormat/>
    <w:uiPriority w:val="0"/>
    <w:pPr>
      <w:spacing w:before="100" w:beforeAutospacing="1" w:after="100" w:afterAutospacing="1"/>
      <w:jc w:val="center"/>
    </w:pPr>
    <w:rPr>
      <w:b/>
      <w:bCs/>
      <w:color w:val="FF0000"/>
    </w:rPr>
  </w:style>
  <w:style w:type="paragraph" w:customStyle="1" w:styleId="96">
    <w:name w:val="xl83"/>
    <w:basedOn w:val="1"/>
    <w:qFormat/>
    <w:uiPriority w:val="0"/>
    <w:pPr>
      <w:spacing w:before="100" w:beforeAutospacing="1" w:after="100" w:afterAutospacing="1"/>
      <w:textAlignment w:val="top"/>
    </w:pPr>
    <w:rPr>
      <w:color w:val="FF0000"/>
    </w:rPr>
  </w:style>
  <w:style w:type="paragraph" w:customStyle="1" w:styleId="97">
    <w:name w:val="xl84"/>
    <w:basedOn w:val="1"/>
    <w:qFormat/>
    <w:uiPriority w:val="0"/>
    <w:pPr>
      <w:spacing w:before="100" w:beforeAutospacing="1" w:after="100" w:afterAutospacing="1"/>
      <w:textAlignment w:val="center"/>
    </w:pPr>
    <w:rPr>
      <w:color w:val="FF0000"/>
    </w:rPr>
  </w:style>
  <w:style w:type="paragraph" w:customStyle="1" w:styleId="98">
    <w:name w:val="xl85"/>
    <w:basedOn w:val="1"/>
    <w:qFormat/>
    <w:uiPriority w:val="0"/>
    <w:pPr>
      <w:spacing w:before="100" w:beforeAutospacing="1" w:after="100" w:afterAutospacing="1"/>
      <w:textAlignment w:val="top"/>
    </w:pPr>
    <w:rPr>
      <w:color w:val="FF0000"/>
    </w:rPr>
  </w:style>
  <w:style w:type="paragraph" w:customStyle="1" w:styleId="99">
    <w:name w:val="xl86"/>
    <w:basedOn w:val="1"/>
    <w:qFormat/>
    <w:uiPriority w:val="0"/>
    <w:pPr>
      <w:spacing w:before="100" w:beforeAutospacing="1" w:after="100" w:afterAutospacing="1"/>
      <w:textAlignment w:val="center"/>
    </w:pPr>
    <w:rPr>
      <w:rFonts w:ascii="Arial" w:hAnsi="Arial" w:cs="Arial"/>
      <w:color w:val="FF0000"/>
    </w:rPr>
  </w:style>
  <w:style w:type="paragraph" w:customStyle="1" w:styleId="100">
    <w:name w:val="xl87"/>
    <w:basedOn w:val="1"/>
    <w:qFormat/>
    <w:uiPriority w:val="0"/>
    <w:pPr>
      <w:spacing w:before="100" w:beforeAutospacing="1" w:after="100" w:afterAutospacing="1"/>
      <w:textAlignment w:val="center"/>
    </w:pPr>
    <w:rPr>
      <w:b/>
      <w:bCs/>
      <w:color w:val="FF0000"/>
    </w:rPr>
  </w:style>
  <w:style w:type="paragraph" w:customStyle="1" w:styleId="101">
    <w:name w:val="xl88"/>
    <w:basedOn w:val="1"/>
    <w:qFormat/>
    <w:uiPriority w:val="0"/>
    <w:pPr>
      <w:spacing w:before="100" w:beforeAutospacing="1" w:after="100" w:afterAutospacing="1"/>
      <w:textAlignment w:val="center"/>
    </w:pPr>
    <w:rPr>
      <w:rFonts w:ascii="Arial" w:hAnsi="Arial" w:cs="Arial"/>
      <w:color w:val="FF0000"/>
    </w:rPr>
  </w:style>
  <w:style w:type="paragraph" w:customStyle="1" w:styleId="102">
    <w:name w:val="xl89"/>
    <w:basedOn w:val="1"/>
    <w:qFormat/>
    <w:uiPriority w:val="0"/>
    <w:pPr>
      <w:spacing w:before="100" w:beforeAutospacing="1" w:after="100" w:afterAutospacing="1"/>
      <w:textAlignment w:val="center"/>
    </w:pPr>
    <w:rPr>
      <w:rFonts w:ascii="仿宋" w:hAnsi="仿宋" w:eastAsia="仿宋"/>
      <w:b/>
      <w:bCs/>
      <w:sz w:val="32"/>
      <w:szCs w:val="32"/>
    </w:rPr>
  </w:style>
  <w:style w:type="paragraph" w:customStyle="1" w:styleId="103">
    <w:name w:val="xl90"/>
    <w:basedOn w:val="1"/>
    <w:qFormat/>
    <w:uiPriority w:val="0"/>
    <w:pPr>
      <w:spacing w:before="100" w:beforeAutospacing="1" w:after="100" w:afterAutospacing="1"/>
      <w:jc w:val="center"/>
      <w:textAlignment w:val="center"/>
    </w:pPr>
    <w:rPr>
      <w:rFonts w:ascii="方正小标宋简体" w:eastAsia="方正小标宋简体"/>
      <w:sz w:val="44"/>
      <w:szCs w:val="44"/>
    </w:rPr>
  </w:style>
  <w:style w:type="paragraph" w:customStyle="1" w:styleId="104">
    <w:name w:val="xl91"/>
    <w:basedOn w:val="1"/>
    <w:qFormat/>
    <w:uiPriority w:val="0"/>
    <w:pPr>
      <w:spacing w:before="100" w:beforeAutospacing="1" w:after="100" w:afterAutospacing="1"/>
      <w:textAlignment w:val="center"/>
    </w:pPr>
    <w:rPr>
      <w:b/>
      <w:bCs/>
    </w:rPr>
  </w:style>
  <w:style w:type="paragraph" w:customStyle="1" w:styleId="105">
    <w:name w:val="数字编号列项（二级）"/>
    <w:qFormat/>
    <w:uiPriority w:val="0"/>
    <w:pPr>
      <w:numPr>
        <w:ilvl w:val="1"/>
        <w:numId w:val="4"/>
      </w:numPr>
      <w:jc w:val="both"/>
    </w:pPr>
    <w:rPr>
      <w:rFonts w:ascii="宋体" w:hAnsi="Times New Roman" w:eastAsia="宋体" w:cs="Times New Roman"/>
      <w:sz w:val="21"/>
      <w:lang w:val="en-US" w:eastAsia="zh-CN" w:bidi="ar-SA"/>
    </w:rPr>
  </w:style>
  <w:style w:type="paragraph" w:customStyle="1" w:styleId="106">
    <w:name w:val="字母编号列项（一级）"/>
    <w:qFormat/>
    <w:uiPriority w:val="0"/>
    <w:pPr>
      <w:numPr>
        <w:ilvl w:val="0"/>
        <w:numId w:val="4"/>
      </w:numPr>
      <w:jc w:val="both"/>
    </w:pPr>
    <w:rPr>
      <w:rFonts w:ascii="宋体" w:hAnsi="Times New Roman" w:eastAsia="宋体" w:cs="Times New Roman"/>
      <w:sz w:val="21"/>
      <w:lang w:val="en-US" w:eastAsia="zh-CN" w:bidi="ar-SA"/>
    </w:rPr>
  </w:style>
  <w:style w:type="paragraph" w:customStyle="1" w:styleId="107">
    <w:name w:val="编号列项（三级）"/>
    <w:qFormat/>
    <w:uiPriority w:val="0"/>
    <w:pPr>
      <w:numPr>
        <w:ilvl w:val="2"/>
        <w:numId w:val="4"/>
      </w:numPr>
    </w:pPr>
    <w:rPr>
      <w:rFonts w:ascii="宋体" w:hAnsi="Times New Roman" w:eastAsia="宋体" w:cs="Times New Roman"/>
      <w:sz w:val="21"/>
      <w:lang w:val="en-US" w:eastAsia="zh-CN" w:bidi="ar-SA"/>
    </w:rPr>
  </w:style>
  <w:style w:type="paragraph" w:customStyle="1" w:styleId="108">
    <w:name w:val="标准文件_附录标识"/>
    <w:next w:val="1"/>
    <w:qFormat/>
    <w:uiPriority w:val="0"/>
    <w:pPr>
      <w:numPr>
        <w:ilvl w:val="0"/>
        <w:numId w:val="5"/>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109">
    <w:name w:val="标准文件_附录一级条标题"/>
    <w:next w:val="1"/>
    <w:qFormat/>
    <w:uiPriority w:val="0"/>
    <w:pPr>
      <w:widowControl w:val="0"/>
      <w:numPr>
        <w:ilvl w:val="1"/>
        <w:numId w:val="5"/>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110">
    <w:name w:val="标准文件_附录二级条标题"/>
    <w:basedOn w:val="109"/>
    <w:next w:val="1"/>
    <w:qFormat/>
    <w:uiPriority w:val="0"/>
    <w:pPr>
      <w:widowControl/>
      <w:numPr>
        <w:ilvl w:val="2"/>
      </w:numPr>
      <w:wordWrap w:val="0"/>
      <w:overflowPunct w:val="0"/>
      <w:autoSpaceDE w:val="0"/>
      <w:autoSpaceDN w:val="0"/>
      <w:textAlignment w:val="baseline"/>
      <w:outlineLvl w:val="3"/>
    </w:pPr>
  </w:style>
  <w:style w:type="paragraph" w:customStyle="1" w:styleId="111">
    <w:name w:val="标准文件_附录三级条标题"/>
    <w:next w:val="1"/>
    <w:qFormat/>
    <w:uiPriority w:val="0"/>
    <w:pPr>
      <w:widowControl w:val="0"/>
      <w:numPr>
        <w:ilvl w:val="3"/>
        <w:numId w:val="5"/>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112">
    <w:name w:val="标准文件_附录四级条标题"/>
    <w:next w:val="1"/>
    <w:qFormat/>
    <w:uiPriority w:val="0"/>
    <w:pPr>
      <w:widowControl w:val="0"/>
      <w:numPr>
        <w:ilvl w:val="4"/>
        <w:numId w:val="5"/>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113">
    <w:name w:val="标准文件_附录五级条标题"/>
    <w:next w:val="1"/>
    <w:qFormat/>
    <w:uiPriority w:val="0"/>
    <w:pPr>
      <w:widowControl w:val="0"/>
      <w:numPr>
        <w:ilvl w:val="5"/>
        <w:numId w:val="5"/>
      </w:numPr>
      <w:spacing w:before="50" w:beforeLines="50" w:after="50" w:afterLines="50"/>
      <w:jc w:val="both"/>
      <w:outlineLvl w:val="6"/>
    </w:pPr>
    <w:rPr>
      <w:rFonts w:ascii="黑体" w:hAnsi="Times New Roman" w:eastAsia="黑体" w:cs="Times New Roman"/>
      <w:kern w:val="21"/>
      <w:sz w:val="21"/>
      <w:lang w:val="en-US" w:eastAsia="zh-CN" w:bidi="ar-SA"/>
    </w:rPr>
  </w:style>
  <w:style w:type="character" w:customStyle="1" w:styleId="114">
    <w:name w:val="发布"/>
    <w:qFormat/>
    <w:uiPriority w:val="0"/>
    <w:rPr>
      <w:rFonts w:ascii="黑体" w:eastAsia="黑体"/>
      <w:spacing w:val="22"/>
      <w:w w:val="100"/>
      <w:position w:val="3"/>
      <w:sz w:val="28"/>
    </w:rPr>
  </w:style>
  <w:style w:type="paragraph" w:customStyle="1" w:styleId="115">
    <w:name w:val="Table caption|1"/>
    <w:basedOn w:val="1"/>
    <w:qFormat/>
    <w:uiPriority w:val="0"/>
    <w:pPr>
      <w:adjustRightInd/>
      <w:spacing w:line="240" w:lineRule="auto"/>
      <w:jc w:val="left"/>
    </w:pPr>
    <w:rPr>
      <w:rFonts w:ascii="宋体" w:hAnsi="宋体" w:cs="宋体"/>
      <w:color w:val="000000"/>
      <w:kern w:val="0"/>
      <w:sz w:val="15"/>
      <w:szCs w:val="15"/>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A08974-DE26-4AE3-B466-B2C882FB25CC}">
  <ds:schemaRefs/>
</ds:datastoreItem>
</file>

<file path=docProps/app.xml><?xml version="1.0" encoding="utf-8"?>
<Properties xmlns="http://schemas.openxmlformats.org/officeDocument/2006/extended-properties" xmlns:vt="http://schemas.openxmlformats.org/officeDocument/2006/docPropsVTypes">
  <Template>Normal</Template>
  <Company>Lenovo (Beijing) Limited</Company>
  <Pages>21</Pages>
  <Words>2540</Words>
  <Characters>2731</Characters>
  <Lines>191</Lines>
  <Paragraphs>53</Paragraphs>
  <TotalTime>15</TotalTime>
  <ScaleCrop>false</ScaleCrop>
  <LinksUpToDate>false</LinksUpToDate>
  <CharactersWithSpaces>2819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2016-10-14T02:30:00Z</dcterms:created>
  <dc:creator>lyc</dc:creator>
  <cp:lastModifiedBy>正晗米</cp:lastModifiedBy>
  <cp:lastPrinted>2022-07-14T09:32:00Z</cp:lastPrinted>
  <dcterms:modified xsi:type="dcterms:W3CDTF">2025-09-16T06:53:39Z</dcterms:modified>
  <dc:title>泡沫混凝土用泡沫剂</dc:title>
  <cp:revision>737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eyJoZGlkIjoiMjA0OTFiNjhjYmUzZDg2OTk4MTE1NjdlZWMyNDkzNzkiLCJ1c2VySWQiOiIxMTUxOTgzMzc3In0=</vt:lpwstr>
  </property>
  <property fmtid="{D5CDD505-2E9C-101B-9397-08002B2CF9AE}" pid="4" name="ICV">
    <vt:lpwstr>8EF97A3AD92D40E5B93B041AD3174BAF_13</vt:lpwstr>
  </property>
</Properties>
</file>