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7B856E">
      <w:pPr>
        <w:autoSpaceDE/>
        <w:autoSpaceDN/>
        <w:rPr>
          <w:rFonts w:hint="eastAsia"/>
        </w:rPr>
      </w:pPr>
    </w:p>
    <w:p w14:paraId="61255D0C">
      <w:pPr>
        <w:autoSpaceDE/>
        <w:autoSpaceDN/>
      </w:pPr>
    </w:p>
    <w:p w14:paraId="4621AD06">
      <w:pPr>
        <w:autoSpaceDE/>
        <w:autoSpaceDN/>
      </w:pPr>
    </w:p>
    <w:p w14:paraId="57B91A25">
      <w:pPr>
        <w:pStyle w:val="26"/>
        <w:framePr w:wrap="around"/>
      </w:pPr>
      <w:r>
        <w:rPr>
          <w:rFonts w:ascii="Times New Roman"/>
        </w:rPr>
        <w:t>ICS</w:t>
      </w:r>
      <w:r>
        <w:rPr>
          <w:rFonts w:hint="eastAsia" w:ascii="MS Gothic" w:hAnsi="MS Gothic" w:eastAsia="MS Gothic" w:cs="MS Gothic"/>
        </w:rPr>
        <w:t> </w:t>
      </w:r>
      <w:r>
        <w:t>55.020</w:t>
      </w:r>
    </w:p>
    <w:p w14:paraId="13AEED96">
      <w:pPr>
        <w:pStyle w:val="26"/>
        <w:framePr w:wrap="around"/>
        <w:rPr>
          <w:rFonts w:hint="default" w:eastAsia="黑体"/>
          <w:lang w:val="en-US" w:eastAsia="zh-CN"/>
        </w:rPr>
      </w:pPr>
      <w:bookmarkStart w:id="0" w:name="WXFLH"/>
      <w:r>
        <w:t xml:space="preserve">CCS </w:t>
      </w:r>
      <w:bookmarkEnd w:id="0"/>
      <w:r>
        <w:rPr>
          <w:rFonts w:hint="eastAsia"/>
          <w:sz w:val="18"/>
          <w:lang w:val="en-US" w:eastAsia="zh-CN"/>
        </w:rPr>
        <w:t>A80</w:t>
      </w:r>
    </w:p>
    <w:tbl>
      <w:tblPr>
        <w:tblStyle w:val="20"/>
        <w:tblW w:w="9854"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854"/>
      </w:tblGrid>
      <w:tr w14:paraId="57A25B9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4" w:type="dxa"/>
            <w:tcBorders>
              <w:top w:val="nil"/>
              <w:left w:val="nil"/>
              <w:bottom w:val="nil"/>
              <w:right w:val="nil"/>
            </w:tcBorders>
          </w:tcPr>
          <w:p w14:paraId="1DDCCC58">
            <w:pPr>
              <w:pStyle w:val="26"/>
              <w:framePr w:wrap="around"/>
            </w:pPr>
            <w:r>
              <mc:AlternateContent>
                <mc:Choice Requires="wps">
                  <w:drawing>
                    <wp:anchor distT="0" distB="0" distL="114300" distR="114300" simplePos="0" relativeHeight="251662336" behindDoc="1" locked="0" layoutInCell="1" allowOverlap="1">
                      <wp:simplePos x="0" y="0"/>
                      <wp:positionH relativeFrom="column">
                        <wp:posOffset>-66675</wp:posOffset>
                      </wp:positionH>
                      <wp:positionV relativeFrom="paragraph">
                        <wp:posOffset>0</wp:posOffset>
                      </wp:positionV>
                      <wp:extent cx="866775" cy="198120"/>
                      <wp:effectExtent l="0" t="0" r="9525" b="0"/>
                      <wp:wrapNone/>
                      <wp:docPr id="1" name="BAH"/>
                      <wp:cNvGraphicFramePr/>
                      <a:graphic xmlns:a="http://schemas.openxmlformats.org/drawingml/2006/main">
                        <a:graphicData uri="http://schemas.microsoft.com/office/word/2010/wordprocessingShape">
                          <wps:wsp>
                            <wps:cNvSpPr/>
                            <wps:spPr>
                              <a:xfrm>
                                <a:off x="0" y="0"/>
                                <a:ext cx="866775" cy="198120"/>
                              </a:xfrm>
                              <a:prstGeom prst="rect">
                                <a:avLst/>
                              </a:prstGeom>
                              <a:solidFill>
                                <a:srgbClr val="FFFFFF"/>
                              </a:solidFill>
                              <a:ln w="9525">
                                <a:noFill/>
                              </a:ln>
                            </wps:spPr>
                            <wps:txbx>
                              <w:txbxContent>
                                <w:p w14:paraId="0A5E66C9"/>
                              </w:txbxContent>
                            </wps:txbx>
                            <wps:bodyPr upright="1"/>
                          </wps:wsp>
                        </a:graphicData>
                      </a:graphic>
                    </wp:anchor>
                  </w:drawing>
                </mc:Choice>
                <mc:Fallback>
                  <w:pict>
                    <v:rect id="BAH" o:spid="_x0000_s1026" o:spt="1" style="position:absolute;left:0pt;margin-left:-5.25pt;margin-top:0pt;height:15.6pt;width:68.25pt;z-index:-251654144;mso-width-relative:page;mso-height-relative:page;" fillcolor="#FFFFFF" filled="t" stroked="f" coordsize="21600,21600" o:gfxdata="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">
                      <v:fill on="t" focussize="0,0"/>
                      <v:stroke on="f"/>
                      <v:imagedata o:title=""/>
                      <o:lock v:ext="edit" aspectratio="f"/>
                      <v:textbox>
                        <w:txbxContent>
                          <w:p w14:paraId="0A5E66C9"/>
                        </w:txbxContent>
                      </v:textbox>
                    </v:rect>
                  </w:pict>
                </mc:Fallback>
              </mc:AlternateContent>
            </w:r>
          </w:p>
        </w:tc>
      </w:tr>
    </w:tbl>
    <w:p w14:paraId="3C201250">
      <w:pPr>
        <w:pStyle w:val="27"/>
        <w:framePr w:wrap="around"/>
        <w:rPr>
          <w:b w:val="0"/>
        </w:rPr>
      </w:pPr>
      <w:bookmarkStart w:id="1" w:name="c1"/>
      <w:r>
        <w:rPr>
          <w:b w:val="0"/>
        </w:rPr>
        <w:fldChar w:fldCharType="begin">
          <w:ffData>
            <w:name w:val="c1"/>
            <w:enabled/>
            <w:calcOnExit w:val="0"/>
            <w:entryMacro w:val="ShowHelp15"/>
            <w:textInput>
              <w:maxLength w:val="2"/>
            </w:textInput>
          </w:ffData>
        </w:fldChar>
      </w:r>
      <w:r>
        <w:rPr>
          <w:b w:val="0"/>
        </w:rPr>
        <w:instrText xml:space="preserve"> FORMTEXT </w:instrText>
      </w:r>
      <w:r>
        <w:rPr>
          <w:b w:val="0"/>
        </w:rPr>
        <w:fldChar w:fldCharType="separate"/>
      </w:r>
      <w:r>
        <w:rPr>
          <w:rFonts w:hint="eastAsia"/>
          <w:b w:val="0"/>
        </w:rPr>
        <w:t>JC</w:t>
      </w:r>
      <w:r>
        <w:rPr>
          <w:b w:val="0"/>
        </w:rPr>
        <w:fldChar w:fldCharType="end"/>
      </w:r>
      <w:bookmarkEnd w:id="1"/>
    </w:p>
    <w:p w14:paraId="2EEFAE2D">
      <w:pPr>
        <w:pStyle w:val="28"/>
        <w:framePr w:wrap="around"/>
      </w:pPr>
      <w:r>
        <w:rPr>
          <w:rFonts w:hint="eastAsia"/>
        </w:rPr>
        <w:t>中华人民共和国</w:t>
      </w:r>
      <w:bookmarkStart w:id="2" w:name="c2"/>
      <w:r>
        <w:fldChar w:fldCharType="begin">
          <w:ffData>
            <w:name w:val="c2"/>
            <w:enabled/>
            <w:calcOnExit w:val="0"/>
            <w:entryMacro w:val="showhelp11"/>
            <w:textInput/>
          </w:ffData>
        </w:fldChar>
      </w:r>
      <w:r>
        <w:instrText xml:space="preserve"> FORMTEXT </w:instrText>
      </w:r>
      <w:r>
        <w:fldChar w:fldCharType="separate"/>
      </w:r>
      <w:r>
        <w:rPr>
          <w:rFonts w:hint="eastAsia"/>
        </w:rPr>
        <w:t>建材</w:t>
      </w:r>
      <w:r>
        <w:fldChar w:fldCharType="end"/>
      </w:r>
      <w:bookmarkEnd w:id="2"/>
      <w:r>
        <w:rPr>
          <w:rFonts w:hint="eastAsia"/>
        </w:rPr>
        <w:t>行业标准</w:t>
      </w:r>
    </w:p>
    <w:p w14:paraId="6C76FD94">
      <w:pPr>
        <w:pStyle w:val="29"/>
        <w:framePr w:wrap="around"/>
      </w:pPr>
      <w:bookmarkStart w:id="3" w:name="StdNo0"/>
      <w:r>
        <w:rPr>
          <w:rFonts w:ascii="Times New Roman"/>
        </w:rPr>
        <w:fldChar w:fldCharType="begin">
          <w:ffData>
            <w:name w:val="StdNo0"/>
            <w:enabled/>
            <w:calcOnExit w:val="0"/>
            <w:textInput>
              <w:default w:val="XX"/>
              <w:maxLength w:val="2"/>
            </w:textInput>
          </w:ffData>
        </w:fldChar>
      </w:r>
      <w:r>
        <w:rPr>
          <w:rFonts w:ascii="Times New Roman"/>
        </w:rPr>
        <w:instrText xml:space="preserve"> FORMTEXT </w:instrText>
      </w:r>
      <w:r>
        <w:rPr>
          <w:rFonts w:ascii="Times New Roman"/>
        </w:rPr>
        <w:fldChar w:fldCharType="separate"/>
      </w:r>
      <w:r>
        <w:rPr>
          <w:rFonts w:hint="eastAsia" w:ascii="Times New Roman"/>
        </w:rPr>
        <w:t>JC</w:t>
      </w:r>
      <w:r>
        <w:rPr>
          <w:rFonts w:ascii="Times New Roman"/>
        </w:rPr>
        <w:fldChar w:fldCharType="end"/>
      </w:r>
      <w:bookmarkEnd w:id="3"/>
      <w:r>
        <w:rPr>
          <w:rFonts w:ascii="Times New Roman"/>
        </w:rPr>
        <w:t xml:space="preserve">/T </w:t>
      </w:r>
      <w:bookmarkStart w:id="4" w:name="StdNo1"/>
      <w:r>
        <w:fldChar w:fldCharType="begin">
          <w:ffData>
            <w:name w:val="StdNo1"/>
            <w:enabled/>
            <w:calcOnExit w:val="0"/>
            <w:textInput>
              <w:default w:val="XXXXX"/>
            </w:textInput>
          </w:ffData>
        </w:fldChar>
      </w:r>
      <w:r>
        <w:instrText xml:space="preserve"> FORMTEXT </w:instrText>
      </w:r>
      <w:r>
        <w:fldChar w:fldCharType="separate"/>
      </w:r>
      <w:r>
        <w:t>XXXXX</w:t>
      </w:r>
      <w:r>
        <w:fldChar w:fldCharType="end"/>
      </w:r>
      <w:bookmarkEnd w:id="4"/>
      <w:r>
        <w:t>—</w:t>
      </w:r>
      <w:bookmarkStart w:id="5" w:name="StdNo2"/>
      <w:r>
        <w:fldChar w:fldCharType="begin">
          <w:ffData>
            <w:name w:val="StdNo2"/>
            <w:enabled/>
            <w:calcOnExit w:val="0"/>
            <w:textInput>
              <w:default w:val="XXXX"/>
              <w:maxLength w:val="4"/>
            </w:textInput>
          </w:ffData>
        </w:fldChar>
      </w:r>
      <w:r>
        <w:instrText xml:space="preserve"> FORMTEXT </w:instrText>
      </w:r>
      <w:r>
        <w:fldChar w:fldCharType="separate"/>
      </w:r>
      <w:r>
        <w:t>XXXX</w:t>
      </w:r>
      <w:r>
        <w:fldChar w:fldCharType="end"/>
      </w:r>
      <w:bookmarkEnd w:id="5"/>
    </w:p>
    <w:tbl>
      <w:tblPr>
        <w:tblStyle w:val="20"/>
        <w:tblW w:w="9356"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356"/>
      </w:tblGrid>
      <w:tr w14:paraId="48340D0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6" w:type="dxa"/>
            <w:tcBorders>
              <w:top w:val="nil"/>
              <w:left w:val="nil"/>
              <w:bottom w:val="nil"/>
              <w:right w:val="nil"/>
            </w:tcBorders>
          </w:tcPr>
          <w:p w14:paraId="45EC7BE1">
            <w:pPr>
              <w:pStyle w:val="30"/>
              <w:framePr w:wrap="around"/>
              <w:ind w:right="210"/>
            </w:pPr>
          </w:p>
        </w:tc>
      </w:tr>
    </w:tbl>
    <w:p w14:paraId="0B27A983">
      <w:pPr>
        <w:pStyle w:val="29"/>
        <w:framePr w:wrap="around"/>
      </w:pPr>
    </w:p>
    <w:p w14:paraId="4A88A3DF">
      <w:pPr>
        <w:pStyle w:val="29"/>
        <w:framePr w:wrap="around"/>
      </w:pPr>
    </w:p>
    <w:p w14:paraId="13298E67">
      <w:pPr>
        <w:pStyle w:val="31"/>
        <w:framePr w:w="9293" w:wrap="around" w:x="1699"/>
        <w:rPr>
          <w:rFonts w:hint="default" w:eastAsia="黑体"/>
          <w:lang w:val="en-US" w:eastAsia="zh-CN"/>
        </w:rPr>
      </w:pPr>
      <w:r>
        <w:rPr>
          <w:rFonts w:hint="eastAsia"/>
          <w:lang w:val="en-US" w:eastAsia="zh-CN"/>
        </w:rPr>
        <w:t>镁质装饰材料运输包装</w:t>
      </w:r>
    </w:p>
    <w:p w14:paraId="1D3DA7C0">
      <w:pPr>
        <w:pStyle w:val="31"/>
        <w:framePr w:w="9293" w:wrap="around" w:x="169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征求意见稿</w:t>
      </w:r>
      <w:r>
        <w:rPr>
          <w:rFonts w:hint="eastAsia" w:ascii="仿宋_GB2312" w:hAnsi="仿宋_GB2312" w:eastAsia="仿宋_GB2312" w:cs="仿宋_GB2312"/>
          <w:sz w:val="32"/>
          <w:szCs w:val="32"/>
        </w:rPr>
        <w:t>）</w:t>
      </w:r>
    </w:p>
    <w:tbl>
      <w:tblPr>
        <w:tblStyle w:val="20"/>
        <w:tblW w:w="9855"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855"/>
      </w:tblGrid>
      <w:tr w14:paraId="57273B1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5" w:type="dxa"/>
            <w:tcBorders>
              <w:top w:val="nil"/>
              <w:left w:val="nil"/>
              <w:bottom w:val="nil"/>
              <w:right w:val="nil"/>
            </w:tcBorders>
          </w:tcPr>
          <w:p w14:paraId="3F1CAC33">
            <w:pPr>
              <w:pStyle w:val="34"/>
              <w:framePr w:w="9293" w:wrap="around" w:x="1699"/>
              <w:rPr>
                <w:rFonts w:ascii="Times New Roman" w:eastAsia="黑体"/>
                <w:sz w:val="28"/>
              </w:rPr>
            </w:pPr>
            <w:r>
              <w:t xml:space="preserve">Transport package of </w:t>
            </w:r>
            <w:r>
              <w:rPr>
                <w:rFonts w:hint="eastAsia"/>
                <w:lang w:val="en-US" w:eastAsia="zh-CN"/>
              </w:rPr>
              <w:t xml:space="preserve"> </w:t>
            </w:r>
            <w:r>
              <w:rPr>
                <w:rFonts w:hint="eastAsia"/>
              </w:rPr>
              <w:t>Magnesium decorative materials</w:t>
            </w:r>
            <w:r>
              <w:rPr>
                <w:rFonts w:ascii="Times New Roman" w:eastAsia="黑体"/>
                <w:sz w:val="28"/>
              </w:rPr>
              <mc:AlternateContent>
                <mc:Choice Requires="wps">
                  <w:drawing>
                    <wp:anchor distT="0" distB="0" distL="114300" distR="114300" simplePos="0" relativeHeight="251661312" behindDoc="1" locked="1" layoutInCell="1" allowOverlap="1">
                      <wp:simplePos x="0" y="0"/>
                      <wp:positionH relativeFrom="column">
                        <wp:posOffset>2200910</wp:posOffset>
                      </wp:positionH>
                      <wp:positionV relativeFrom="paragraph">
                        <wp:posOffset>4281805</wp:posOffset>
                      </wp:positionV>
                      <wp:extent cx="1905000" cy="254000"/>
                      <wp:effectExtent l="0" t="0" r="0" b="0"/>
                      <wp:wrapNone/>
                      <wp:docPr id="6" name="RQ"/>
                      <wp:cNvGraphicFramePr/>
                      <a:graphic xmlns:a="http://schemas.openxmlformats.org/drawingml/2006/main">
                        <a:graphicData uri="http://schemas.microsoft.com/office/word/2010/wordprocessingShape">
                          <wps:wsp>
                            <wps:cNvSpPr/>
                            <wps:spPr>
                              <a:xfrm>
                                <a:off x="0" y="0"/>
                                <a:ext cx="1905000" cy="254000"/>
                              </a:xfrm>
                              <a:prstGeom prst="rect">
                                <a:avLst/>
                              </a:prstGeom>
                              <a:solidFill>
                                <a:srgbClr val="FFFFFF"/>
                              </a:solidFill>
                              <a:ln w="9525">
                                <a:noFill/>
                              </a:ln>
                            </wps:spPr>
                            <wps:txbx>
                              <w:txbxContent>
                                <w:p w14:paraId="1285E4DF"/>
                              </w:txbxContent>
                            </wps:txbx>
                            <wps:bodyPr upright="1"/>
                          </wps:wsp>
                        </a:graphicData>
                      </a:graphic>
                    </wp:anchor>
                  </w:drawing>
                </mc:Choice>
                <mc:Fallback>
                  <w:pict>
                    <v:rect id="RQ" o:spid="_x0000_s1026" o:spt="1" style="position:absolute;left:0pt;margin-left:173.3pt;margin-top:337.15pt;height:20pt;width:150pt;z-index:-251655168;mso-width-relative:page;mso-height-relative:page;" fillcolor="#FFFFFF" filled="t" stroked="f" coordsize="21600,21600" o:gfxdata="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">
                      <v:fill on="t" focussize="0,0"/>
                      <v:stroke on="f"/>
                      <v:imagedata o:title=""/>
                      <o:lock v:ext="edit" aspectratio="f"/>
                      <v:textbox>
                        <w:txbxContent>
                          <w:p w14:paraId="1285E4DF"/>
                        </w:txbxContent>
                      </v:textbox>
                      <w10:anchorlock/>
                    </v:rect>
                  </w:pict>
                </mc:Fallback>
              </mc:AlternateContent>
            </w:r>
          </w:p>
        </w:tc>
      </w:tr>
      <w:tr w14:paraId="5BE32A1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5" w:type="dxa"/>
            <w:tcBorders>
              <w:top w:val="nil"/>
              <w:left w:val="nil"/>
              <w:bottom w:val="nil"/>
              <w:right w:val="nil"/>
            </w:tcBorders>
          </w:tcPr>
          <w:p w14:paraId="36755511">
            <w:pPr>
              <w:pStyle w:val="35"/>
              <w:framePr w:w="9293" w:wrap="around" w:x="1699"/>
            </w:pPr>
          </w:p>
        </w:tc>
      </w:tr>
    </w:tbl>
    <w:p w14:paraId="3257289F">
      <w:pPr>
        <w:pStyle w:val="36"/>
        <w:framePr w:wrap="around" w:hAnchor="page" w:x="1741" w:y="14041"/>
      </w:pPr>
      <w:bookmarkStart w:id="6" w:name="FY"/>
      <w:r>
        <w:rPr>
          <w:rFonts w:ascii="黑体"/>
        </w:rPr>
        <w:fldChar w:fldCharType="begin">
          <w:ffData>
            <w:name w:val="FY"/>
            <w:enabled/>
            <w:calcOnExit w:val="0"/>
            <w:entryMacro w:val="ShowHelp8"/>
            <w:textInput>
              <w:default w:val="XXXX"/>
              <w:maxLength w:val="4"/>
            </w:textInput>
          </w:ffData>
        </w:fldChar>
      </w:r>
      <w:r>
        <w:rPr>
          <w:rFonts w:ascii="黑体"/>
        </w:rPr>
        <w:instrText xml:space="preserve"> FORMTEXT </w:instrText>
      </w:r>
      <w:r>
        <w:rPr>
          <w:rFonts w:ascii="黑体"/>
        </w:rPr>
        <w:fldChar w:fldCharType="separate"/>
      </w:r>
      <w:r>
        <w:rPr>
          <w:rFonts w:ascii="黑体"/>
        </w:rPr>
        <w:t>XXXX</w:t>
      </w:r>
      <w:r>
        <w:rPr>
          <w:rFonts w:ascii="黑体"/>
        </w:rPr>
        <w:fldChar w:fldCharType="end"/>
      </w:r>
      <w:bookmarkEnd w:id="6"/>
      <w:r>
        <w:rPr>
          <w:rFonts w:ascii="黑体"/>
        </w:rPr>
        <w:t>-</w:t>
      </w:r>
      <w:r>
        <w:rPr>
          <w:rFonts w:ascii="黑体"/>
        </w:rPr>
        <w:fldChar w:fldCharType="begin">
          <w:ffData>
            <w:name w:val="FM"/>
            <w:enabled/>
            <w:calcOnExit w:val="0"/>
            <w:entryMacro w:val="ShowHelp8"/>
            <w:textInput>
              <w:default w:val="XX"/>
              <w:maxLength w:val="2"/>
            </w:textInput>
          </w:ffData>
        </w:fldChar>
      </w:r>
      <w:r>
        <w:rPr>
          <w:rFonts w:ascii="黑体"/>
        </w:rPr>
        <w:instrText xml:space="preserve"> FORMTEXT </w:instrText>
      </w:r>
      <w:r>
        <w:rPr>
          <w:rFonts w:ascii="黑体"/>
        </w:rPr>
        <w:fldChar w:fldCharType="separate"/>
      </w:r>
      <w:r>
        <w:rPr>
          <w:rFonts w:ascii="黑体"/>
        </w:rPr>
        <w:t>XX</w:t>
      </w:r>
      <w:r>
        <w:rPr>
          <w:rFonts w:ascii="黑体"/>
        </w:rPr>
        <w:fldChar w:fldCharType="end"/>
      </w:r>
      <w:r>
        <w:rPr>
          <w:rFonts w:ascii="黑体"/>
        </w:rPr>
        <w:t>-</w:t>
      </w:r>
      <w:bookmarkStart w:id="7" w:name="FD"/>
      <w:r>
        <w:rPr>
          <w:rFonts w:ascii="黑体"/>
        </w:rPr>
        <w:fldChar w:fldCharType="begin">
          <w:ffData>
            <w:name w:val="FD"/>
            <w:enabled/>
            <w:calcOnExit w:val="0"/>
            <w:entryMacro w:val="ShowHelp8"/>
            <w:textInput>
              <w:default w:val="XX"/>
              <w:maxLength w:val="2"/>
            </w:textInput>
          </w:ffData>
        </w:fldChar>
      </w:r>
      <w:r>
        <w:rPr>
          <w:rFonts w:ascii="黑体"/>
        </w:rPr>
        <w:instrText xml:space="preserve"> FORMTEXT </w:instrText>
      </w:r>
      <w:r>
        <w:rPr>
          <w:rFonts w:ascii="黑体"/>
        </w:rPr>
        <w:fldChar w:fldCharType="separate"/>
      </w:r>
      <w:r>
        <w:rPr>
          <w:rFonts w:ascii="黑体"/>
        </w:rPr>
        <w:t>XX</w:t>
      </w:r>
      <w:r>
        <w:rPr>
          <w:rFonts w:ascii="黑体"/>
        </w:rPr>
        <w:fldChar w:fldCharType="end"/>
      </w:r>
      <w:bookmarkEnd w:id="7"/>
      <w:r>
        <w:rPr>
          <w:rFonts w:hint="eastAsia"/>
        </w:rPr>
        <w:t>发布</w:t>
      </w:r>
    </w:p>
    <w:p w14:paraId="196F393B">
      <w:pPr>
        <w:pStyle w:val="38"/>
        <w:framePr w:wrap="around" w:hAnchor="page" w:x="7096" w:y="14176"/>
      </w:pPr>
      <w:bookmarkStart w:id="8" w:name="SY"/>
      <w:r>
        <w:rPr>
          <w:rFonts w:ascii="黑体"/>
        </w:rPr>
        <w:fldChar w:fldCharType="begin">
          <w:ffData>
            <w:name w:val="SY"/>
            <w:enabled/>
            <w:calcOnExit w:val="0"/>
            <w:entryMacro w:val="ShowHelp9"/>
            <w:textInput>
              <w:default w:val="XXXX"/>
              <w:maxLength w:val="4"/>
            </w:textInput>
          </w:ffData>
        </w:fldChar>
      </w:r>
      <w:r>
        <w:rPr>
          <w:rFonts w:ascii="黑体"/>
        </w:rPr>
        <w:instrText xml:space="preserve"> FORMTEXT </w:instrText>
      </w:r>
      <w:r>
        <w:rPr>
          <w:rFonts w:ascii="黑体"/>
        </w:rPr>
        <w:fldChar w:fldCharType="separate"/>
      </w:r>
      <w:r>
        <w:rPr>
          <w:rFonts w:ascii="黑体"/>
        </w:rPr>
        <w:t>XXXX</w:t>
      </w:r>
      <w:r>
        <w:rPr>
          <w:rFonts w:ascii="黑体"/>
        </w:rPr>
        <w:fldChar w:fldCharType="end"/>
      </w:r>
      <w:bookmarkEnd w:id="8"/>
      <w:r>
        <w:rPr>
          <w:rFonts w:ascii="黑体"/>
        </w:rPr>
        <w:t>-</w:t>
      </w:r>
      <w:bookmarkStart w:id="9" w:name="SM"/>
      <w:r>
        <w:rPr>
          <w:rFonts w:ascii="黑体"/>
        </w:rPr>
        <w:fldChar w:fldCharType="begin">
          <w:ffData>
            <w:name w:val="SM"/>
            <w:enabled/>
            <w:calcOnExit w:val="0"/>
            <w:entryMacro w:val="ShowHelp9"/>
            <w:textInput>
              <w:default w:val="XX"/>
              <w:maxLength w:val="2"/>
            </w:textInput>
          </w:ffData>
        </w:fldChar>
      </w:r>
      <w:r>
        <w:rPr>
          <w:rFonts w:ascii="黑体"/>
        </w:rPr>
        <w:instrText xml:space="preserve"> FORMTEXT </w:instrText>
      </w:r>
      <w:r>
        <w:rPr>
          <w:rFonts w:ascii="黑体"/>
        </w:rPr>
        <w:fldChar w:fldCharType="separate"/>
      </w:r>
      <w:r>
        <w:rPr>
          <w:rFonts w:ascii="黑体"/>
        </w:rPr>
        <w:t>XX</w:t>
      </w:r>
      <w:r>
        <w:rPr>
          <w:rFonts w:ascii="黑体"/>
        </w:rPr>
        <w:fldChar w:fldCharType="end"/>
      </w:r>
      <w:bookmarkEnd w:id="9"/>
      <w:r>
        <w:rPr>
          <w:rFonts w:ascii="黑体"/>
        </w:rPr>
        <w:t>-</w:t>
      </w:r>
      <w:bookmarkStart w:id="10" w:name="SD"/>
      <w:r>
        <w:rPr>
          <w:rFonts w:ascii="黑体"/>
        </w:rPr>
        <w:fldChar w:fldCharType="begin">
          <w:ffData>
            <w:name w:val="SD"/>
            <w:enabled/>
            <w:calcOnExit w:val="0"/>
            <w:entryMacro w:val="ShowHelp9"/>
            <w:textInput>
              <w:default w:val="XX"/>
              <w:maxLength w:val="2"/>
            </w:textInput>
          </w:ffData>
        </w:fldChar>
      </w:r>
      <w:r>
        <w:rPr>
          <w:rFonts w:ascii="黑体"/>
        </w:rPr>
        <w:instrText xml:space="preserve"> FORMTEXT </w:instrText>
      </w:r>
      <w:r>
        <w:rPr>
          <w:rFonts w:ascii="黑体"/>
        </w:rPr>
        <w:fldChar w:fldCharType="separate"/>
      </w:r>
      <w:r>
        <w:rPr>
          <w:rFonts w:ascii="黑体"/>
        </w:rPr>
        <w:t>XX</w:t>
      </w:r>
      <w:r>
        <w:rPr>
          <w:rFonts w:ascii="黑体"/>
        </w:rPr>
        <w:fldChar w:fldCharType="end"/>
      </w:r>
      <w:bookmarkEnd w:id="10"/>
      <w:r>
        <w:rPr>
          <w:rFonts w:hint="eastAsia"/>
        </w:rPr>
        <w:t>实施</w:t>
      </w:r>
    </w:p>
    <w:p w14:paraId="1FA25602">
      <w:pPr>
        <w:pStyle w:val="40"/>
        <w:framePr w:wrap="around" w:x="2186" w:y="15211"/>
      </w:pPr>
      <w:bookmarkStart w:id="11" w:name="fm"/>
      <w:r>
        <mc:AlternateContent>
          <mc:Choice Requires="wps">
            <w:drawing>
              <wp:anchor distT="0" distB="0" distL="114300" distR="114300" simplePos="0" relativeHeight="251660288" behindDoc="1" locked="0" layoutInCell="1" allowOverlap="1">
                <wp:simplePos x="0" y="0"/>
                <wp:positionH relativeFrom="column">
                  <wp:posOffset>1810385</wp:posOffset>
                </wp:positionH>
                <wp:positionV relativeFrom="paragraph">
                  <wp:posOffset>-3942715</wp:posOffset>
                </wp:positionV>
                <wp:extent cx="1270000" cy="304800"/>
                <wp:effectExtent l="0" t="0" r="6350" b="0"/>
                <wp:wrapNone/>
                <wp:docPr id="3" name="LB"/>
                <wp:cNvGraphicFramePr/>
                <a:graphic xmlns:a="http://schemas.openxmlformats.org/drawingml/2006/main">
                  <a:graphicData uri="http://schemas.microsoft.com/office/word/2010/wordprocessingShape">
                    <wps:wsp>
                      <wps:cNvSpPr/>
                      <wps:spPr>
                        <a:xfrm>
                          <a:off x="0" y="0"/>
                          <a:ext cx="1270000" cy="304800"/>
                        </a:xfrm>
                        <a:prstGeom prst="rect">
                          <a:avLst/>
                        </a:prstGeom>
                        <a:solidFill>
                          <a:srgbClr val="FFFFFF"/>
                        </a:solidFill>
                        <a:ln w="9525">
                          <a:noFill/>
                        </a:ln>
                      </wps:spPr>
                      <wps:txbx>
                        <w:txbxContent>
                          <w:p w14:paraId="33CD1916"/>
                        </w:txbxContent>
                      </wps:txbx>
                      <wps:bodyPr upright="1"/>
                    </wps:wsp>
                  </a:graphicData>
                </a:graphic>
              </wp:anchor>
            </w:drawing>
          </mc:Choice>
          <mc:Fallback>
            <w:pict>
              <v:rect id="LB" o:spid="_x0000_s1026" o:spt="1" style="position:absolute;left:0pt;margin-left:142.55pt;margin-top:-310.45pt;height:24pt;width:100pt;z-index:-251656192;mso-width-relative:page;mso-height-relative:page;" fillcolor="#FFFFFF" filled="t" stroked="f" coordsize="21600,21600" o:gfxdata="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">
                <v:fill on="t" focussize="0,0"/>
                <v:stroke on="f"/>
                <v:imagedata o:title=""/>
                <o:lock v:ext="edit" aspectratio="f"/>
                <v:textbox>
                  <w:txbxContent>
                    <w:p w14:paraId="33CD1916"/>
                  </w:txbxContent>
                </v:textbox>
              </v:rect>
            </w:pict>
          </mc:Fallback>
        </mc:AlternateContent>
      </w:r>
      <w:r>
        <mc:AlternateContent>
          <mc:Choice Requires="wps">
            <w:drawing>
              <wp:anchor distT="0" distB="0" distL="114300" distR="114300" simplePos="0" relativeHeight="251659264" behindDoc="1" locked="0" layoutInCell="1" allowOverlap="1">
                <wp:simplePos x="0" y="0"/>
                <wp:positionH relativeFrom="column">
                  <wp:posOffset>4413885</wp:posOffset>
                </wp:positionH>
                <wp:positionV relativeFrom="paragraph">
                  <wp:posOffset>-7435215</wp:posOffset>
                </wp:positionV>
                <wp:extent cx="1143000" cy="228600"/>
                <wp:effectExtent l="0" t="0" r="0" b="0"/>
                <wp:wrapNone/>
                <wp:docPr id="4" name="DT"/>
                <wp:cNvGraphicFramePr/>
                <a:graphic xmlns:a="http://schemas.openxmlformats.org/drawingml/2006/main">
                  <a:graphicData uri="http://schemas.microsoft.com/office/word/2010/wordprocessingShape">
                    <wps:wsp>
                      <wps:cNvSpPr/>
                      <wps:spPr>
                        <a:xfrm>
                          <a:off x="0" y="0"/>
                          <a:ext cx="1143000" cy="228600"/>
                        </a:xfrm>
                        <a:prstGeom prst="rect">
                          <a:avLst/>
                        </a:prstGeom>
                        <a:solidFill>
                          <a:srgbClr val="FFFFFF"/>
                        </a:solidFill>
                        <a:ln w="9525">
                          <a:noFill/>
                        </a:ln>
                      </wps:spPr>
                      <wps:txbx>
                        <w:txbxContent>
                          <w:p w14:paraId="55346F88"/>
                        </w:txbxContent>
                      </wps:txbx>
                      <wps:bodyPr upright="1"/>
                    </wps:wsp>
                  </a:graphicData>
                </a:graphic>
              </wp:anchor>
            </w:drawing>
          </mc:Choice>
          <mc:Fallback>
            <w:pict>
              <v:rect id="DT" o:spid="_x0000_s1026" o:spt="1" style="position:absolute;left:0pt;margin-left:347.55pt;margin-top:-585.45pt;height:18pt;width:90pt;z-index:-251657216;mso-width-relative:page;mso-height-relative:page;" fillcolor="#FFFFFF" filled="t" stroked="f" coordsize="21600,21600" o:gfxdata="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">
                <v:fill on="t" focussize="0,0"/>
                <v:stroke on="f"/>
                <v:imagedata o:title=""/>
                <o:lock v:ext="edit" aspectratio="f"/>
                <v:textbox>
                  <w:txbxContent>
                    <w:p w14:paraId="55346F88"/>
                  </w:txbxContent>
                </v:textbox>
              </v:rect>
            </w:pict>
          </mc:Fallback>
        </mc:AlternateContent>
      </w:r>
      <w:r>
        <mc:AlternateContent>
          <mc:Choice Requires="wps">
            <w:drawing>
              <wp:anchor distT="0" distB="0" distL="114300" distR="114300" simplePos="0" relativeHeight="251663360" behindDoc="0" locked="0" layoutInCell="1" allowOverlap="1">
                <wp:simplePos x="0" y="0"/>
                <wp:positionH relativeFrom="column">
                  <wp:posOffset>-464820</wp:posOffset>
                </wp:positionH>
                <wp:positionV relativeFrom="paragraph">
                  <wp:posOffset>-7021195</wp:posOffset>
                </wp:positionV>
                <wp:extent cx="6120130" cy="0"/>
                <wp:effectExtent l="0" t="0" r="33020" b="19050"/>
                <wp:wrapNone/>
                <wp:docPr id="5" name="直线 7"/>
                <wp:cNvGraphicFramePr/>
                <a:graphic xmlns:a="http://schemas.openxmlformats.org/drawingml/2006/main">
                  <a:graphicData uri="http://schemas.microsoft.com/office/word/2010/wordprocessingShape">
                    <wps:wsp>
                      <wps:cNvCnPr/>
                      <wps:spPr>
                        <a:xfrm>
                          <a:off x="0" y="0"/>
                          <a:ext cx="612013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直线 7" o:spid="_x0000_s1026" o:spt="20" style="position:absolute;left:0pt;margin-left:-36.6pt;margin-top:-552.85pt;height:0pt;width:481.9pt;z-index:251663360;mso-width-relative:page;mso-height-relative:page;" filled="f" stroked="t" coordsize="21600,21600" o:gfxdata="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DslkaDYAAAADwEAAA8A&#10;AAAAAAAAAQAgAAAAIgAAAGRycy9kb3ducmV2LnhtbFBLAQIUABQAAAAIAIdO4kDOIrZg3gEAAM8D&#10;AAAOAAAAAAAAAAEAIAAAACcBAABkcnMvZTJvRG9jLnhtbFBLBQYAAAAABgAGAFkBAAB3BQAAAAA=&#10;">
                <v:fill on="f" focussize="0,0"/>
                <v:stroke color="#000000" joinstyle="round"/>
                <v:imagedata o:title=""/>
                <o:lock v:ext="edit" aspectratio="f"/>
              </v:line>
            </w:pict>
          </mc:Fallback>
        </mc:AlternateContent>
      </w:r>
      <w:r>
        <w:fldChar w:fldCharType="begin">
          <w:ffData>
            <w:name w:val="fm"/>
            <w:enabled/>
            <w:calcOnExit w:val="0"/>
            <w:textInput/>
          </w:ffData>
        </w:fldChar>
      </w:r>
      <w:r>
        <w:instrText xml:space="preserve"> FORMTEXT </w:instrText>
      </w:r>
      <w:r>
        <w:fldChar w:fldCharType="separate"/>
      </w:r>
      <w:r>
        <w:rPr>
          <w:rFonts w:hint="eastAsia"/>
        </w:rPr>
        <w:t>中华人民共和国工业和信息化部</w:t>
      </w:r>
      <w:r>
        <w:fldChar w:fldCharType="end"/>
      </w:r>
      <w:bookmarkEnd w:id="11"/>
      <w:r>
        <w:rPr>
          <w:rStyle w:val="43"/>
          <w:rFonts w:hint="eastAsia"/>
        </w:rPr>
        <w:t>发布</w:t>
      </w:r>
    </w:p>
    <w:p w14:paraId="247AFB0C">
      <w:pPr>
        <w:autoSpaceDE/>
        <w:autoSpaceDN/>
        <w:sectPr>
          <w:headerReference r:id="rId7" w:type="first"/>
          <w:footerReference r:id="rId10" w:type="first"/>
          <w:headerReference r:id="rId5" w:type="default"/>
          <w:footerReference r:id="rId8" w:type="default"/>
          <w:headerReference r:id="rId6" w:type="even"/>
          <w:footerReference r:id="rId9" w:type="even"/>
          <w:pgSz w:w="11906" w:h="16838"/>
          <w:pgMar w:top="567" w:right="850" w:bottom="1134" w:left="1418" w:header="0" w:footer="0" w:gutter="0"/>
          <w:pgNumType w:fmt="upperRoman" w:start="1"/>
          <w:cols w:space="720" w:num="1"/>
          <w:docGrid w:type="lines" w:linePitch="312" w:charSpace="0"/>
        </w:sectPr>
      </w:pPr>
      <w:r>
        <mc:AlternateContent>
          <mc:Choice Requires="wps">
            <w:drawing>
              <wp:anchor distT="0" distB="0" distL="114300" distR="114300" simplePos="0" relativeHeight="251664384" behindDoc="0" locked="1" layoutInCell="1" allowOverlap="1">
                <wp:simplePos x="0" y="0"/>
                <wp:positionH relativeFrom="column">
                  <wp:posOffset>161290</wp:posOffset>
                </wp:positionH>
                <wp:positionV relativeFrom="page">
                  <wp:posOffset>9430385</wp:posOffset>
                </wp:positionV>
                <wp:extent cx="6120130" cy="0"/>
                <wp:effectExtent l="0" t="0" r="33020" b="19050"/>
                <wp:wrapNone/>
                <wp:docPr id="28" name="直接连接符 28"/>
                <wp:cNvGraphicFramePr/>
                <a:graphic xmlns:a="http://schemas.openxmlformats.org/drawingml/2006/main">
                  <a:graphicData uri="http://schemas.microsoft.com/office/word/2010/wordprocessingShape">
                    <wps:wsp>
                      <wps:cNvCnPr/>
                      <wps:spPr>
                        <a:xfrm>
                          <a:off x="0" y="0"/>
                          <a:ext cx="612013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_x0000_s1026" o:spid="_x0000_s1026" o:spt="20" style="position:absolute;left:0pt;margin-left:12.7pt;margin-top:742.55pt;height:0pt;width:481.9pt;mso-position-vertical-relative:page;z-index:251664384;mso-width-relative:page;mso-height-relative:page;" filled="f" stroked="t" coordsize="21600,21600" o:gfxdata="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Ag&#10;vemk1wAAAAwBAAAPAAAAAAAAAAEAIAAAACIAAABkcnMvZG93bnJldi54bWxQSwECFAAUAAAACACH&#10;TuJAEoJRcuwBAADaAwAADgAAAAAAAAABACAAAAAmAQAAZHJzL2Uyb0RvYy54bWxQSwUGAAAAAAYA&#10;BgBZAQAAhAUAAAAA&#10;">
                <v:fill on="f" focussize="0,0"/>
                <v:stroke color="#000000" joinstyle="round"/>
                <v:imagedata o:title=""/>
                <o:lock v:ext="edit" aspectratio="f"/>
                <w10:anchorlock/>
              </v:line>
            </w:pict>
          </mc:Fallback>
        </mc:AlternateContent>
      </w:r>
    </w:p>
    <w:p w14:paraId="13821E6B">
      <w:pPr>
        <w:pStyle w:val="44"/>
        <w:tabs>
          <w:tab w:val="center" w:pos="4677"/>
          <w:tab w:val="left" w:pos="7092"/>
        </w:tabs>
        <w:jc w:val="left"/>
      </w:pPr>
      <w:r>
        <w:tab/>
      </w:r>
      <w:bookmarkStart w:id="12" w:name="_Toc65048651"/>
      <w:bookmarkStart w:id="13" w:name="_Toc65048765"/>
      <w:bookmarkStart w:id="14" w:name="_Toc103159534"/>
      <w:r>
        <w:rPr>
          <w:rFonts w:hint="eastAsia"/>
        </w:rPr>
        <w:t>前</w:t>
      </w:r>
      <w:bookmarkStart w:id="15" w:name="BKQY"/>
      <w:r>
        <w:rPr>
          <w:rFonts w:hAnsi="黑体"/>
        </w:rPr>
        <w:t>  </w:t>
      </w:r>
      <w:r>
        <w:rPr>
          <w:rFonts w:hint="eastAsia"/>
        </w:rPr>
        <w:t>言</w:t>
      </w:r>
      <w:bookmarkEnd w:id="12"/>
      <w:bookmarkEnd w:id="13"/>
      <w:bookmarkEnd w:id="14"/>
      <w:bookmarkEnd w:id="15"/>
      <w:r>
        <w:tab/>
      </w:r>
    </w:p>
    <w:p w14:paraId="391F3792">
      <w:pPr>
        <w:autoSpaceDE/>
        <w:autoSpaceDN/>
      </w:pPr>
      <w:r>
        <w:rPr>
          <w:rFonts w:hint="eastAsia"/>
        </w:rPr>
        <w:t>本文件按照GB/T</w:t>
      </w:r>
      <w:r>
        <w:t xml:space="preserve"> </w:t>
      </w:r>
      <w:r>
        <w:rPr>
          <w:rFonts w:hint="eastAsia"/>
        </w:rPr>
        <w:t>1.1-2020《标准化工作导则 第1部分：标准化文件的结构和起草规则》的规定起草。</w:t>
      </w:r>
    </w:p>
    <w:p w14:paraId="76D42CE6">
      <w:pPr>
        <w:autoSpaceDE/>
        <w:autoSpaceDN/>
      </w:pPr>
      <w:r>
        <w:rPr>
          <w:rFonts w:hint="eastAsia"/>
        </w:rPr>
        <w:t>请注意本文件的某些内容可能涉及专利。本文件的发布机构不承担识别专利的责任。</w:t>
      </w:r>
    </w:p>
    <w:p w14:paraId="4D41CF98">
      <w:pPr>
        <w:autoSpaceDE/>
        <w:autoSpaceDN/>
        <w:rPr>
          <w:rFonts w:hint="eastAsia"/>
        </w:rPr>
      </w:pPr>
      <w:r>
        <w:rPr>
          <w:rFonts w:hint="eastAsia"/>
        </w:rPr>
        <w:t>本文件由中国建筑材料联合会提出。</w:t>
      </w:r>
    </w:p>
    <w:p w14:paraId="47F6C428">
      <w:pPr>
        <w:autoSpaceDE/>
        <w:autoSpaceDN/>
        <w:ind w:firstLine="420" w:firstLineChars="200"/>
        <w:rPr>
          <w:rFonts w:hint="eastAsia"/>
        </w:rPr>
      </w:pPr>
      <w:r>
        <w:rPr>
          <w:rFonts w:hint="eastAsia"/>
          <w:lang w:val="en-US" w:eastAsia="zh-CN"/>
        </w:rPr>
        <w:t>本文件由建材工业综合标准化技术委员会归口。</w:t>
      </w:r>
    </w:p>
    <w:p w14:paraId="134A4759">
      <w:pPr>
        <w:autoSpaceDE/>
        <w:autoSpaceDN/>
        <w:rPr>
          <w:rFonts w:hint="eastAsia"/>
        </w:rPr>
      </w:pPr>
      <w:r>
        <w:rPr>
          <w:rFonts w:hint="eastAsia"/>
        </w:rPr>
        <w:t>本文件参加起草单位：</w:t>
      </w:r>
    </w:p>
    <w:p w14:paraId="28BD547C">
      <w:pPr>
        <w:autoSpaceDE/>
        <w:autoSpaceDN/>
      </w:pPr>
      <w:r>
        <w:rPr>
          <w:rFonts w:hint="eastAsia"/>
        </w:rPr>
        <w:t>本文件主要起草人：</w:t>
      </w:r>
    </w:p>
    <w:p w14:paraId="768F5828">
      <w:pPr>
        <w:autoSpaceDE/>
        <w:autoSpaceDN/>
      </w:pPr>
      <w:r>
        <w:br w:type="page"/>
      </w:r>
    </w:p>
    <w:p w14:paraId="1C316069">
      <w:pPr>
        <w:pStyle w:val="74"/>
        <w:rPr>
          <w:color w:val="auto"/>
        </w:rPr>
        <w:sectPr>
          <w:headerReference r:id="rId11" w:type="default"/>
          <w:footerReference r:id="rId12" w:type="default"/>
          <w:pgSz w:w="11906" w:h="16838"/>
          <w:pgMar w:top="567" w:right="1134" w:bottom="1134" w:left="1418" w:header="1418" w:footer="1134" w:gutter="0"/>
          <w:pgNumType w:fmt="upperRoman" w:start="1"/>
          <w:cols w:space="425" w:num="1"/>
          <w:formProt w:val="0"/>
          <w:docGrid w:type="lines" w:linePitch="312" w:charSpace="0"/>
        </w:sectPr>
      </w:pPr>
    </w:p>
    <w:p w14:paraId="34AC97B8">
      <w:pPr>
        <w:pStyle w:val="45"/>
        <w:spacing w:before="0" w:after="0" w:line="240" w:lineRule="auto"/>
        <w:rPr>
          <w:rFonts w:hint="eastAsia"/>
        </w:rPr>
      </w:pPr>
      <w:bookmarkStart w:id="16" w:name="StandardName"/>
      <w:r>
        <w:rPr>
          <w:rFonts w:hint="eastAsia"/>
          <w:lang w:eastAsia="zh-CN"/>
        </w:rPr>
        <w:t>镁质装饰材料</w:t>
      </w:r>
      <w:r>
        <w:rPr>
          <w:rFonts w:hint="eastAsia"/>
        </w:rPr>
        <w:t>运输包装</w:t>
      </w:r>
      <w:bookmarkEnd w:id="16"/>
    </w:p>
    <w:p w14:paraId="700059D2">
      <w:pPr>
        <w:pStyle w:val="46"/>
        <w:rPr>
          <w:rFonts w:hint="eastAsia"/>
        </w:rPr>
      </w:pPr>
      <w:r>
        <w:rPr>
          <w:rFonts w:hint="eastAsia"/>
          <w:lang w:val="en-US" w:eastAsia="zh-CN"/>
        </w:rPr>
        <w:t xml:space="preserve">1 </w:t>
      </w:r>
      <w:r>
        <w:rPr>
          <w:rFonts w:hint="eastAsia"/>
        </w:rPr>
        <w:t>范围</w:t>
      </w:r>
    </w:p>
    <w:p w14:paraId="34207940">
      <w:pPr>
        <w:pStyle w:val="42"/>
        <w:numPr>
          <w:ilvl w:val="1"/>
          <w:numId w:val="0"/>
        </w:numPr>
        <w:spacing w:before="0" w:beforeLines="0" w:after="0" w:afterLines="0"/>
        <w:ind w:leftChars="0" w:firstLine="420"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rPr>
        <w:t>本</w:t>
      </w:r>
      <w:r>
        <w:rPr>
          <w:rFonts w:hint="eastAsia" w:asciiTheme="minorEastAsia" w:hAnsiTheme="minorEastAsia" w:eastAsiaTheme="minorEastAsia" w:cstheme="minorEastAsia"/>
          <w:lang w:eastAsia="zh-CN"/>
        </w:rPr>
        <w:t>文件</w:t>
      </w:r>
      <w:r>
        <w:rPr>
          <w:rFonts w:hint="eastAsia" w:asciiTheme="minorEastAsia" w:hAnsiTheme="minorEastAsia" w:eastAsiaTheme="minorEastAsia" w:cstheme="minorEastAsia"/>
        </w:rPr>
        <w:t>规定了</w:t>
      </w:r>
      <w:r>
        <w:rPr>
          <w:rFonts w:hint="eastAsia" w:asciiTheme="minorEastAsia" w:hAnsiTheme="minorEastAsia" w:eastAsiaTheme="minorEastAsia" w:cstheme="minorEastAsia"/>
          <w:lang w:eastAsia="zh-CN"/>
        </w:rPr>
        <w:t>镁质装饰材料</w:t>
      </w:r>
      <w:r>
        <w:rPr>
          <w:rFonts w:hint="eastAsia" w:asciiTheme="minorEastAsia" w:hAnsiTheme="minorEastAsia" w:eastAsiaTheme="minorEastAsia" w:cstheme="minorEastAsia"/>
        </w:rPr>
        <w:t>运输包装的术语和定义、要求、检验。</w:t>
      </w:r>
    </w:p>
    <w:p w14:paraId="0FD2B3EB">
      <w:pPr>
        <w:pStyle w:val="42"/>
        <w:numPr>
          <w:ilvl w:val="1"/>
          <w:numId w:val="0"/>
        </w:numPr>
        <w:spacing w:before="0" w:beforeLines="0" w:after="0" w:afterLines="0"/>
        <w:ind w:leftChars="0" w:firstLine="420"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rPr>
        <w:t>本</w:t>
      </w:r>
      <w:r>
        <w:rPr>
          <w:rFonts w:hint="eastAsia" w:asciiTheme="minorEastAsia" w:hAnsiTheme="minorEastAsia" w:eastAsiaTheme="minorEastAsia" w:cstheme="minorEastAsia"/>
          <w:lang w:eastAsia="zh-CN"/>
        </w:rPr>
        <w:t>文件</w:t>
      </w:r>
      <w:r>
        <w:rPr>
          <w:rFonts w:hint="eastAsia" w:asciiTheme="minorEastAsia" w:hAnsiTheme="minorEastAsia" w:eastAsiaTheme="minorEastAsia" w:cstheme="minorEastAsia"/>
        </w:rPr>
        <w:t>适用于</w:t>
      </w:r>
      <w:r>
        <w:rPr>
          <w:rFonts w:hint="eastAsia" w:asciiTheme="minorEastAsia" w:hAnsiTheme="minorEastAsia" w:eastAsiaTheme="minorEastAsia" w:cstheme="minorEastAsia"/>
          <w:lang w:eastAsia="zh-CN"/>
        </w:rPr>
        <w:t>镁质装饰材料</w:t>
      </w:r>
      <w:r>
        <w:rPr>
          <w:rFonts w:hint="eastAsia" w:asciiTheme="minorEastAsia" w:hAnsiTheme="minorEastAsia" w:eastAsiaTheme="minorEastAsia" w:cstheme="minorEastAsia"/>
        </w:rPr>
        <w:t>的运输包装。</w:t>
      </w:r>
    </w:p>
    <w:p w14:paraId="6282230E">
      <w:pPr>
        <w:pStyle w:val="46"/>
        <w:rPr>
          <w:rFonts w:hint="eastAsia"/>
        </w:rPr>
      </w:pPr>
      <w:r>
        <w:rPr>
          <w:rFonts w:hint="eastAsia"/>
          <w:lang w:val="en-US" w:eastAsia="zh-CN"/>
        </w:rPr>
        <w:t xml:space="preserve">2 </w:t>
      </w:r>
      <w:r>
        <w:rPr>
          <w:rFonts w:hint="eastAsia"/>
        </w:rPr>
        <w:t>规范性引用文件</w:t>
      </w:r>
    </w:p>
    <w:p w14:paraId="70157A64">
      <w:pPr>
        <w:pStyle w:val="42"/>
        <w:numPr>
          <w:ilvl w:val="1"/>
          <w:numId w:val="0"/>
        </w:numPr>
        <w:spacing w:before="0" w:beforeLines="0" w:after="0" w:afterLines="0"/>
        <w:ind w:leftChars="0" w:firstLine="420"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1F101B17">
      <w:pPr>
        <w:pStyle w:val="42"/>
        <w:numPr>
          <w:ilvl w:val="0"/>
          <w:numId w:val="0"/>
        </w:numPr>
        <w:autoSpaceDE/>
        <w:autoSpaceDN/>
        <w:spacing w:before="0" w:beforeLines="0" w:after="0" w:afterLines="0"/>
        <w:rPr>
          <w:rFonts w:hint="eastAsia" w:asciiTheme="minorEastAsia" w:hAnsiTheme="minorEastAsia" w:eastAsiaTheme="minorEastAsia"/>
        </w:rPr>
      </w:pPr>
      <w:r>
        <w:rPr>
          <w:rFonts w:hint="eastAsia" w:asciiTheme="minorEastAsia" w:hAnsiTheme="minorEastAsia" w:eastAsiaTheme="minorEastAsia"/>
        </w:rPr>
        <w:t>GB/T 191 包装储运图示标志</w:t>
      </w:r>
    </w:p>
    <w:p w14:paraId="3E110BE2">
      <w:pPr>
        <w:pStyle w:val="42"/>
        <w:numPr>
          <w:ilvl w:val="0"/>
          <w:numId w:val="0"/>
        </w:numPr>
        <w:autoSpaceDE/>
        <w:autoSpaceDN/>
        <w:spacing w:before="0" w:beforeLines="0" w:after="0" w:afterLines="0"/>
        <w:rPr>
          <w:rFonts w:hint="eastAsia" w:asciiTheme="minorEastAsia" w:hAnsiTheme="minorEastAsia" w:eastAsiaTheme="minorEastAsia"/>
        </w:rPr>
      </w:pPr>
      <w:r>
        <w:rPr>
          <w:rFonts w:hint="eastAsia" w:asciiTheme="minorEastAsia" w:hAnsiTheme="minorEastAsia" w:eastAsiaTheme="minorEastAsia"/>
        </w:rPr>
        <w:t>GB/T 2934 联运通用平托盘 主要尺寸及公差</w:t>
      </w:r>
    </w:p>
    <w:p w14:paraId="62A6B5BC">
      <w:pPr>
        <w:pStyle w:val="42"/>
        <w:numPr>
          <w:ilvl w:val="0"/>
          <w:numId w:val="0"/>
        </w:numPr>
        <w:autoSpaceDE/>
        <w:autoSpaceDN/>
        <w:spacing w:before="0" w:beforeLines="0" w:after="0" w:afterLines="0"/>
        <w:rPr>
          <w:rFonts w:hint="eastAsia" w:asciiTheme="minorEastAsia" w:hAnsiTheme="minorEastAsia" w:eastAsiaTheme="minorEastAsia"/>
        </w:rPr>
      </w:pPr>
      <w:r>
        <w:rPr>
          <w:rFonts w:hint="eastAsia" w:asciiTheme="minorEastAsia" w:hAnsiTheme="minorEastAsia" w:eastAsiaTheme="minorEastAsia"/>
        </w:rPr>
        <w:t>GB/T 4122.1 包装术语  第1部分：基础</w:t>
      </w:r>
    </w:p>
    <w:p w14:paraId="31C071C1">
      <w:pPr>
        <w:pStyle w:val="42"/>
        <w:numPr>
          <w:ilvl w:val="0"/>
          <w:numId w:val="0"/>
        </w:numPr>
        <w:autoSpaceDE/>
        <w:autoSpaceDN/>
        <w:spacing w:before="0" w:beforeLines="0" w:after="0" w:afterLines="0"/>
        <w:rPr>
          <w:rFonts w:hint="eastAsia" w:asciiTheme="minorEastAsia" w:hAnsiTheme="minorEastAsia" w:eastAsiaTheme="minorEastAsia"/>
        </w:rPr>
      </w:pPr>
      <w:r>
        <w:rPr>
          <w:rFonts w:hint="eastAsia" w:asciiTheme="minorEastAsia" w:hAnsiTheme="minorEastAsia" w:eastAsiaTheme="minorEastAsia"/>
        </w:rPr>
        <w:t>GB/T 4857.3 包装 运输包装件基本试验 第3部分：静载荷堆码试验方法</w:t>
      </w:r>
    </w:p>
    <w:p w14:paraId="7521F249">
      <w:pPr>
        <w:pStyle w:val="42"/>
        <w:numPr>
          <w:ilvl w:val="0"/>
          <w:numId w:val="0"/>
        </w:numPr>
        <w:autoSpaceDE/>
        <w:autoSpaceDN/>
        <w:spacing w:before="0" w:beforeLines="0" w:after="0" w:afterLines="0"/>
        <w:rPr>
          <w:rFonts w:hint="eastAsia" w:asciiTheme="minorEastAsia" w:hAnsiTheme="minorEastAsia" w:eastAsiaTheme="minorEastAsia"/>
        </w:rPr>
      </w:pPr>
      <w:r>
        <w:rPr>
          <w:rFonts w:hint="eastAsia" w:asciiTheme="minorEastAsia" w:hAnsiTheme="minorEastAsia" w:eastAsiaTheme="minorEastAsia"/>
        </w:rPr>
        <w:t>GB/T 4857.5 包装 运输包装件 跌落试验方法</w:t>
      </w:r>
    </w:p>
    <w:p w14:paraId="46DE6B5C">
      <w:pPr>
        <w:pStyle w:val="42"/>
        <w:numPr>
          <w:ilvl w:val="0"/>
          <w:numId w:val="0"/>
        </w:numPr>
        <w:autoSpaceDE/>
        <w:autoSpaceDN/>
        <w:spacing w:before="0" w:beforeLines="0" w:after="0" w:afterLines="0"/>
        <w:rPr>
          <w:rFonts w:hint="eastAsia" w:asciiTheme="minorEastAsia" w:hAnsiTheme="minorEastAsia" w:eastAsiaTheme="minorEastAsia"/>
        </w:rPr>
      </w:pPr>
      <w:r>
        <w:rPr>
          <w:rFonts w:hint="eastAsia" w:asciiTheme="minorEastAsia" w:hAnsiTheme="minorEastAsia" w:eastAsiaTheme="minorEastAsia"/>
        </w:rPr>
        <w:t>GB/T 4892 硬质直方体运输包装尺寸系列</w:t>
      </w:r>
    </w:p>
    <w:p w14:paraId="4617A0EC">
      <w:pPr>
        <w:pStyle w:val="42"/>
        <w:numPr>
          <w:ilvl w:val="0"/>
          <w:numId w:val="0"/>
        </w:numPr>
        <w:autoSpaceDE/>
        <w:autoSpaceDN/>
        <w:spacing w:before="0" w:beforeLines="0" w:after="0" w:afterLines="0"/>
        <w:rPr>
          <w:rFonts w:hint="eastAsia" w:asciiTheme="minorEastAsia" w:hAnsiTheme="minorEastAsia" w:eastAsiaTheme="minorEastAsia"/>
        </w:rPr>
      </w:pPr>
      <w:r>
        <w:rPr>
          <w:rFonts w:hint="eastAsia" w:asciiTheme="minorEastAsia" w:hAnsiTheme="minorEastAsia" w:eastAsiaTheme="minorEastAsia"/>
        </w:rPr>
        <w:t>GB/T 5048 防潮包装</w:t>
      </w:r>
    </w:p>
    <w:p w14:paraId="6ABB007D">
      <w:pPr>
        <w:pStyle w:val="42"/>
        <w:numPr>
          <w:ilvl w:val="0"/>
          <w:numId w:val="0"/>
        </w:numPr>
        <w:autoSpaceDE/>
        <w:autoSpaceDN/>
        <w:spacing w:before="0" w:beforeLines="0" w:after="0" w:afterLines="0"/>
        <w:rPr>
          <w:rFonts w:hint="eastAsia" w:asciiTheme="minorEastAsia" w:hAnsiTheme="minorEastAsia" w:eastAsiaTheme="minorEastAsia"/>
        </w:rPr>
      </w:pPr>
      <w:r>
        <w:rPr>
          <w:rFonts w:hint="eastAsia" w:asciiTheme="minorEastAsia" w:hAnsiTheme="minorEastAsia" w:eastAsiaTheme="minorEastAsia"/>
        </w:rPr>
        <w:t>GB/T 6388 运输包装收发货标志</w:t>
      </w:r>
    </w:p>
    <w:p w14:paraId="0ECC0CDD">
      <w:pPr>
        <w:pStyle w:val="42"/>
        <w:numPr>
          <w:ilvl w:val="0"/>
          <w:numId w:val="0"/>
        </w:numPr>
        <w:autoSpaceDE/>
        <w:autoSpaceDN/>
        <w:spacing w:before="0" w:beforeLines="0" w:after="0" w:afterLines="0"/>
        <w:rPr>
          <w:rFonts w:hint="eastAsia" w:asciiTheme="minorEastAsia" w:hAnsiTheme="minorEastAsia" w:eastAsiaTheme="minorEastAsia"/>
        </w:rPr>
      </w:pPr>
      <w:r>
        <w:rPr>
          <w:rFonts w:hint="eastAsia" w:asciiTheme="minorEastAsia" w:hAnsiTheme="minorEastAsia" w:eastAsiaTheme="minorEastAsia"/>
        </w:rPr>
        <w:t>GB/T 6543 运输包装用单瓦楞纸箱和双瓦楞纸箱</w:t>
      </w:r>
    </w:p>
    <w:p w14:paraId="4947FB32">
      <w:pPr>
        <w:pStyle w:val="42"/>
        <w:numPr>
          <w:ilvl w:val="0"/>
          <w:numId w:val="0"/>
        </w:numPr>
        <w:autoSpaceDE/>
        <w:autoSpaceDN/>
        <w:spacing w:before="0" w:beforeLines="0" w:after="0" w:afterLines="0"/>
        <w:rPr>
          <w:rFonts w:hint="eastAsia" w:asciiTheme="minorEastAsia" w:hAnsiTheme="minorEastAsia" w:eastAsiaTheme="minorEastAsia"/>
        </w:rPr>
      </w:pPr>
      <w:r>
        <w:rPr>
          <w:rFonts w:hint="eastAsia" w:asciiTheme="minorEastAsia" w:hAnsiTheme="minorEastAsia" w:eastAsiaTheme="minorEastAsia"/>
        </w:rPr>
        <w:t>GB/T 7350 防水包装</w:t>
      </w:r>
    </w:p>
    <w:p w14:paraId="7EEBC957">
      <w:pPr>
        <w:pStyle w:val="42"/>
        <w:numPr>
          <w:ilvl w:val="0"/>
          <w:numId w:val="0"/>
        </w:numPr>
        <w:autoSpaceDE/>
        <w:autoSpaceDN/>
        <w:spacing w:before="0" w:beforeLines="0" w:after="0" w:afterLines="0"/>
        <w:rPr>
          <w:rFonts w:hint="eastAsia" w:asciiTheme="minorEastAsia" w:hAnsiTheme="minorEastAsia" w:eastAsiaTheme="minorEastAsia"/>
        </w:rPr>
      </w:pPr>
      <w:r>
        <w:rPr>
          <w:rFonts w:hint="eastAsia" w:asciiTheme="minorEastAsia" w:hAnsiTheme="minorEastAsia" w:eastAsiaTheme="minorEastAsia"/>
        </w:rPr>
        <w:t>GB/T 8166 缓冲包装设计</w:t>
      </w:r>
    </w:p>
    <w:p w14:paraId="423A7887">
      <w:pPr>
        <w:pStyle w:val="42"/>
        <w:numPr>
          <w:ilvl w:val="0"/>
          <w:numId w:val="0"/>
        </w:numPr>
        <w:autoSpaceDE/>
        <w:autoSpaceDN/>
        <w:spacing w:before="0" w:beforeLines="0" w:after="0" w:afterLines="0"/>
        <w:rPr>
          <w:rFonts w:hint="eastAsia" w:asciiTheme="minorEastAsia" w:hAnsiTheme="minorEastAsia" w:eastAsiaTheme="minorEastAsia"/>
        </w:rPr>
      </w:pPr>
      <w:r>
        <w:rPr>
          <w:rFonts w:hint="eastAsia" w:asciiTheme="minorEastAsia" w:hAnsiTheme="minorEastAsia" w:eastAsiaTheme="minorEastAsia"/>
        </w:rPr>
        <w:t>GB/T 9174 一般货物运输包装通用技术条件</w:t>
      </w:r>
    </w:p>
    <w:p w14:paraId="5D3D3907">
      <w:pPr>
        <w:pStyle w:val="42"/>
        <w:numPr>
          <w:ilvl w:val="0"/>
          <w:numId w:val="0"/>
        </w:numPr>
        <w:autoSpaceDE/>
        <w:autoSpaceDN/>
        <w:spacing w:before="0" w:beforeLines="0" w:after="0" w:afterLines="0"/>
        <w:rPr>
          <w:rFonts w:hint="eastAsia" w:asciiTheme="minorEastAsia" w:hAnsiTheme="minorEastAsia" w:eastAsiaTheme="minorEastAsia"/>
        </w:rPr>
      </w:pPr>
      <w:r>
        <w:rPr>
          <w:rFonts w:hint="eastAsia" w:asciiTheme="minorEastAsia" w:hAnsiTheme="minorEastAsia" w:eastAsiaTheme="minorEastAsia"/>
        </w:rPr>
        <w:t>GB/T 12123 包装设计通用要求</w:t>
      </w:r>
    </w:p>
    <w:p w14:paraId="0D923098">
      <w:pPr>
        <w:pStyle w:val="42"/>
        <w:numPr>
          <w:ilvl w:val="0"/>
          <w:numId w:val="0"/>
        </w:numPr>
        <w:autoSpaceDE/>
        <w:autoSpaceDN/>
        <w:spacing w:before="0" w:beforeLines="0" w:after="0" w:afterLines="0"/>
        <w:rPr>
          <w:rFonts w:hint="eastAsia" w:asciiTheme="minorEastAsia" w:hAnsiTheme="minorEastAsia" w:eastAsiaTheme="minorEastAsia"/>
        </w:rPr>
      </w:pPr>
      <w:r>
        <w:rPr>
          <w:rFonts w:hint="eastAsia" w:asciiTheme="minorEastAsia" w:hAnsiTheme="minorEastAsia" w:eastAsiaTheme="minorEastAsia"/>
        </w:rPr>
        <w:t>GB/T 12339 防护用内包装材料</w:t>
      </w:r>
    </w:p>
    <w:p w14:paraId="46EE3635">
      <w:pPr>
        <w:pStyle w:val="42"/>
        <w:numPr>
          <w:ilvl w:val="0"/>
          <w:numId w:val="0"/>
        </w:numPr>
        <w:autoSpaceDE/>
        <w:autoSpaceDN/>
        <w:spacing w:before="0" w:beforeLines="0" w:after="0" w:afterLines="0"/>
        <w:rPr>
          <w:rFonts w:hint="eastAsia" w:asciiTheme="minorEastAsia" w:hAnsiTheme="minorEastAsia" w:eastAsiaTheme="minorEastAsia"/>
        </w:rPr>
      </w:pPr>
      <w:r>
        <w:rPr>
          <w:rFonts w:hint="eastAsia" w:asciiTheme="minorEastAsia" w:hAnsiTheme="minorEastAsia" w:eastAsiaTheme="minorEastAsia"/>
        </w:rPr>
        <w:t>GB/T 12464 普通木箱</w:t>
      </w:r>
    </w:p>
    <w:p w14:paraId="0B72EB01">
      <w:pPr>
        <w:pStyle w:val="42"/>
        <w:numPr>
          <w:ilvl w:val="0"/>
          <w:numId w:val="0"/>
        </w:numPr>
        <w:autoSpaceDE/>
        <w:autoSpaceDN/>
        <w:spacing w:before="0" w:beforeLines="0" w:after="0" w:afterLines="0"/>
        <w:rPr>
          <w:rFonts w:hint="eastAsia" w:asciiTheme="minorEastAsia" w:hAnsiTheme="minorEastAsia" w:eastAsiaTheme="minorEastAsia"/>
        </w:rPr>
      </w:pPr>
      <w:r>
        <w:rPr>
          <w:rFonts w:hint="eastAsia" w:asciiTheme="minorEastAsia" w:hAnsiTheme="minorEastAsia" w:eastAsiaTheme="minorEastAsia"/>
        </w:rPr>
        <w:t>GB/T 13144 包装容器 竹胶合板箱</w:t>
      </w:r>
    </w:p>
    <w:p w14:paraId="63ED70AD">
      <w:pPr>
        <w:pStyle w:val="42"/>
        <w:numPr>
          <w:ilvl w:val="0"/>
          <w:numId w:val="0"/>
        </w:numPr>
        <w:autoSpaceDE/>
        <w:autoSpaceDN/>
        <w:spacing w:before="0" w:beforeLines="0" w:after="0" w:afterLines="0"/>
        <w:rPr>
          <w:rFonts w:hint="eastAsia" w:asciiTheme="minorEastAsia" w:hAnsiTheme="minorEastAsia" w:eastAsiaTheme="minorEastAsia"/>
        </w:rPr>
      </w:pPr>
      <w:r>
        <w:rPr>
          <w:rFonts w:hint="eastAsia" w:asciiTheme="minorEastAsia" w:hAnsiTheme="minorEastAsia" w:eastAsiaTheme="minorEastAsia"/>
        </w:rPr>
        <w:t>GB/T 16470 托盘单元货载</w:t>
      </w:r>
    </w:p>
    <w:p w14:paraId="19D22CC5">
      <w:pPr>
        <w:pStyle w:val="42"/>
        <w:numPr>
          <w:ilvl w:val="0"/>
          <w:numId w:val="0"/>
        </w:numPr>
        <w:autoSpaceDE/>
        <w:autoSpaceDN/>
        <w:spacing w:before="0" w:beforeLines="0" w:after="0" w:afterLines="0"/>
        <w:rPr>
          <w:rFonts w:hint="eastAsia" w:asciiTheme="minorEastAsia" w:hAnsiTheme="minorEastAsia" w:eastAsiaTheme="minorEastAsia"/>
        </w:rPr>
      </w:pPr>
      <w:r>
        <w:rPr>
          <w:rFonts w:hint="eastAsia" w:asciiTheme="minorEastAsia" w:hAnsiTheme="minorEastAsia" w:eastAsiaTheme="minorEastAsia"/>
        </w:rPr>
        <w:t>GB/T 17306 包装 消费者的需求</w:t>
      </w:r>
    </w:p>
    <w:p w14:paraId="6DC6282E">
      <w:pPr>
        <w:pStyle w:val="42"/>
        <w:numPr>
          <w:ilvl w:val="0"/>
          <w:numId w:val="0"/>
        </w:numPr>
        <w:autoSpaceDE/>
        <w:autoSpaceDN/>
        <w:spacing w:before="0" w:beforeLines="0" w:after="0" w:afterLines="0"/>
        <w:rPr>
          <w:rFonts w:hint="eastAsia" w:asciiTheme="minorEastAsia" w:hAnsiTheme="minorEastAsia" w:eastAsiaTheme="minorEastAsia"/>
        </w:rPr>
      </w:pPr>
      <w:r>
        <w:rPr>
          <w:rFonts w:hint="eastAsia" w:asciiTheme="minorEastAsia" w:hAnsiTheme="minorEastAsia" w:eastAsiaTheme="minorEastAsia"/>
        </w:rPr>
        <w:t>GB/T 18127 商品条码 物流单元编码与条码表示</w:t>
      </w:r>
    </w:p>
    <w:p w14:paraId="23D2FCCE">
      <w:pPr>
        <w:pStyle w:val="42"/>
        <w:numPr>
          <w:ilvl w:val="0"/>
          <w:numId w:val="0"/>
        </w:numPr>
        <w:autoSpaceDE/>
        <w:autoSpaceDN/>
        <w:spacing w:before="0" w:beforeLines="0" w:after="0" w:afterLines="0"/>
        <w:rPr>
          <w:rFonts w:hint="eastAsia" w:asciiTheme="minorEastAsia" w:hAnsiTheme="minorEastAsia" w:eastAsiaTheme="minorEastAsia"/>
        </w:rPr>
      </w:pPr>
      <w:r>
        <w:rPr>
          <w:rFonts w:hint="eastAsia" w:asciiTheme="minorEastAsia" w:hAnsiTheme="minorEastAsia" w:eastAsiaTheme="minorEastAsia"/>
        </w:rPr>
        <w:t>GB/T 18131 国际贸易用标准化运输标志</w:t>
      </w:r>
    </w:p>
    <w:p w14:paraId="498B24E3">
      <w:pPr>
        <w:pStyle w:val="42"/>
        <w:numPr>
          <w:ilvl w:val="0"/>
          <w:numId w:val="0"/>
        </w:numPr>
        <w:autoSpaceDE/>
        <w:autoSpaceDN/>
        <w:spacing w:before="0" w:beforeLines="0" w:after="0" w:afterLines="0"/>
        <w:rPr>
          <w:rFonts w:hint="eastAsia" w:asciiTheme="minorEastAsia" w:hAnsiTheme="minorEastAsia" w:eastAsiaTheme="minorEastAsia"/>
        </w:rPr>
      </w:pPr>
      <w:r>
        <w:rPr>
          <w:rFonts w:hint="eastAsia" w:asciiTheme="minorEastAsia" w:hAnsiTheme="minorEastAsia" w:eastAsiaTheme="minorEastAsia"/>
        </w:rPr>
        <w:t>GB/T 18455 包装回收标志</w:t>
      </w:r>
    </w:p>
    <w:p w14:paraId="4F1F223B">
      <w:pPr>
        <w:pStyle w:val="42"/>
        <w:numPr>
          <w:ilvl w:val="0"/>
          <w:numId w:val="0"/>
        </w:numPr>
        <w:autoSpaceDE/>
        <w:autoSpaceDN/>
        <w:spacing w:before="0" w:beforeLines="0" w:after="0" w:afterLines="0"/>
        <w:rPr>
          <w:rFonts w:hint="eastAsia" w:asciiTheme="minorEastAsia" w:hAnsiTheme="minorEastAsia" w:eastAsiaTheme="minorEastAsia"/>
        </w:rPr>
      </w:pPr>
      <w:r>
        <w:rPr>
          <w:rFonts w:hint="eastAsia" w:asciiTheme="minorEastAsia" w:hAnsiTheme="minorEastAsia" w:eastAsiaTheme="minorEastAsia"/>
        </w:rPr>
        <w:t>GB/T 18925 滑木箱</w:t>
      </w:r>
    </w:p>
    <w:p w14:paraId="2D64CD4D">
      <w:pPr>
        <w:pStyle w:val="42"/>
        <w:numPr>
          <w:ilvl w:val="0"/>
          <w:numId w:val="0"/>
        </w:numPr>
        <w:autoSpaceDE/>
        <w:autoSpaceDN/>
        <w:spacing w:before="0" w:beforeLines="0" w:after="0" w:afterLines="0"/>
        <w:rPr>
          <w:rFonts w:hint="eastAsia" w:asciiTheme="minorEastAsia" w:hAnsiTheme="minorEastAsia" w:eastAsiaTheme="minorEastAsia"/>
        </w:rPr>
      </w:pPr>
      <w:r>
        <w:rPr>
          <w:rFonts w:hint="eastAsia" w:asciiTheme="minorEastAsia" w:hAnsiTheme="minorEastAsia" w:eastAsiaTheme="minorEastAsia"/>
        </w:rPr>
        <w:t>GB/T 19142 出口商品包装通则</w:t>
      </w:r>
    </w:p>
    <w:p w14:paraId="24E69BA8">
      <w:pPr>
        <w:pStyle w:val="42"/>
        <w:numPr>
          <w:ilvl w:val="0"/>
          <w:numId w:val="0"/>
        </w:numPr>
        <w:autoSpaceDE/>
        <w:autoSpaceDN/>
        <w:spacing w:before="0" w:beforeLines="0" w:after="0" w:afterLines="0"/>
        <w:rPr>
          <w:rFonts w:hint="eastAsia" w:asciiTheme="minorEastAsia" w:hAnsiTheme="minorEastAsia" w:eastAsiaTheme="minorEastAsia"/>
        </w:rPr>
      </w:pPr>
      <w:r>
        <w:rPr>
          <w:rFonts w:hint="eastAsia" w:asciiTheme="minorEastAsia" w:hAnsiTheme="minorEastAsia" w:eastAsiaTheme="minorEastAsia"/>
          <w:lang w:val="en-US" w:eastAsia="zh-CN"/>
        </w:rPr>
        <w:t>GB/T 38727 全生物降解物流快递运输与投递用包装塑料膜、袋</w:t>
      </w:r>
    </w:p>
    <w:p w14:paraId="4457098B">
      <w:pPr>
        <w:pStyle w:val="46"/>
        <w:rPr>
          <w:rFonts w:hint="eastAsia"/>
          <w:lang w:val="en-US" w:eastAsia="zh-CN"/>
        </w:rPr>
      </w:pPr>
      <w:r>
        <w:rPr>
          <w:rFonts w:hint="eastAsia"/>
          <w:lang w:val="en-US" w:eastAsia="zh-CN"/>
        </w:rPr>
        <w:t>3 术语和定义</w:t>
      </w:r>
    </w:p>
    <w:p w14:paraId="253A9AAE">
      <w:pPr>
        <w:pStyle w:val="42"/>
        <w:numPr>
          <w:ilvl w:val="1"/>
          <w:numId w:val="0"/>
        </w:numPr>
        <w:ind w:leftChars="0" w:firstLine="420"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rPr>
        <w:t>GB/T 4122.1确立的以及下列术语和定义适用于本文件。</w:t>
      </w:r>
    </w:p>
    <w:p w14:paraId="3E3AAA9C">
      <w:pPr>
        <w:pStyle w:val="56"/>
        <w:rPr>
          <w:rFonts w:hint="default"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 xml:space="preserve">  3.1</w:t>
      </w:r>
    </w:p>
    <w:p w14:paraId="79B6D1C1">
      <w:pPr>
        <w:pStyle w:val="56"/>
        <w:numPr>
          <w:ilvl w:val="0"/>
          <w:numId w:val="0"/>
        </w:numPr>
        <w:ind w:firstLine="420" w:firstLineChars="200"/>
      </w:pPr>
      <w:r>
        <w:rPr>
          <w:rFonts w:hint="eastAsia"/>
          <w:lang w:eastAsia="zh-CN"/>
        </w:rPr>
        <w:t>镁质</w:t>
      </w:r>
      <w:r>
        <w:rPr>
          <w:rFonts w:hint="eastAsia"/>
        </w:rPr>
        <w:t>装饰</w:t>
      </w:r>
      <w:r>
        <w:rPr>
          <w:rFonts w:hint="eastAsia"/>
          <w:lang w:val="en-US" w:eastAsia="zh-CN"/>
        </w:rPr>
        <w:t>材料</w:t>
      </w:r>
      <w:r>
        <w:rPr>
          <w:rFonts w:hint="eastAsia"/>
        </w:rPr>
        <w:t xml:space="preserve"> </w:t>
      </w:r>
      <w:r>
        <w:rPr>
          <w:rFonts w:hint="eastAsia"/>
          <w:lang w:val="en-US" w:eastAsia="zh-CN"/>
        </w:rPr>
        <w:t xml:space="preserve"> </w:t>
      </w:r>
      <w:r>
        <w:rPr>
          <w:rFonts w:hAnsi="Times New Roman" w:cs="Times New Roman"/>
          <w:color w:val="auto"/>
        </w:rPr>
        <w:t>Magnesium decorative material</w:t>
      </w:r>
      <w:r>
        <w:rPr>
          <w:rFonts w:hint="eastAsia" w:hAnsi="Times New Roman" w:cs="Times New Roman"/>
          <w:color w:val="auto"/>
          <w:lang w:val="en-US" w:eastAsia="zh-CN"/>
        </w:rPr>
        <w:t>s</w:t>
      </w:r>
      <w:r>
        <w:t xml:space="preserve"> </w:t>
      </w:r>
      <w:r>
        <w:rPr>
          <w:rFonts w:hint="eastAsia"/>
        </w:rPr>
        <w:t xml:space="preserve"> </w:t>
      </w:r>
    </w:p>
    <w:p w14:paraId="57AB1222">
      <w:pPr>
        <w:pStyle w:val="46"/>
        <w:ind w:firstLine="420" w:firstLineChars="200"/>
        <w:rPr>
          <w:rFonts w:hint="eastAsia" w:ascii="宋体" w:hAnsi="Times New Roman" w:eastAsia="宋体" w:cs="Times New Roman"/>
          <w:sz w:val="21"/>
          <w:szCs w:val="21"/>
          <w:lang w:val="en-US" w:eastAsia="zh-CN" w:bidi="ar-SA"/>
        </w:rPr>
      </w:pPr>
      <w:r>
        <w:rPr>
          <w:rFonts w:hint="eastAsia" w:ascii="宋体" w:hAnsi="Times New Roman" w:eastAsia="宋体" w:cs="Times New Roman"/>
          <w:sz w:val="21"/>
          <w:szCs w:val="21"/>
          <w:lang w:val="en-US" w:eastAsia="zh-CN" w:bidi="ar-SA"/>
        </w:rPr>
        <w:t>以轻烧氧化镁、硫酸镁或氯化镁和水的拌合物为胶凝材料，添加填料、改性剂、增强材料制成的装饰材料。</w:t>
      </w:r>
    </w:p>
    <w:p w14:paraId="7A029779">
      <w:pPr>
        <w:pStyle w:val="46"/>
      </w:pPr>
      <w:r>
        <w:rPr>
          <w:rFonts w:hint="eastAsia"/>
          <w:lang w:val="en-US" w:eastAsia="zh-CN"/>
        </w:rPr>
        <w:t xml:space="preserve">4 </w:t>
      </w:r>
      <w:r>
        <w:rPr>
          <w:rFonts w:hint="eastAsia"/>
        </w:rPr>
        <w:t>要求</w:t>
      </w:r>
    </w:p>
    <w:p w14:paraId="77F5D1B1">
      <w:pPr>
        <w:pStyle w:val="56"/>
        <w:ind w:left="0" w:leftChars="0" w:firstLine="0" w:firstLineChars="0"/>
      </w:pPr>
      <w:r>
        <w:rPr>
          <w:rFonts w:hint="eastAsia"/>
          <w:lang w:val="en-US" w:eastAsia="zh-CN"/>
        </w:rPr>
        <w:t>4.1</w:t>
      </w:r>
      <w:r>
        <w:rPr>
          <w:rFonts w:hint="eastAsia"/>
        </w:rPr>
        <w:t>设计</w:t>
      </w:r>
    </w:p>
    <w:p w14:paraId="3EC37A71">
      <w:pPr>
        <w:pStyle w:val="76"/>
      </w:pPr>
      <w:r>
        <w:rPr>
          <w:rFonts w:hint="eastAsia"/>
          <w:lang w:val="en-US" w:eastAsia="zh-CN"/>
        </w:rPr>
        <w:t xml:space="preserve">4.1.1 </w:t>
      </w:r>
      <w:r>
        <w:rPr>
          <w:rFonts w:hint="eastAsia"/>
        </w:rPr>
        <w:t>包装设计应符合</w:t>
      </w:r>
      <w:r>
        <w:t>GB/T 12123</w:t>
      </w:r>
      <w:r>
        <w:rPr>
          <w:rFonts w:hint="eastAsia"/>
        </w:rPr>
        <w:t>和</w:t>
      </w:r>
      <w:r>
        <w:t>GB/T 17306</w:t>
      </w:r>
      <w:r>
        <w:rPr>
          <w:rFonts w:hint="eastAsia"/>
        </w:rPr>
        <w:t>的要求。</w:t>
      </w:r>
    </w:p>
    <w:p w14:paraId="4D47C48B">
      <w:pPr>
        <w:pStyle w:val="76"/>
      </w:pPr>
      <w:r>
        <w:rPr>
          <w:rFonts w:hint="eastAsia"/>
          <w:lang w:val="en-US" w:eastAsia="zh-CN"/>
        </w:rPr>
        <w:t xml:space="preserve">4.1.2 </w:t>
      </w:r>
      <w:r>
        <w:rPr>
          <w:rFonts w:hint="eastAsia"/>
        </w:rPr>
        <w:t>硬质直方体包装件尺寸应符合</w:t>
      </w:r>
      <w:r>
        <w:t>GB/T 4892</w:t>
      </w:r>
      <w:r>
        <w:rPr>
          <w:rFonts w:hint="eastAsia"/>
        </w:rPr>
        <w:t>的要求。</w:t>
      </w:r>
    </w:p>
    <w:p w14:paraId="4F7C4001">
      <w:pPr>
        <w:pStyle w:val="76"/>
      </w:pPr>
      <w:r>
        <w:rPr>
          <w:rFonts w:hint="eastAsia"/>
          <w:lang w:val="en-US" w:eastAsia="zh-CN"/>
        </w:rPr>
        <w:t xml:space="preserve">4.1.3 </w:t>
      </w:r>
      <w:r>
        <w:rPr>
          <w:rFonts w:hint="eastAsia"/>
        </w:rPr>
        <w:t>包装用托盘尺寸应符合</w:t>
      </w:r>
      <w:r>
        <w:t>GB/T 2934</w:t>
      </w:r>
      <w:r>
        <w:rPr>
          <w:rFonts w:hint="eastAsia"/>
        </w:rPr>
        <w:t>的要求。</w:t>
      </w:r>
    </w:p>
    <w:p w14:paraId="245C0E05">
      <w:pPr>
        <w:pStyle w:val="56"/>
        <w:ind w:left="0" w:leftChars="0" w:firstLine="0" w:firstLineChars="0"/>
      </w:pPr>
      <w:r>
        <w:rPr>
          <w:rFonts w:hint="eastAsia"/>
          <w:lang w:val="en-US" w:eastAsia="zh-CN"/>
        </w:rPr>
        <w:t xml:space="preserve">4.2 </w:t>
      </w:r>
      <w:r>
        <w:rPr>
          <w:rFonts w:hint="eastAsia"/>
        </w:rPr>
        <w:t>材料</w:t>
      </w:r>
    </w:p>
    <w:p w14:paraId="192D4390">
      <w:pPr>
        <w:pStyle w:val="76"/>
      </w:pPr>
      <w:r>
        <w:rPr>
          <w:rFonts w:hint="eastAsia"/>
          <w:lang w:val="en-US" w:eastAsia="zh-CN"/>
        </w:rPr>
        <w:t xml:space="preserve">4.2.1 </w:t>
      </w:r>
      <w:r>
        <w:rPr>
          <w:rFonts w:hint="eastAsia"/>
        </w:rPr>
        <w:t>瓦楞纸箱应符合</w:t>
      </w:r>
      <w:r>
        <w:t>GB/T 6543</w:t>
      </w:r>
      <w:r>
        <w:rPr>
          <w:rFonts w:hint="eastAsia"/>
        </w:rPr>
        <w:t>的要求。</w:t>
      </w:r>
    </w:p>
    <w:p w14:paraId="782857DA">
      <w:pPr>
        <w:pStyle w:val="76"/>
      </w:pPr>
      <w:r>
        <w:rPr>
          <w:rFonts w:hint="eastAsia"/>
          <w:lang w:val="en-US" w:eastAsia="zh-CN"/>
        </w:rPr>
        <w:t xml:space="preserve">4.2.2 </w:t>
      </w:r>
      <w:r>
        <w:rPr>
          <w:rFonts w:hint="eastAsia"/>
        </w:rPr>
        <w:t>普通木箱应符合</w:t>
      </w:r>
      <w:r>
        <w:t>GB/T 12464</w:t>
      </w:r>
      <w:r>
        <w:rPr>
          <w:rFonts w:hint="eastAsia"/>
        </w:rPr>
        <w:t>的要求</w:t>
      </w:r>
      <w:r>
        <w:t>,</w:t>
      </w:r>
      <w:r>
        <w:rPr>
          <w:rFonts w:hint="eastAsia"/>
        </w:rPr>
        <w:t>滑木箱应符合</w:t>
      </w:r>
      <w:r>
        <w:t>GB/T 18925</w:t>
      </w:r>
      <w:r>
        <w:rPr>
          <w:rFonts w:hint="eastAsia"/>
        </w:rPr>
        <w:t>的要求。</w:t>
      </w:r>
    </w:p>
    <w:p w14:paraId="4404E22B">
      <w:pPr>
        <w:pStyle w:val="76"/>
      </w:pPr>
      <w:r>
        <w:rPr>
          <w:rFonts w:hint="eastAsia"/>
          <w:lang w:val="en-US" w:eastAsia="zh-CN"/>
        </w:rPr>
        <w:t xml:space="preserve">4.2.3 </w:t>
      </w:r>
      <w:r>
        <w:rPr>
          <w:rFonts w:hint="eastAsia"/>
        </w:rPr>
        <w:t>竹编胶合板箱应符合</w:t>
      </w:r>
      <w:r>
        <w:t>GB/T l3144</w:t>
      </w:r>
      <w:r>
        <w:rPr>
          <w:rFonts w:hint="eastAsia"/>
        </w:rPr>
        <w:t>的要求。</w:t>
      </w:r>
    </w:p>
    <w:p w14:paraId="7853ECEB">
      <w:pPr>
        <w:pStyle w:val="76"/>
      </w:pPr>
      <w:r>
        <w:rPr>
          <w:rFonts w:hint="eastAsia"/>
          <w:lang w:val="en-US" w:eastAsia="zh-CN"/>
        </w:rPr>
        <w:t xml:space="preserve">4.2.4 </w:t>
      </w:r>
      <w:r>
        <w:rPr>
          <w:rFonts w:hint="eastAsia"/>
        </w:rPr>
        <w:t>托盘应符合</w:t>
      </w:r>
      <w:r>
        <w:t>GB/T 16470</w:t>
      </w:r>
      <w:r>
        <w:rPr>
          <w:rFonts w:hint="eastAsia"/>
        </w:rPr>
        <w:t>的要求。</w:t>
      </w:r>
    </w:p>
    <w:p w14:paraId="1269B01A">
      <w:pPr>
        <w:pStyle w:val="76"/>
      </w:pPr>
      <w:r>
        <w:rPr>
          <w:rFonts w:hint="eastAsia"/>
          <w:lang w:val="en-US" w:eastAsia="zh-CN"/>
        </w:rPr>
        <w:t xml:space="preserve">4.2.5 </w:t>
      </w:r>
      <w:r>
        <w:rPr>
          <w:rFonts w:hint="eastAsia"/>
        </w:rPr>
        <w:t>其他包装材料应符合</w:t>
      </w:r>
      <w:r>
        <w:t>GB/T 9174</w:t>
      </w:r>
      <w:r>
        <w:rPr>
          <w:rFonts w:hint="eastAsia"/>
        </w:rPr>
        <w:t>的要求。</w:t>
      </w:r>
    </w:p>
    <w:p w14:paraId="6D67D06C">
      <w:pPr>
        <w:pStyle w:val="76"/>
        <w:rPr>
          <w:rFonts w:hint="eastAsia"/>
        </w:rPr>
      </w:pPr>
      <w:r>
        <w:rPr>
          <w:rFonts w:hint="eastAsia"/>
          <w:lang w:val="en-US" w:eastAsia="zh-CN"/>
        </w:rPr>
        <w:t xml:space="preserve">4.2.6 </w:t>
      </w:r>
      <w:r>
        <w:rPr>
          <w:rFonts w:hint="eastAsia"/>
        </w:rPr>
        <w:t>防护用内包装材料应符合</w:t>
      </w:r>
      <w:r>
        <w:t>GB/T 12339</w:t>
      </w:r>
      <w:r>
        <w:rPr>
          <w:rFonts w:hint="eastAsia"/>
        </w:rPr>
        <w:t>的要求。</w:t>
      </w:r>
    </w:p>
    <w:p w14:paraId="28BADDBF">
      <w:pPr>
        <w:pStyle w:val="76"/>
        <w:rPr>
          <w:rFonts w:hint="eastAsia"/>
        </w:rPr>
      </w:pPr>
      <w:r>
        <w:rPr>
          <w:rFonts w:hint="eastAsia"/>
          <w:lang w:val="en-US" w:eastAsia="zh-CN"/>
        </w:rPr>
        <w:t>4.2.7 防护包装塑料膜应符合GB/T 38727的要求。</w:t>
      </w:r>
    </w:p>
    <w:p w14:paraId="3134614E">
      <w:pPr>
        <w:pStyle w:val="56"/>
        <w:ind w:left="0" w:leftChars="0" w:firstLine="0" w:firstLineChars="0"/>
      </w:pPr>
      <w:r>
        <w:rPr>
          <w:rFonts w:hint="eastAsia"/>
          <w:lang w:val="en-US" w:eastAsia="zh-CN"/>
        </w:rPr>
        <w:t xml:space="preserve">4.3 </w:t>
      </w:r>
      <w:r>
        <w:rPr>
          <w:rFonts w:hint="eastAsia"/>
        </w:rPr>
        <w:t>装箱</w:t>
      </w:r>
    </w:p>
    <w:p w14:paraId="04F19026">
      <w:pPr>
        <w:pStyle w:val="76"/>
      </w:pPr>
      <w:r>
        <w:rPr>
          <w:rFonts w:hint="eastAsia"/>
          <w:lang w:val="en-US" w:eastAsia="zh-CN"/>
        </w:rPr>
        <w:t>4.3.1 镁质装饰材料</w:t>
      </w:r>
      <w:r>
        <w:rPr>
          <w:rFonts w:hint="eastAsia"/>
        </w:rPr>
        <w:t>装箱时，应使其重心位置居中靠下，重心偏高的应采用卧式包装，重心偏离中心较明显的应采取相应的平衡措施。</w:t>
      </w:r>
    </w:p>
    <w:p w14:paraId="3C8739B5">
      <w:pPr>
        <w:pStyle w:val="76"/>
      </w:pPr>
      <w:r>
        <w:rPr>
          <w:rFonts w:hint="eastAsia"/>
          <w:lang w:val="en-US" w:eastAsia="zh-CN"/>
        </w:rPr>
        <w:t xml:space="preserve">4.3.2 </w:t>
      </w:r>
      <w:r>
        <w:rPr>
          <w:rFonts w:hint="eastAsia"/>
          <w:lang w:eastAsia="zh-CN"/>
        </w:rPr>
        <w:t>镁质装饰材料</w:t>
      </w:r>
      <w:r>
        <w:rPr>
          <w:rFonts w:hint="eastAsia"/>
        </w:rPr>
        <w:t>中易拆卸的零部件，应根据其特点另行包装，做好标识，加以固定，并放置在同一箱内。</w:t>
      </w:r>
    </w:p>
    <w:p w14:paraId="1698FABB">
      <w:pPr>
        <w:pStyle w:val="76"/>
      </w:pPr>
      <w:r>
        <w:rPr>
          <w:rFonts w:hint="eastAsia"/>
          <w:lang w:val="en-US" w:eastAsia="zh-CN"/>
        </w:rPr>
        <w:t xml:space="preserve">4.3.3 </w:t>
      </w:r>
      <w:r>
        <w:rPr>
          <w:rFonts w:hint="eastAsia"/>
          <w:lang w:eastAsia="zh-CN"/>
        </w:rPr>
        <w:t>镁质装饰材料</w:t>
      </w:r>
      <w:r>
        <w:t>(</w:t>
      </w:r>
      <w:r>
        <w:rPr>
          <w:rFonts w:hint="eastAsia"/>
        </w:rPr>
        <w:t>或内包装箱</w:t>
      </w:r>
      <w:r>
        <w:t>)</w:t>
      </w:r>
      <w:r>
        <w:rPr>
          <w:rFonts w:hint="eastAsia"/>
        </w:rPr>
        <w:t>应垫稳、卡紧、固定于外包装箱内。</w:t>
      </w:r>
    </w:p>
    <w:p w14:paraId="6C560312">
      <w:pPr>
        <w:pStyle w:val="76"/>
      </w:pPr>
      <w:r>
        <w:rPr>
          <w:rFonts w:hint="eastAsia"/>
          <w:lang w:val="en-US" w:eastAsia="zh-CN"/>
        </w:rPr>
        <w:t xml:space="preserve">4.3.4 </w:t>
      </w:r>
      <w:r>
        <w:rPr>
          <w:rFonts w:hint="eastAsia"/>
          <w:lang w:eastAsia="zh-CN"/>
        </w:rPr>
        <w:t>镁质装饰材料</w:t>
      </w:r>
      <w:r>
        <w:rPr>
          <w:rFonts w:hint="eastAsia"/>
        </w:rPr>
        <w:t>不应与外包装箱箱板直接接触。</w:t>
      </w:r>
    </w:p>
    <w:p w14:paraId="4FC26F7E">
      <w:pPr>
        <w:pStyle w:val="76"/>
      </w:pPr>
      <w:r>
        <w:rPr>
          <w:rFonts w:hint="eastAsia"/>
          <w:lang w:val="en-US" w:eastAsia="zh-CN"/>
        </w:rPr>
        <w:t xml:space="preserve">4.3.5 </w:t>
      </w:r>
      <w:r>
        <w:rPr>
          <w:rFonts w:hint="eastAsia"/>
        </w:rPr>
        <w:t>有防潮要求的</w:t>
      </w:r>
      <w:r>
        <w:rPr>
          <w:rFonts w:hint="eastAsia"/>
          <w:lang w:eastAsia="zh-CN"/>
        </w:rPr>
        <w:t>镁质装饰材料</w:t>
      </w:r>
      <w:r>
        <w:rPr>
          <w:rFonts w:hint="eastAsia"/>
        </w:rPr>
        <w:t>包装应符合</w:t>
      </w:r>
      <w:r>
        <w:t>GB/T 5048</w:t>
      </w:r>
      <w:r>
        <w:rPr>
          <w:rFonts w:hint="eastAsia"/>
        </w:rPr>
        <w:t>的要求。</w:t>
      </w:r>
    </w:p>
    <w:p w14:paraId="30D075E1">
      <w:pPr>
        <w:pStyle w:val="76"/>
      </w:pPr>
      <w:r>
        <w:rPr>
          <w:rFonts w:hint="eastAsia"/>
          <w:lang w:val="en-US" w:eastAsia="zh-CN"/>
        </w:rPr>
        <w:t xml:space="preserve">4.3.6 </w:t>
      </w:r>
      <w:r>
        <w:rPr>
          <w:rFonts w:hint="eastAsia"/>
        </w:rPr>
        <w:t>有防水要求的</w:t>
      </w:r>
      <w:r>
        <w:rPr>
          <w:rFonts w:hint="eastAsia"/>
          <w:lang w:eastAsia="zh-CN"/>
        </w:rPr>
        <w:t>镁质装饰材料</w:t>
      </w:r>
      <w:r>
        <w:rPr>
          <w:rFonts w:hint="eastAsia"/>
        </w:rPr>
        <w:t>包装应符合</w:t>
      </w:r>
      <w:r>
        <w:t>GB/T 7350</w:t>
      </w:r>
      <w:r>
        <w:rPr>
          <w:rFonts w:hint="eastAsia"/>
        </w:rPr>
        <w:t>的要求。</w:t>
      </w:r>
    </w:p>
    <w:p w14:paraId="3248AD12">
      <w:pPr>
        <w:pStyle w:val="76"/>
      </w:pPr>
      <w:r>
        <w:rPr>
          <w:rFonts w:hint="eastAsia"/>
          <w:lang w:val="en-US" w:eastAsia="zh-CN"/>
        </w:rPr>
        <w:t xml:space="preserve">4.3.7 </w:t>
      </w:r>
      <w:r>
        <w:rPr>
          <w:rFonts w:hint="eastAsia"/>
        </w:rPr>
        <w:t>有防震要求的</w:t>
      </w:r>
      <w:r>
        <w:rPr>
          <w:rFonts w:hint="eastAsia"/>
          <w:lang w:eastAsia="zh-CN"/>
        </w:rPr>
        <w:t>镁质装饰材料</w:t>
      </w:r>
      <w:r>
        <w:rPr>
          <w:rFonts w:hint="eastAsia"/>
        </w:rPr>
        <w:t>包装应符合</w:t>
      </w:r>
      <w:r>
        <w:t>GB/T 8166</w:t>
      </w:r>
      <w:r>
        <w:rPr>
          <w:rFonts w:hint="eastAsia"/>
        </w:rPr>
        <w:t>的要求。</w:t>
      </w:r>
    </w:p>
    <w:p w14:paraId="462BB10D">
      <w:pPr>
        <w:pStyle w:val="76"/>
      </w:pPr>
      <w:r>
        <w:rPr>
          <w:rFonts w:hint="eastAsia"/>
          <w:lang w:val="en-US" w:eastAsia="zh-CN"/>
        </w:rPr>
        <w:t xml:space="preserve">4.3.8 </w:t>
      </w:r>
      <w:r>
        <w:rPr>
          <w:rFonts w:hint="eastAsia"/>
        </w:rPr>
        <w:t>出口</w:t>
      </w:r>
      <w:r>
        <w:rPr>
          <w:rFonts w:hint="eastAsia"/>
          <w:lang w:eastAsia="zh-CN"/>
        </w:rPr>
        <w:t>镁质装饰材料</w:t>
      </w:r>
      <w:r>
        <w:rPr>
          <w:rFonts w:hint="eastAsia"/>
        </w:rPr>
        <w:t>包装还应符合</w:t>
      </w:r>
      <w:r>
        <w:t>GB/T 19142</w:t>
      </w:r>
      <w:r>
        <w:rPr>
          <w:rFonts w:hint="eastAsia"/>
        </w:rPr>
        <w:t>的要求。</w:t>
      </w:r>
    </w:p>
    <w:p w14:paraId="5C3AA885">
      <w:pPr>
        <w:pStyle w:val="56"/>
        <w:ind w:left="0" w:leftChars="0" w:firstLine="0" w:firstLineChars="0"/>
      </w:pPr>
      <w:r>
        <w:rPr>
          <w:rFonts w:hint="eastAsia"/>
          <w:lang w:val="en-US" w:eastAsia="zh-CN"/>
        </w:rPr>
        <w:t xml:space="preserve">4.4 </w:t>
      </w:r>
      <w:r>
        <w:rPr>
          <w:rFonts w:hint="eastAsia"/>
        </w:rPr>
        <w:t>加固</w:t>
      </w:r>
    </w:p>
    <w:p w14:paraId="0934C83F">
      <w:pPr>
        <w:pStyle w:val="76"/>
      </w:pPr>
      <w:r>
        <w:rPr>
          <w:rFonts w:hint="eastAsia"/>
          <w:lang w:val="en-US" w:eastAsia="zh-CN"/>
        </w:rPr>
        <w:t xml:space="preserve">4.4.1 </w:t>
      </w:r>
      <w:r>
        <w:rPr>
          <w:rFonts w:hint="eastAsia"/>
        </w:rPr>
        <w:t>包装箱宜使用塑料带或钢带捆扎紧固，同时采取相应措施避免其嵌入箱板而损坏包装箱。</w:t>
      </w:r>
    </w:p>
    <w:p w14:paraId="654F5F07">
      <w:pPr>
        <w:pStyle w:val="76"/>
      </w:pPr>
      <w:r>
        <w:rPr>
          <w:rFonts w:hint="eastAsia"/>
          <w:lang w:val="en-US" w:eastAsia="zh-CN"/>
        </w:rPr>
        <w:t xml:space="preserve">4.4.2 </w:t>
      </w:r>
      <w:r>
        <w:rPr>
          <w:rFonts w:hint="eastAsia"/>
        </w:rPr>
        <w:t>包装箱棱角处宜加护棱、护角。</w:t>
      </w:r>
    </w:p>
    <w:p w14:paraId="6FC4E0E2">
      <w:pPr>
        <w:pStyle w:val="56"/>
        <w:ind w:left="0" w:leftChars="0" w:firstLine="0" w:firstLineChars="0"/>
      </w:pPr>
      <w:r>
        <w:rPr>
          <w:rFonts w:hint="eastAsia"/>
          <w:lang w:val="en-US" w:eastAsia="zh-CN"/>
        </w:rPr>
        <w:t xml:space="preserve">4.5 </w:t>
      </w:r>
      <w:r>
        <w:rPr>
          <w:rFonts w:hint="eastAsia"/>
        </w:rPr>
        <w:t>标志</w:t>
      </w:r>
    </w:p>
    <w:p w14:paraId="2E383F8F">
      <w:pPr>
        <w:pStyle w:val="76"/>
      </w:pPr>
      <w:r>
        <w:rPr>
          <w:rFonts w:hint="eastAsia"/>
          <w:lang w:val="en-US" w:eastAsia="zh-CN"/>
        </w:rPr>
        <w:t xml:space="preserve">4.5.1 </w:t>
      </w:r>
      <w:r>
        <w:rPr>
          <w:rFonts w:hint="eastAsia"/>
          <w:lang w:eastAsia="zh-CN"/>
        </w:rPr>
        <w:t>镁质装饰材料</w:t>
      </w:r>
      <w:r>
        <w:rPr>
          <w:rFonts w:hint="eastAsia"/>
        </w:rPr>
        <w:t>分多箱包装时，箱号应采用分数表示，分子为箱号，分母为总箱数。</w:t>
      </w:r>
    </w:p>
    <w:p w14:paraId="3488BA6E">
      <w:pPr>
        <w:pStyle w:val="76"/>
      </w:pPr>
      <w:r>
        <w:rPr>
          <w:rFonts w:hint="eastAsia"/>
          <w:lang w:val="en-US" w:eastAsia="zh-CN"/>
        </w:rPr>
        <w:t xml:space="preserve">4.5.2 </w:t>
      </w:r>
      <w:r>
        <w:rPr>
          <w:rFonts w:hint="eastAsia"/>
        </w:rPr>
        <w:t>包装储运图示标志应符合</w:t>
      </w:r>
      <w:r>
        <w:t>GB/T 191</w:t>
      </w:r>
      <w:r>
        <w:rPr>
          <w:rFonts w:hint="eastAsia"/>
        </w:rPr>
        <w:t>的要求。</w:t>
      </w:r>
    </w:p>
    <w:p w14:paraId="396FBFF8">
      <w:pPr>
        <w:pStyle w:val="76"/>
      </w:pPr>
      <w:r>
        <w:rPr>
          <w:rFonts w:hint="eastAsia"/>
          <w:lang w:val="en-US" w:eastAsia="zh-CN"/>
        </w:rPr>
        <w:t xml:space="preserve">4.5.3 </w:t>
      </w:r>
      <w:r>
        <w:rPr>
          <w:rFonts w:hint="eastAsia"/>
        </w:rPr>
        <w:t>运输包装的收发货标志应符合</w:t>
      </w:r>
      <w:r>
        <w:t>GB/T 6388</w:t>
      </w:r>
      <w:r>
        <w:rPr>
          <w:rFonts w:hint="eastAsia"/>
        </w:rPr>
        <w:t>的要求。</w:t>
      </w:r>
    </w:p>
    <w:p w14:paraId="6A2F4688">
      <w:pPr>
        <w:pStyle w:val="76"/>
      </w:pPr>
      <w:r>
        <w:rPr>
          <w:rFonts w:hint="eastAsia"/>
          <w:lang w:val="en-US" w:eastAsia="zh-CN"/>
        </w:rPr>
        <w:t xml:space="preserve">4.5.4 </w:t>
      </w:r>
      <w:r>
        <w:rPr>
          <w:rFonts w:hint="eastAsia"/>
        </w:rPr>
        <w:t>包装条形码应符合</w:t>
      </w:r>
      <w:r>
        <w:t>GB/T</w:t>
      </w:r>
      <w:bookmarkStart w:id="17" w:name="_GoBack"/>
      <w:bookmarkEnd w:id="17"/>
      <w:r>
        <w:t xml:space="preserve"> 18127</w:t>
      </w:r>
      <w:r>
        <w:rPr>
          <w:rFonts w:hint="eastAsia"/>
        </w:rPr>
        <w:t>的要求。</w:t>
      </w:r>
    </w:p>
    <w:p w14:paraId="6497C584">
      <w:pPr>
        <w:pStyle w:val="76"/>
      </w:pPr>
      <w:r>
        <w:rPr>
          <w:rFonts w:hint="eastAsia"/>
          <w:lang w:val="en-US" w:eastAsia="zh-CN"/>
        </w:rPr>
        <w:t xml:space="preserve">4.5.5 </w:t>
      </w:r>
      <w:r>
        <w:rPr>
          <w:rFonts w:hint="eastAsia"/>
        </w:rPr>
        <w:t>包装回收标志应符合</w:t>
      </w:r>
      <w:r>
        <w:t>GB/T 18455</w:t>
      </w:r>
      <w:r>
        <w:rPr>
          <w:rFonts w:hint="eastAsia"/>
        </w:rPr>
        <w:t>的要求。</w:t>
      </w:r>
    </w:p>
    <w:p w14:paraId="37B1D50E">
      <w:pPr>
        <w:pStyle w:val="76"/>
      </w:pPr>
      <w:r>
        <w:rPr>
          <w:rFonts w:hint="eastAsia"/>
          <w:lang w:val="en-US" w:eastAsia="zh-CN"/>
        </w:rPr>
        <w:t xml:space="preserve">4.5.6 </w:t>
      </w:r>
      <w:r>
        <w:rPr>
          <w:rFonts w:hint="eastAsia"/>
        </w:rPr>
        <w:t>出口</w:t>
      </w:r>
      <w:r>
        <w:rPr>
          <w:rFonts w:hint="eastAsia"/>
          <w:lang w:eastAsia="zh-CN"/>
        </w:rPr>
        <w:t>镁质装饰材料</w:t>
      </w:r>
      <w:r>
        <w:rPr>
          <w:rFonts w:hint="eastAsia"/>
        </w:rPr>
        <w:t>包装标志应符合</w:t>
      </w:r>
      <w:r>
        <w:t>GB/T 18131</w:t>
      </w:r>
      <w:r>
        <w:rPr>
          <w:rFonts w:hint="eastAsia"/>
        </w:rPr>
        <w:t>和</w:t>
      </w:r>
      <w:r>
        <w:t>GB/T 19142</w:t>
      </w:r>
      <w:r>
        <w:rPr>
          <w:rFonts w:hint="eastAsia"/>
        </w:rPr>
        <w:t>的要求。</w:t>
      </w:r>
    </w:p>
    <w:p w14:paraId="3E581C71">
      <w:pPr>
        <w:pStyle w:val="46"/>
      </w:pPr>
      <w:r>
        <w:rPr>
          <w:rFonts w:hint="eastAsia"/>
          <w:lang w:val="en-US" w:eastAsia="zh-CN"/>
        </w:rPr>
        <w:t xml:space="preserve">5 </w:t>
      </w:r>
      <w:r>
        <w:rPr>
          <w:rFonts w:hint="eastAsia"/>
        </w:rPr>
        <w:t>检验</w:t>
      </w:r>
    </w:p>
    <w:p w14:paraId="59FF722A">
      <w:pPr>
        <w:pStyle w:val="77"/>
        <w:rPr>
          <w:rFonts w:hint="default" w:eastAsia="宋体"/>
          <w:lang w:val="en-US" w:eastAsia="zh-CN"/>
        </w:rPr>
      </w:pPr>
      <w:r>
        <w:rPr>
          <w:rFonts w:hint="eastAsia"/>
          <w:lang w:val="en-US" w:eastAsia="zh-CN"/>
        </w:rPr>
        <w:t xml:space="preserve">5.1 </w:t>
      </w:r>
      <w:r>
        <w:rPr>
          <w:rFonts w:hint="eastAsia"/>
          <w:lang w:eastAsia="zh-CN"/>
        </w:rPr>
        <w:t>镁质装饰材料</w:t>
      </w:r>
      <w:r>
        <w:rPr>
          <w:rFonts w:hint="eastAsia"/>
          <w:lang w:val="en-US" w:eastAsia="zh-CN"/>
        </w:rPr>
        <w:t>包装</w:t>
      </w:r>
      <w:r>
        <w:rPr>
          <w:rFonts w:hint="eastAsia"/>
        </w:rPr>
        <w:t>后应做堆码试验、跌落试验</w:t>
      </w:r>
      <w:r>
        <w:rPr>
          <w:rFonts w:hint="eastAsia"/>
          <w:lang w:eastAsia="zh-CN"/>
        </w:rPr>
        <w:t>、</w:t>
      </w:r>
      <w:r>
        <w:rPr>
          <w:rFonts w:hint="eastAsia"/>
          <w:lang w:val="en-US" w:eastAsia="zh-CN"/>
        </w:rPr>
        <w:t>起吊试验</w:t>
      </w:r>
      <w:r>
        <w:rPr>
          <w:rFonts w:hint="eastAsia"/>
        </w:rPr>
        <w:t>，堆码试验按</w:t>
      </w:r>
      <w:r>
        <w:t>GB/T 4857.3</w:t>
      </w:r>
      <w:r>
        <w:rPr>
          <w:rFonts w:hint="eastAsia"/>
        </w:rPr>
        <w:t>的规定进行，跌落试验按</w:t>
      </w:r>
      <w:r>
        <w:t>GB/T 4857.5</w:t>
      </w:r>
      <w:r>
        <w:rPr>
          <w:rFonts w:hint="eastAsia"/>
        </w:rPr>
        <w:t>的规定进行</w:t>
      </w:r>
      <w:r>
        <w:rPr>
          <w:rFonts w:hint="eastAsia"/>
          <w:lang w:eastAsia="zh-CN"/>
        </w:rPr>
        <w:t>，</w:t>
      </w:r>
      <w:r>
        <w:rPr>
          <w:rFonts w:hint="eastAsia"/>
          <w:lang w:val="en-US" w:eastAsia="zh-CN"/>
        </w:rPr>
        <w:t>起吊试验按</w:t>
      </w:r>
      <w:r>
        <w:t xml:space="preserve">GB/T </w:t>
      </w:r>
      <w:r>
        <w:rPr>
          <w:rFonts w:hint="eastAsia"/>
          <w:lang w:val="en-US" w:eastAsia="zh-CN"/>
        </w:rPr>
        <w:t>9174的规定进行</w:t>
      </w:r>
      <w:r>
        <w:rPr>
          <w:rFonts w:hint="eastAsia"/>
        </w:rPr>
        <w:t>。</w:t>
      </w:r>
    </w:p>
    <w:p w14:paraId="15481A9A">
      <w:pPr>
        <w:pStyle w:val="77"/>
        <w:rPr>
          <w:rFonts w:hint="eastAsia"/>
        </w:rPr>
      </w:pPr>
      <w:r>
        <w:rPr>
          <w:rFonts w:hint="eastAsia"/>
          <w:lang w:val="en-US" w:eastAsia="zh-CN"/>
        </w:rPr>
        <w:t xml:space="preserve">5.2 </w:t>
      </w:r>
      <w:r>
        <w:rPr>
          <w:rFonts w:hint="eastAsia"/>
        </w:rPr>
        <w:t>其它检验应按合同的规定进行。</w:t>
      </w:r>
    </w:p>
    <w:p w14:paraId="784E4793">
      <w:pPr>
        <w:pStyle w:val="47"/>
        <w:rPr>
          <w:rFonts w:hint="eastAsia"/>
        </w:rPr>
      </w:pPr>
      <w:r>
        <w:t>_________________________________</w:t>
      </w:r>
    </w:p>
    <w:p w14:paraId="75DB27B1">
      <w:pPr>
        <w:autoSpaceDE/>
        <w:autoSpaceDN/>
      </w:pPr>
    </w:p>
    <w:p w14:paraId="7A312677">
      <w:pPr>
        <w:autoSpaceDE/>
        <w:autoSpaceDN/>
      </w:pPr>
    </w:p>
    <w:sectPr>
      <w:footerReference r:id="rId13" w:type="default"/>
      <w:footerReference r:id="rId14" w:type="even"/>
      <w:pgSz w:w="11906" w:h="16838"/>
      <w:pgMar w:top="1701" w:right="1134" w:bottom="1134" w:left="1418" w:header="1361" w:footer="1134" w:gutter="0"/>
      <w:pgNumType w:start="1"/>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420"/>
      </w:pPr>
      <w:r>
        <w:separator/>
      </w:r>
    </w:p>
  </w:endnote>
  <w:endnote w:type="continuationSeparator" w:id="1">
    <w:p>
      <w:pPr>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DFC481">
    <w:pPr>
      <w:pStyle w:val="11"/>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390636">
    <w:pPr>
      <w:pStyle w:val="11"/>
      <w:ind w:firstLine="360"/>
    </w:pPr>
  </w:p>
  <w:p w14:paraId="6F7EF290">
    <w:pPr>
      <w:pStyle w:val="11"/>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1ED32D">
    <w:pPr>
      <w:pStyle w:val="11"/>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E85456">
    <w:pPr>
      <w:pStyle w:val="57"/>
    </w:pPr>
    <w:r>
      <w:fldChar w:fldCharType="begin"/>
    </w:r>
    <w:r>
      <w:instrText xml:space="preserve"> PAGE  \* MERGEFORMAT </w:instrText>
    </w:r>
    <w:r>
      <w:fldChar w:fldCharType="separate"/>
    </w:r>
    <w:r>
      <w:t>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4F4619">
    <w:pPr>
      <w:pStyle w:val="57"/>
    </w:pPr>
    <w:r>
      <w:fldChar w:fldCharType="begin"/>
    </w:r>
    <w:r>
      <w:instrText xml:space="preserve"> PAGE  \* MERGEFORMAT </w:instrText>
    </w:r>
    <w:r>
      <w:fldChar w:fldCharType="separate"/>
    </w:r>
    <w:r>
      <w:t>7</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5A0EF5">
    <w:pPr>
      <w:pStyle w:val="11"/>
      <w:ind w:firstLine="360"/>
    </w:pPr>
    <w:r>
      <w:fldChar w:fldCharType="begin"/>
    </w:r>
    <w:r>
      <w:instrText xml:space="preserve">PAGE   \* MERGEFORMAT</w:instrText>
    </w:r>
    <w:r>
      <w:fldChar w:fldCharType="separate"/>
    </w:r>
    <w:r>
      <w:rPr>
        <w:lang w:val="zh-CN"/>
      </w:rPr>
      <w:t>6</w:t>
    </w:r>
    <w:r>
      <w:fldChar w:fldCharType="end"/>
    </w:r>
  </w:p>
  <w:p w14:paraId="13A3878C">
    <w:pPr>
      <w:pStyle w:val="11"/>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420"/>
      </w:pPr>
      <w:r>
        <w:separator/>
      </w:r>
    </w:p>
  </w:footnote>
  <w:footnote w:type="continuationSeparator" w:id="1">
    <w:p>
      <w:pPr>
        <w:ind w:firstLine="4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0CE453">
    <w:pPr>
      <w:ind w:left="420" w:firstLine="0" w:firstLineChars="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599D54">
    <w:r>
      <w:t>JC/T XXXXX—20XX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4FAF0A">
    <w:pPr>
      <w:pStyle w:val="12"/>
      <w:ind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67D321">
    <w:pPr>
      <w:pStyle w:val="58"/>
      <w:spacing w:after="284"/>
    </w:pPr>
    <w:r>
      <w:t>JC/T XXXXX—20XX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FC91163"/>
    <w:multiLevelType w:val="multilevel"/>
    <w:tmpl w:val="1FC91163"/>
    <w:lvl w:ilvl="0" w:tentative="0">
      <w:start w:val="1"/>
      <w:numFmt w:val="decimal"/>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42"/>
      <w:suff w:val="nothing"/>
      <w:lvlText w:val="%1.%2　"/>
      <w:lvlJc w:val="left"/>
      <w:pPr>
        <w:ind w:left="0" w:firstLine="0"/>
      </w:pPr>
      <w:rPr>
        <w:rFonts w:hint="eastAsia" w:ascii="黑体" w:hAnsi="Times New Roman" w:eastAsia="黑体" w:cs="Times New Roman"/>
        <w:b w:val="0"/>
        <w:bCs w:val="0"/>
        <w:i w:val="0"/>
        <w:iCs w:val="0"/>
        <w:caps w:val="0"/>
        <w:strike w:val="0"/>
        <w:dstrike w:val="0"/>
        <w:vanish w:val="0"/>
        <w:color w:val="auto"/>
        <w:spacing w:val="0"/>
        <w:kern w:val="0"/>
        <w:position w:val="0"/>
        <w:sz w:val="21"/>
        <w:szCs w:val="21"/>
        <w:u w:val="none"/>
        <w:vertAlign w:val="baseline"/>
      </w:rPr>
    </w:lvl>
    <w:lvl w:ilvl="2" w:tentative="0">
      <w:start w:val="1"/>
      <w:numFmt w:val="decimal"/>
      <w:suff w:val="nothing"/>
      <w:lvlText w:val="%1.%2.%3　"/>
      <w:lvlJc w:val="left"/>
      <w:pPr>
        <w:ind w:left="0" w:firstLine="0"/>
      </w:pPr>
      <w:rPr>
        <w:rFonts w:hint="eastAsia" w:ascii="黑体" w:hAnsi="Times New Roman" w:eastAsia="黑体"/>
        <w:b w:val="0"/>
        <w:i w:val="0"/>
        <w:strike w:val="0"/>
        <w:sz w:val="21"/>
      </w:rPr>
    </w:lvl>
    <w:lvl w:ilvl="3" w:tentative="0">
      <w:start w:val="1"/>
      <w:numFmt w:val="decimal"/>
      <w:suff w:val="nothing"/>
      <w:lvlText w:val="%1.%2.%3.%4　"/>
      <w:lvlJc w:val="left"/>
      <w:pPr>
        <w:ind w:left="1134"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
    <w:nsid w:val="49DD6F04"/>
    <w:multiLevelType w:val="multilevel"/>
    <w:tmpl w:val="49DD6F04"/>
    <w:lvl w:ilvl="0" w:tentative="0">
      <w:start w:val="1"/>
      <w:numFmt w:val="decimal"/>
      <w:pStyle w:val="67"/>
      <w:suff w:val="nothing"/>
      <w:lvlText w:val="%1  "/>
      <w:lvlJc w:val="left"/>
      <w:pPr>
        <w:ind w:left="3260" w:firstLine="0"/>
      </w:pPr>
      <w:rPr>
        <w:rFonts w:hint="default" w:ascii="Times New Roman" w:hAnsi="Times New Roman" w:eastAsia="黑体" w:cs="Times New Roman"/>
        <w:b/>
        <w:i w:val="0"/>
        <w:caps w:val="0"/>
        <w:smallCaps w:val="0"/>
        <w:strike w:val="0"/>
        <w:dstrike w:val="0"/>
        <w:vanish w:val="0"/>
        <w:color w:val="auto"/>
        <w:spacing w:val="0"/>
        <w:w w:val="100"/>
        <w:kern w:val="21"/>
        <w:position w:val="0"/>
        <w:sz w:val="32"/>
        <w:szCs w:val="32"/>
        <w:u w:val="none"/>
        <w:vertAlign w:val="baseline"/>
        <w14:shadow w14:blurRad="0" w14:dist="0" w14:dir="0" w14:sx="0" w14:sy="0" w14:kx="0" w14:ky="0" w14:algn="none">
          <w14:srgbClr w14:val="000000"/>
        </w14:shadow>
      </w:rPr>
    </w:lvl>
    <w:lvl w:ilvl="1" w:tentative="0">
      <w:start w:val="1"/>
      <w:numFmt w:val="decimal"/>
      <w:suff w:val="nothing"/>
      <w:lvlText w:val="%1.%2  "/>
      <w:lvlJc w:val="left"/>
      <w:pPr>
        <w:ind w:left="0" w:firstLine="0"/>
      </w:pPr>
      <w:rPr>
        <w:rFonts w:hint="eastAsia" w:asciiTheme="minorEastAsia" w:hAnsiTheme="minorEastAsia" w:eastAsiaTheme="minorEastAsia"/>
        <w:b/>
        <w:i w:val="0"/>
        <w:caps w:val="0"/>
        <w:smallCaps w:val="0"/>
        <w:strike w:val="0"/>
        <w:dstrike w:val="0"/>
        <w:vanish w:val="0"/>
        <w:color w:val="auto"/>
        <w:spacing w:val="0"/>
        <w:w w:val="100"/>
        <w:kern w:val="21"/>
        <w:position w:val="0"/>
        <w:sz w:val="28"/>
        <w:szCs w:val="28"/>
        <w:u w:val="none"/>
        <w:vertAlign w:val="baseline"/>
        <w14:shadow w14:blurRad="0" w14:dist="0" w14:dir="0" w14:sx="0" w14:sy="0" w14:kx="0" w14:ky="0" w14:algn="none">
          <w14:srgbClr w14:val="000000"/>
        </w14:shadow>
      </w:rPr>
    </w:lvl>
    <w:lvl w:ilvl="2" w:tentative="0">
      <w:start w:val="1"/>
      <w:numFmt w:val="decimal"/>
      <w:suff w:val="nothing"/>
      <w:lvlText w:val="%1.%2.%3  "/>
      <w:lvlJc w:val="left"/>
      <w:pPr>
        <w:ind w:left="0" w:firstLine="0"/>
      </w:pPr>
      <w:rPr>
        <w:rFonts w:hint="eastAsia" w:asciiTheme="minorEastAsia" w:hAnsiTheme="minorEastAsia" w:eastAsiaTheme="minorEastAsia"/>
        <w:b/>
        <w:i w:val="0"/>
        <w:caps w:val="0"/>
        <w:smallCaps w:val="0"/>
        <w:strike w:val="0"/>
        <w:dstrike w:val="0"/>
        <w:vanish w:val="0"/>
        <w:color w:val="auto"/>
        <w:spacing w:val="0"/>
        <w:w w:val="100"/>
        <w:kern w:val="21"/>
        <w:position w:val="0"/>
        <w:sz w:val="21"/>
        <w:u w:val="none"/>
        <w:vertAlign w:val="baseline"/>
        <w14:shadow w14:blurRad="0" w14:dist="0" w14:dir="0" w14:sx="0" w14:sy="0" w14:kx="0" w14:ky="0" w14:algn="none">
          <w14:srgbClr w14:val="000000"/>
        </w14:shadow>
      </w:rPr>
    </w:lvl>
    <w:lvl w:ilvl="3" w:tentative="0">
      <w:start w:val="1"/>
      <w:numFmt w:val="decimal"/>
      <w:suff w:val="nothing"/>
      <w:lvlText w:val="%1.%2.%3.%4  "/>
      <w:lvlJc w:val="left"/>
      <w:pPr>
        <w:ind w:left="0" w:firstLine="0"/>
      </w:pPr>
      <w:rPr>
        <w:rFonts w:hint="eastAsia" w:ascii="黑体" w:eastAsia="黑体"/>
        <w:b w:val="0"/>
        <w:i w:val="0"/>
        <w:caps w:val="0"/>
        <w:smallCaps w:val="0"/>
        <w:strike w:val="0"/>
        <w:dstrike w:val="0"/>
        <w:vanish w:val="0"/>
        <w:color w:val="auto"/>
        <w:spacing w:val="0"/>
        <w:w w:val="100"/>
        <w:kern w:val="21"/>
        <w:position w:val="0"/>
        <w:sz w:val="21"/>
        <w:u w:val="none"/>
        <w:vertAlign w:val="baseline"/>
        <w14:shadow w14:blurRad="0" w14:dist="0" w14:dir="0" w14:sx="0" w14:sy="0" w14:kx="0" w14:ky="0" w14:algn="none">
          <w14:srgbClr w14:val="000000"/>
        </w14:shadow>
      </w:rPr>
    </w:lvl>
    <w:lvl w:ilvl="4" w:tentative="0">
      <w:start w:val="1"/>
      <w:numFmt w:val="decimal"/>
      <w:suff w:val="nothing"/>
      <w:lvlText w:val="%1.%2.%3.%4.%5  "/>
      <w:lvlJc w:val="left"/>
      <w:pPr>
        <w:ind w:left="0" w:firstLine="0"/>
      </w:pPr>
      <w:rPr>
        <w:rFonts w:hint="eastAsia" w:ascii="黑体" w:eastAsia="黑体"/>
        <w:b w:val="0"/>
        <w:i w:val="0"/>
        <w:caps w:val="0"/>
        <w:smallCaps w:val="0"/>
        <w:strike w:val="0"/>
        <w:dstrike w:val="0"/>
        <w:vanish w:val="0"/>
        <w:color w:val="auto"/>
        <w:spacing w:val="0"/>
        <w:w w:val="100"/>
        <w:kern w:val="21"/>
        <w:position w:val="0"/>
        <w:sz w:val="21"/>
        <w:u w:val="none"/>
        <w:vertAlign w:val="baseline"/>
        <w14:shadow w14:blurRad="0" w14:dist="0" w14:dir="0" w14:sx="0" w14:sy="0" w14:kx="0" w14:ky="0" w14:algn="none">
          <w14:srgbClr w14:val="000000"/>
        </w14:shadow>
      </w:rPr>
    </w:lvl>
    <w:lvl w:ilvl="5" w:tentative="0">
      <w:start w:val="1"/>
      <w:numFmt w:val="decimal"/>
      <w:suff w:val="nothing"/>
      <w:lvlText w:val="%1.%2.%3.%4.%5.%6  "/>
      <w:lvlJc w:val="left"/>
      <w:pPr>
        <w:ind w:left="0" w:firstLine="0"/>
      </w:pPr>
      <w:rPr>
        <w:rFonts w:hint="eastAsia" w:ascii="黑体" w:eastAsia="黑体"/>
        <w:b w:val="0"/>
        <w:i w:val="0"/>
        <w:caps w:val="0"/>
        <w:smallCaps w:val="0"/>
        <w:strike w:val="0"/>
        <w:dstrike w:val="0"/>
        <w:vanish w:val="0"/>
        <w:color w:val="auto"/>
        <w:spacing w:val="0"/>
        <w:w w:val="100"/>
        <w:kern w:val="21"/>
        <w:position w:val="0"/>
        <w:sz w:val="21"/>
        <w:u w:val="none"/>
        <w:vertAlign w:val="baseline"/>
        <w14:shadow w14:blurRad="0" w14:dist="0" w14:dir="0" w14:sx="0" w14:sy="0" w14:kx="0" w14:ky="0" w14:algn="none">
          <w14:srgbClr w14:val="000000"/>
        </w14:shadow>
      </w:rPr>
    </w:lvl>
    <w:lvl w:ilvl="6" w:tentative="0">
      <w:start w:val="1"/>
      <w:numFmt w:val="lowerRoman"/>
      <w:lvlText w:val="(%7)"/>
      <w:lvlJc w:val="left"/>
      <w:pPr>
        <w:tabs>
          <w:tab w:val="left" w:pos="5528"/>
        </w:tabs>
        <w:ind w:left="5102" w:firstLine="0"/>
      </w:pPr>
    </w:lvl>
    <w:lvl w:ilvl="7" w:tentative="0">
      <w:start w:val="1"/>
      <w:numFmt w:val="lowerLetter"/>
      <w:lvlText w:val="(%8)"/>
      <w:lvlJc w:val="left"/>
      <w:pPr>
        <w:tabs>
          <w:tab w:val="left" w:pos="6378"/>
        </w:tabs>
        <w:ind w:left="5953" w:firstLine="0"/>
      </w:pPr>
    </w:lvl>
    <w:lvl w:ilvl="8" w:tentative="0">
      <w:start w:val="1"/>
      <w:numFmt w:val="lowerRoman"/>
      <w:lvlText w:val="(%9)"/>
      <w:lvlJc w:val="left"/>
      <w:pPr>
        <w:tabs>
          <w:tab w:val="left" w:pos="7228"/>
        </w:tabs>
        <w:ind w:left="6803" w:firstLine="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evenAndOddHeaders w:val="1"/>
  <w:drawingGridHorizontalSpacing w:val="105"/>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RmYTBmMDExNTllNzEyYTdiYzI4ZGIyYjllYThiNDMifQ=="/>
  </w:docVars>
  <w:rsids>
    <w:rsidRoot w:val="33F36BFE"/>
    <w:rsid w:val="00005CDD"/>
    <w:rsid w:val="00007EBF"/>
    <w:rsid w:val="000117DB"/>
    <w:rsid w:val="00012C06"/>
    <w:rsid w:val="00015A41"/>
    <w:rsid w:val="0001687D"/>
    <w:rsid w:val="000211BF"/>
    <w:rsid w:val="00021D81"/>
    <w:rsid w:val="00021E4A"/>
    <w:rsid w:val="00026E7A"/>
    <w:rsid w:val="00033664"/>
    <w:rsid w:val="0003488E"/>
    <w:rsid w:val="000422C7"/>
    <w:rsid w:val="00043208"/>
    <w:rsid w:val="00047012"/>
    <w:rsid w:val="00050908"/>
    <w:rsid w:val="0005209D"/>
    <w:rsid w:val="00055ED8"/>
    <w:rsid w:val="00056E79"/>
    <w:rsid w:val="00061080"/>
    <w:rsid w:val="00062BE7"/>
    <w:rsid w:val="00065639"/>
    <w:rsid w:val="00066CEB"/>
    <w:rsid w:val="0007172C"/>
    <w:rsid w:val="00071EA1"/>
    <w:rsid w:val="00075B5C"/>
    <w:rsid w:val="00080109"/>
    <w:rsid w:val="0008187B"/>
    <w:rsid w:val="00083059"/>
    <w:rsid w:val="000938DF"/>
    <w:rsid w:val="000B584E"/>
    <w:rsid w:val="000C515B"/>
    <w:rsid w:val="000C7395"/>
    <w:rsid w:val="000D12CF"/>
    <w:rsid w:val="000D1A76"/>
    <w:rsid w:val="000D4303"/>
    <w:rsid w:val="000D596B"/>
    <w:rsid w:val="000E0312"/>
    <w:rsid w:val="000E58A9"/>
    <w:rsid w:val="000E6F97"/>
    <w:rsid w:val="000F1363"/>
    <w:rsid w:val="000F34A4"/>
    <w:rsid w:val="000F3649"/>
    <w:rsid w:val="000F48CB"/>
    <w:rsid w:val="000F647A"/>
    <w:rsid w:val="000F7B0D"/>
    <w:rsid w:val="00100F25"/>
    <w:rsid w:val="0010276B"/>
    <w:rsid w:val="00106732"/>
    <w:rsid w:val="001109DE"/>
    <w:rsid w:val="00122C72"/>
    <w:rsid w:val="001245E9"/>
    <w:rsid w:val="00124798"/>
    <w:rsid w:val="001260FA"/>
    <w:rsid w:val="00127172"/>
    <w:rsid w:val="00132AFE"/>
    <w:rsid w:val="001401A9"/>
    <w:rsid w:val="0014658E"/>
    <w:rsid w:val="0015010B"/>
    <w:rsid w:val="00150EBE"/>
    <w:rsid w:val="00153421"/>
    <w:rsid w:val="00154E1B"/>
    <w:rsid w:val="00161D76"/>
    <w:rsid w:val="00167DC6"/>
    <w:rsid w:val="00171D7D"/>
    <w:rsid w:val="00173C8F"/>
    <w:rsid w:val="00175719"/>
    <w:rsid w:val="00176003"/>
    <w:rsid w:val="00176C89"/>
    <w:rsid w:val="001804CA"/>
    <w:rsid w:val="00181184"/>
    <w:rsid w:val="001931F6"/>
    <w:rsid w:val="00193D78"/>
    <w:rsid w:val="00193F49"/>
    <w:rsid w:val="001963FA"/>
    <w:rsid w:val="001A3CC5"/>
    <w:rsid w:val="001A4329"/>
    <w:rsid w:val="001B22C7"/>
    <w:rsid w:val="001B2D19"/>
    <w:rsid w:val="001C14B8"/>
    <w:rsid w:val="001C29B6"/>
    <w:rsid w:val="001C62E2"/>
    <w:rsid w:val="001D7404"/>
    <w:rsid w:val="001E6D85"/>
    <w:rsid w:val="001F0333"/>
    <w:rsid w:val="0020521F"/>
    <w:rsid w:val="00206995"/>
    <w:rsid w:val="0021372A"/>
    <w:rsid w:val="00215DC7"/>
    <w:rsid w:val="002209E3"/>
    <w:rsid w:val="0022146D"/>
    <w:rsid w:val="002216FA"/>
    <w:rsid w:val="002239FE"/>
    <w:rsid w:val="00224BFC"/>
    <w:rsid w:val="00230B3D"/>
    <w:rsid w:val="00236555"/>
    <w:rsid w:val="002375EE"/>
    <w:rsid w:val="002411C1"/>
    <w:rsid w:val="00241F4D"/>
    <w:rsid w:val="00247902"/>
    <w:rsid w:val="0025153D"/>
    <w:rsid w:val="002516B0"/>
    <w:rsid w:val="002572D0"/>
    <w:rsid w:val="0026245B"/>
    <w:rsid w:val="002630F9"/>
    <w:rsid w:val="0026774A"/>
    <w:rsid w:val="00282680"/>
    <w:rsid w:val="00285BE3"/>
    <w:rsid w:val="00286042"/>
    <w:rsid w:val="00295AA1"/>
    <w:rsid w:val="00297B66"/>
    <w:rsid w:val="002A44AE"/>
    <w:rsid w:val="002B05C7"/>
    <w:rsid w:val="002B2BED"/>
    <w:rsid w:val="002B30AB"/>
    <w:rsid w:val="002B6101"/>
    <w:rsid w:val="002C20CE"/>
    <w:rsid w:val="002C54D9"/>
    <w:rsid w:val="002D5AC0"/>
    <w:rsid w:val="002E0D83"/>
    <w:rsid w:val="002E3E0C"/>
    <w:rsid w:val="002E5C42"/>
    <w:rsid w:val="002E65B2"/>
    <w:rsid w:val="002E7A00"/>
    <w:rsid w:val="002F0E75"/>
    <w:rsid w:val="002F3996"/>
    <w:rsid w:val="002F5532"/>
    <w:rsid w:val="00300392"/>
    <w:rsid w:val="00304382"/>
    <w:rsid w:val="00305BDE"/>
    <w:rsid w:val="003074F0"/>
    <w:rsid w:val="003110BD"/>
    <w:rsid w:val="00314E8E"/>
    <w:rsid w:val="00315681"/>
    <w:rsid w:val="00320970"/>
    <w:rsid w:val="00324E58"/>
    <w:rsid w:val="00333A6A"/>
    <w:rsid w:val="00333CC6"/>
    <w:rsid w:val="00336636"/>
    <w:rsid w:val="0033776C"/>
    <w:rsid w:val="00342B05"/>
    <w:rsid w:val="00342E45"/>
    <w:rsid w:val="00350796"/>
    <w:rsid w:val="003563E1"/>
    <w:rsid w:val="00362295"/>
    <w:rsid w:val="003646E4"/>
    <w:rsid w:val="00374123"/>
    <w:rsid w:val="00376C18"/>
    <w:rsid w:val="003805EB"/>
    <w:rsid w:val="00380E0D"/>
    <w:rsid w:val="00381103"/>
    <w:rsid w:val="00381467"/>
    <w:rsid w:val="0038598A"/>
    <w:rsid w:val="003867A0"/>
    <w:rsid w:val="0039017E"/>
    <w:rsid w:val="003A00BA"/>
    <w:rsid w:val="003A190F"/>
    <w:rsid w:val="003A61A5"/>
    <w:rsid w:val="003B263C"/>
    <w:rsid w:val="003B359E"/>
    <w:rsid w:val="003B6D03"/>
    <w:rsid w:val="003C0DF6"/>
    <w:rsid w:val="003C2F59"/>
    <w:rsid w:val="003C5A2F"/>
    <w:rsid w:val="003C6889"/>
    <w:rsid w:val="003D1235"/>
    <w:rsid w:val="003D42B7"/>
    <w:rsid w:val="003D4BD8"/>
    <w:rsid w:val="003D576E"/>
    <w:rsid w:val="003D7763"/>
    <w:rsid w:val="003E63B5"/>
    <w:rsid w:val="003E7D4A"/>
    <w:rsid w:val="003F586E"/>
    <w:rsid w:val="00401158"/>
    <w:rsid w:val="00403835"/>
    <w:rsid w:val="00405634"/>
    <w:rsid w:val="00405EBC"/>
    <w:rsid w:val="004114E6"/>
    <w:rsid w:val="00412310"/>
    <w:rsid w:val="004130FF"/>
    <w:rsid w:val="0041485D"/>
    <w:rsid w:val="00414D8E"/>
    <w:rsid w:val="00414FC1"/>
    <w:rsid w:val="00416CDD"/>
    <w:rsid w:val="004171C7"/>
    <w:rsid w:val="00423790"/>
    <w:rsid w:val="004267AF"/>
    <w:rsid w:val="00426CA8"/>
    <w:rsid w:val="004321A0"/>
    <w:rsid w:val="00432220"/>
    <w:rsid w:val="00432718"/>
    <w:rsid w:val="00434DA3"/>
    <w:rsid w:val="004356D3"/>
    <w:rsid w:val="00440B83"/>
    <w:rsid w:val="00447049"/>
    <w:rsid w:val="004504E3"/>
    <w:rsid w:val="0045117C"/>
    <w:rsid w:val="0045416C"/>
    <w:rsid w:val="00454A83"/>
    <w:rsid w:val="00460EC5"/>
    <w:rsid w:val="00461134"/>
    <w:rsid w:val="00463CED"/>
    <w:rsid w:val="00467ADB"/>
    <w:rsid w:val="00482478"/>
    <w:rsid w:val="004824D2"/>
    <w:rsid w:val="004879DB"/>
    <w:rsid w:val="004916C9"/>
    <w:rsid w:val="004A1DDF"/>
    <w:rsid w:val="004A23FF"/>
    <w:rsid w:val="004A4480"/>
    <w:rsid w:val="004A4696"/>
    <w:rsid w:val="004B01A5"/>
    <w:rsid w:val="004B3EA5"/>
    <w:rsid w:val="004C1149"/>
    <w:rsid w:val="004C24A1"/>
    <w:rsid w:val="004C4F73"/>
    <w:rsid w:val="004D0F9A"/>
    <w:rsid w:val="004D1D17"/>
    <w:rsid w:val="004E1BD3"/>
    <w:rsid w:val="004E5C70"/>
    <w:rsid w:val="004E5FA5"/>
    <w:rsid w:val="004F37ED"/>
    <w:rsid w:val="004F489B"/>
    <w:rsid w:val="00503F1A"/>
    <w:rsid w:val="00507665"/>
    <w:rsid w:val="005104FD"/>
    <w:rsid w:val="00512072"/>
    <w:rsid w:val="00516CEE"/>
    <w:rsid w:val="005203B7"/>
    <w:rsid w:val="005215F2"/>
    <w:rsid w:val="00523797"/>
    <w:rsid w:val="00524670"/>
    <w:rsid w:val="00525C77"/>
    <w:rsid w:val="005346A4"/>
    <w:rsid w:val="005368E4"/>
    <w:rsid w:val="0053746E"/>
    <w:rsid w:val="00540F5D"/>
    <w:rsid w:val="00546306"/>
    <w:rsid w:val="0055033F"/>
    <w:rsid w:val="00551EC3"/>
    <w:rsid w:val="005524B5"/>
    <w:rsid w:val="00556912"/>
    <w:rsid w:val="0056456A"/>
    <w:rsid w:val="00571C26"/>
    <w:rsid w:val="005722F6"/>
    <w:rsid w:val="0057663F"/>
    <w:rsid w:val="00580868"/>
    <w:rsid w:val="005833B2"/>
    <w:rsid w:val="005839BF"/>
    <w:rsid w:val="00584EFE"/>
    <w:rsid w:val="005918FA"/>
    <w:rsid w:val="00591A50"/>
    <w:rsid w:val="00592D41"/>
    <w:rsid w:val="00593519"/>
    <w:rsid w:val="00594207"/>
    <w:rsid w:val="00596DA0"/>
    <w:rsid w:val="005A2AE4"/>
    <w:rsid w:val="005A58BB"/>
    <w:rsid w:val="005C1054"/>
    <w:rsid w:val="005C1CAA"/>
    <w:rsid w:val="005D26DC"/>
    <w:rsid w:val="005D2723"/>
    <w:rsid w:val="005D32FC"/>
    <w:rsid w:val="005D4F45"/>
    <w:rsid w:val="005D7FFA"/>
    <w:rsid w:val="005E1FEA"/>
    <w:rsid w:val="005E65BC"/>
    <w:rsid w:val="005F54F1"/>
    <w:rsid w:val="00603778"/>
    <w:rsid w:val="00604425"/>
    <w:rsid w:val="00605BCF"/>
    <w:rsid w:val="006106B8"/>
    <w:rsid w:val="00621FFE"/>
    <w:rsid w:val="0062291D"/>
    <w:rsid w:val="00642DD8"/>
    <w:rsid w:val="00643071"/>
    <w:rsid w:val="00645ED0"/>
    <w:rsid w:val="00654543"/>
    <w:rsid w:val="00657BE5"/>
    <w:rsid w:val="006601B2"/>
    <w:rsid w:val="006619BE"/>
    <w:rsid w:val="00673855"/>
    <w:rsid w:val="006754E0"/>
    <w:rsid w:val="0067579D"/>
    <w:rsid w:val="006817F6"/>
    <w:rsid w:val="00682229"/>
    <w:rsid w:val="00685FFC"/>
    <w:rsid w:val="006871A7"/>
    <w:rsid w:val="006908D1"/>
    <w:rsid w:val="0069212E"/>
    <w:rsid w:val="0069659E"/>
    <w:rsid w:val="006A16B3"/>
    <w:rsid w:val="006A6657"/>
    <w:rsid w:val="006A6DCF"/>
    <w:rsid w:val="006B1512"/>
    <w:rsid w:val="006B4FA1"/>
    <w:rsid w:val="006C3DC3"/>
    <w:rsid w:val="006C4563"/>
    <w:rsid w:val="006D294C"/>
    <w:rsid w:val="006D3A0D"/>
    <w:rsid w:val="006D46FE"/>
    <w:rsid w:val="006D6F1C"/>
    <w:rsid w:val="006E42C9"/>
    <w:rsid w:val="006E5CBC"/>
    <w:rsid w:val="006E68AA"/>
    <w:rsid w:val="006E7922"/>
    <w:rsid w:val="006F21BA"/>
    <w:rsid w:val="006F2411"/>
    <w:rsid w:val="00701D22"/>
    <w:rsid w:val="0070217D"/>
    <w:rsid w:val="00714E27"/>
    <w:rsid w:val="007160D7"/>
    <w:rsid w:val="007216B9"/>
    <w:rsid w:val="00721C72"/>
    <w:rsid w:val="00722C92"/>
    <w:rsid w:val="007243D6"/>
    <w:rsid w:val="00724B0C"/>
    <w:rsid w:val="0072545E"/>
    <w:rsid w:val="007262B9"/>
    <w:rsid w:val="00726C2E"/>
    <w:rsid w:val="00730A82"/>
    <w:rsid w:val="00737AD0"/>
    <w:rsid w:val="00740500"/>
    <w:rsid w:val="00743DF4"/>
    <w:rsid w:val="00747E9D"/>
    <w:rsid w:val="007531EA"/>
    <w:rsid w:val="00753C34"/>
    <w:rsid w:val="007630F9"/>
    <w:rsid w:val="0076359D"/>
    <w:rsid w:val="00764BE9"/>
    <w:rsid w:val="00773A8B"/>
    <w:rsid w:val="00775777"/>
    <w:rsid w:val="007768A3"/>
    <w:rsid w:val="0077751B"/>
    <w:rsid w:val="00781E2F"/>
    <w:rsid w:val="007830F3"/>
    <w:rsid w:val="007872E4"/>
    <w:rsid w:val="007920E2"/>
    <w:rsid w:val="00792937"/>
    <w:rsid w:val="007A13D5"/>
    <w:rsid w:val="007A21D3"/>
    <w:rsid w:val="007A44FD"/>
    <w:rsid w:val="007A5242"/>
    <w:rsid w:val="007A6BDD"/>
    <w:rsid w:val="007B0865"/>
    <w:rsid w:val="007B0FDE"/>
    <w:rsid w:val="007B3181"/>
    <w:rsid w:val="007B6390"/>
    <w:rsid w:val="007B6ECF"/>
    <w:rsid w:val="007C048C"/>
    <w:rsid w:val="007C1148"/>
    <w:rsid w:val="007C1DDE"/>
    <w:rsid w:val="007C748D"/>
    <w:rsid w:val="007D5B8E"/>
    <w:rsid w:val="007E73EA"/>
    <w:rsid w:val="007F2233"/>
    <w:rsid w:val="007F229F"/>
    <w:rsid w:val="007F24C1"/>
    <w:rsid w:val="007F3C8C"/>
    <w:rsid w:val="0080161F"/>
    <w:rsid w:val="008022DF"/>
    <w:rsid w:val="00803AD3"/>
    <w:rsid w:val="008100F2"/>
    <w:rsid w:val="00822B51"/>
    <w:rsid w:val="00824370"/>
    <w:rsid w:val="008245B0"/>
    <w:rsid w:val="00824D75"/>
    <w:rsid w:val="00825672"/>
    <w:rsid w:val="00842CEC"/>
    <w:rsid w:val="00843C18"/>
    <w:rsid w:val="0084476B"/>
    <w:rsid w:val="0084521F"/>
    <w:rsid w:val="00846521"/>
    <w:rsid w:val="0085009C"/>
    <w:rsid w:val="00851BE4"/>
    <w:rsid w:val="0085548B"/>
    <w:rsid w:val="008603A2"/>
    <w:rsid w:val="00865305"/>
    <w:rsid w:val="008725AA"/>
    <w:rsid w:val="008743DE"/>
    <w:rsid w:val="0087651A"/>
    <w:rsid w:val="00883F7C"/>
    <w:rsid w:val="008931F7"/>
    <w:rsid w:val="00893D0E"/>
    <w:rsid w:val="00896D96"/>
    <w:rsid w:val="00897CD3"/>
    <w:rsid w:val="008A668C"/>
    <w:rsid w:val="008B500D"/>
    <w:rsid w:val="008C1C85"/>
    <w:rsid w:val="008C4814"/>
    <w:rsid w:val="008D0B23"/>
    <w:rsid w:val="008D5D8B"/>
    <w:rsid w:val="008E0DB0"/>
    <w:rsid w:val="008E0E1D"/>
    <w:rsid w:val="008E0F0B"/>
    <w:rsid w:val="008E2EE0"/>
    <w:rsid w:val="008E6072"/>
    <w:rsid w:val="008F255D"/>
    <w:rsid w:val="008F26D2"/>
    <w:rsid w:val="00902E12"/>
    <w:rsid w:val="00903056"/>
    <w:rsid w:val="0092314E"/>
    <w:rsid w:val="00930168"/>
    <w:rsid w:val="00937B66"/>
    <w:rsid w:val="009401D8"/>
    <w:rsid w:val="00940AF2"/>
    <w:rsid w:val="00942727"/>
    <w:rsid w:val="00942CC5"/>
    <w:rsid w:val="00950136"/>
    <w:rsid w:val="009538D3"/>
    <w:rsid w:val="009616F8"/>
    <w:rsid w:val="00962ED9"/>
    <w:rsid w:val="00963A3C"/>
    <w:rsid w:val="00963FB0"/>
    <w:rsid w:val="0096492E"/>
    <w:rsid w:val="00967739"/>
    <w:rsid w:val="00976060"/>
    <w:rsid w:val="00981E01"/>
    <w:rsid w:val="00983AAE"/>
    <w:rsid w:val="009841FB"/>
    <w:rsid w:val="00990790"/>
    <w:rsid w:val="009915BF"/>
    <w:rsid w:val="009A3002"/>
    <w:rsid w:val="009A50DA"/>
    <w:rsid w:val="009A59B2"/>
    <w:rsid w:val="009A6B45"/>
    <w:rsid w:val="009B2006"/>
    <w:rsid w:val="009B2095"/>
    <w:rsid w:val="009B35B3"/>
    <w:rsid w:val="009B3F97"/>
    <w:rsid w:val="009B50E6"/>
    <w:rsid w:val="009C308C"/>
    <w:rsid w:val="009C60D7"/>
    <w:rsid w:val="009E6F2B"/>
    <w:rsid w:val="009E7B69"/>
    <w:rsid w:val="009F07EF"/>
    <w:rsid w:val="009F274F"/>
    <w:rsid w:val="00A02FE9"/>
    <w:rsid w:val="00A030D9"/>
    <w:rsid w:val="00A05BB7"/>
    <w:rsid w:val="00A06A53"/>
    <w:rsid w:val="00A108D4"/>
    <w:rsid w:val="00A124FF"/>
    <w:rsid w:val="00A1325E"/>
    <w:rsid w:val="00A168C1"/>
    <w:rsid w:val="00A1736A"/>
    <w:rsid w:val="00A25CC6"/>
    <w:rsid w:val="00A278DD"/>
    <w:rsid w:val="00A30E2A"/>
    <w:rsid w:val="00A31A4A"/>
    <w:rsid w:val="00A3445E"/>
    <w:rsid w:val="00A37AAE"/>
    <w:rsid w:val="00A43FE3"/>
    <w:rsid w:val="00A45D64"/>
    <w:rsid w:val="00A46B3B"/>
    <w:rsid w:val="00A50429"/>
    <w:rsid w:val="00A529A8"/>
    <w:rsid w:val="00A54352"/>
    <w:rsid w:val="00A755BC"/>
    <w:rsid w:val="00A765DC"/>
    <w:rsid w:val="00A8009F"/>
    <w:rsid w:val="00A828CD"/>
    <w:rsid w:val="00AA021F"/>
    <w:rsid w:val="00AA2A81"/>
    <w:rsid w:val="00AA3A77"/>
    <w:rsid w:val="00AB3578"/>
    <w:rsid w:val="00AB473F"/>
    <w:rsid w:val="00AB5D8B"/>
    <w:rsid w:val="00AB6BA7"/>
    <w:rsid w:val="00AB7BDD"/>
    <w:rsid w:val="00AB7D07"/>
    <w:rsid w:val="00AC6757"/>
    <w:rsid w:val="00AD5563"/>
    <w:rsid w:val="00AD7678"/>
    <w:rsid w:val="00AE00A5"/>
    <w:rsid w:val="00AE00C0"/>
    <w:rsid w:val="00AF197F"/>
    <w:rsid w:val="00AF31E5"/>
    <w:rsid w:val="00AF3943"/>
    <w:rsid w:val="00AF5ED2"/>
    <w:rsid w:val="00AF6980"/>
    <w:rsid w:val="00B00555"/>
    <w:rsid w:val="00B0205F"/>
    <w:rsid w:val="00B0410A"/>
    <w:rsid w:val="00B0433A"/>
    <w:rsid w:val="00B118BA"/>
    <w:rsid w:val="00B13B8F"/>
    <w:rsid w:val="00B14A4F"/>
    <w:rsid w:val="00B156BC"/>
    <w:rsid w:val="00B20E16"/>
    <w:rsid w:val="00B22ABA"/>
    <w:rsid w:val="00B27B78"/>
    <w:rsid w:val="00B307FF"/>
    <w:rsid w:val="00B36A04"/>
    <w:rsid w:val="00B4632F"/>
    <w:rsid w:val="00B55716"/>
    <w:rsid w:val="00B56989"/>
    <w:rsid w:val="00B62381"/>
    <w:rsid w:val="00B6446E"/>
    <w:rsid w:val="00B66C58"/>
    <w:rsid w:val="00B66E91"/>
    <w:rsid w:val="00B77EC1"/>
    <w:rsid w:val="00B80205"/>
    <w:rsid w:val="00B806AC"/>
    <w:rsid w:val="00BA18B8"/>
    <w:rsid w:val="00BA2AA0"/>
    <w:rsid w:val="00BA5CAA"/>
    <w:rsid w:val="00BB2247"/>
    <w:rsid w:val="00BB4D55"/>
    <w:rsid w:val="00BC4DAA"/>
    <w:rsid w:val="00BD2656"/>
    <w:rsid w:val="00BD3CB5"/>
    <w:rsid w:val="00BD5F22"/>
    <w:rsid w:val="00BE301D"/>
    <w:rsid w:val="00BE77B4"/>
    <w:rsid w:val="00BF1714"/>
    <w:rsid w:val="00BF3B7B"/>
    <w:rsid w:val="00BF5500"/>
    <w:rsid w:val="00BF7A32"/>
    <w:rsid w:val="00C037AD"/>
    <w:rsid w:val="00C0571A"/>
    <w:rsid w:val="00C1189F"/>
    <w:rsid w:val="00C11931"/>
    <w:rsid w:val="00C13F13"/>
    <w:rsid w:val="00C1555A"/>
    <w:rsid w:val="00C161BE"/>
    <w:rsid w:val="00C30EC1"/>
    <w:rsid w:val="00C317E7"/>
    <w:rsid w:val="00C32D45"/>
    <w:rsid w:val="00C4210E"/>
    <w:rsid w:val="00C42370"/>
    <w:rsid w:val="00C42A5F"/>
    <w:rsid w:val="00C4432C"/>
    <w:rsid w:val="00C46FDB"/>
    <w:rsid w:val="00C55B7B"/>
    <w:rsid w:val="00C5764F"/>
    <w:rsid w:val="00C6627E"/>
    <w:rsid w:val="00C7175F"/>
    <w:rsid w:val="00C737E0"/>
    <w:rsid w:val="00C74744"/>
    <w:rsid w:val="00C758D9"/>
    <w:rsid w:val="00C84C9C"/>
    <w:rsid w:val="00C924CC"/>
    <w:rsid w:val="00C97F29"/>
    <w:rsid w:val="00CA333C"/>
    <w:rsid w:val="00CA36DE"/>
    <w:rsid w:val="00CA3C15"/>
    <w:rsid w:val="00CA6A77"/>
    <w:rsid w:val="00CA76C8"/>
    <w:rsid w:val="00CB1E9D"/>
    <w:rsid w:val="00CB349F"/>
    <w:rsid w:val="00CB772F"/>
    <w:rsid w:val="00CC11C4"/>
    <w:rsid w:val="00CC14A7"/>
    <w:rsid w:val="00CC35DB"/>
    <w:rsid w:val="00CC3EDE"/>
    <w:rsid w:val="00CC5C29"/>
    <w:rsid w:val="00CD0964"/>
    <w:rsid w:val="00CD0E61"/>
    <w:rsid w:val="00CD2467"/>
    <w:rsid w:val="00CE3848"/>
    <w:rsid w:val="00CE7767"/>
    <w:rsid w:val="00CF6682"/>
    <w:rsid w:val="00D018AC"/>
    <w:rsid w:val="00D04B0D"/>
    <w:rsid w:val="00D14C1E"/>
    <w:rsid w:val="00D20EB1"/>
    <w:rsid w:val="00D22C61"/>
    <w:rsid w:val="00D23D7C"/>
    <w:rsid w:val="00D313BF"/>
    <w:rsid w:val="00D324A3"/>
    <w:rsid w:val="00D324CB"/>
    <w:rsid w:val="00D332A3"/>
    <w:rsid w:val="00D33610"/>
    <w:rsid w:val="00D33B36"/>
    <w:rsid w:val="00D33C08"/>
    <w:rsid w:val="00D415B1"/>
    <w:rsid w:val="00D43704"/>
    <w:rsid w:val="00D442D7"/>
    <w:rsid w:val="00D44BDD"/>
    <w:rsid w:val="00D44D32"/>
    <w:rsid w:val="00D46A8A"/>
    <w:rsid w:val="00D54E85"/>
    <w:rsid w:val="00D56418"/>
    <w:rsid w:val="00D60CBD"/>
    <w:rsid w:val="00D67F2E"/>
    <w:rsid w:val="00D71A25"/>
    <w:rsid w:val="00D776CF"/>
    <w:rsid w:val="00D81977"/>
    <w:rsid w:val="00D91FC4"/>
    <w:rsid w:val="00D95751"/>
    <w:rsid w:val="00D96548"/>
    <w:rsid w:val="00D97B13"/>
    <w:rsid w:val="00DA1712"/>
    <w:rsid w:val="00DA4754"/>
    <w:rsid w:val="00DA51A6"/>
    <w:rsid w:val="00DA52BC"/>
    <w:rsid w:val="00DA6FDD"/>
    <w:rsid w:val="00DB172E"/>
    <w:rsid w:val="00DB3632"/>
    <w:rsid w:val="00DB6A02"/>
    <w:rsid w:val="00DC0341"/>
    <w:rsid w:val="00DC0B0C"/>
    <w:rsid w:val="00DC71D5"/>
    <w:rsid w:val="00DD040A"/>
    <w:rsid w:val="00DD121E"/>
    <w:rsid w:val="00DD39BD"/>
    <w:rsid w:val="00DD7372"/>
    <w:rsid w:val="00DE2F04"/>
    <w:rsid w:val="00DE3652"/>
    <w:rsid w:val="00DE3815"/>
    <w:rsid w:val="00DF1C33"/>
    <w:rsid w:val="00DF392C"/>
    <w:rsid w:val="00DF535B"/>
    <w:rsid w:val="00DF5512"/>
    <w:rsid w:val="00DF67DD"/>
    <w:rsid w:val="00E005F4"/>
    <w:rsid w:val="00E218B7"/>
    <w:rsid w:val="00E27526"/>
    <w:rsid w:val="00E33886"/>
    <w:rsid w:val="00E36260"/>
    <w:rsid w:val="00E3750D"/>
    <w:rsid w:val="00E37A2F"/>
    <w:rsid w:val="00E37E37"/>
    <w:rsid w:val="00E50481"/>
    <w:rsid w:val="00E52419"/>
    <w:rsid w:val="00E53C6F"/>
    <w:rsid w:val="00E54799"/>
    <w:rsid w:val="00E562F9"/>
    <w:rsid w:val="00E606EC"/>
    <w:rsid w:val="00E60B96"/>
    <w:rsid w:val="00E62952"/>
    <w:rsid w:val="00E62F42"/>
    <w:rsid w:val="00E66641"/>
    <w:rsid w:val="00E77C0A"/>
    <w:rsid w:val="00E8165F"/>
    <w:rsid w:val="00E831E0"/>
    <w:rsid w:val="00E853D7"/>
    <w:rsid w:val="00E87485"/>
    <w:rsid w:val="00E90DAB"/>
    <w:rsid w:val="00E951C1"/>
    <w:rsid w:val="00EA2ED9"/>
    <w:rsid w:val="00EB26B8"/>
    <w:rsid w:val="00EB4883"/>
    <w:rsid w:val="00EC06DA"/>
    <w:rsid w:val="00EC28CD"/>
    <w:rsid w:val="00EC3431"/>
    <w:rsid w:val="00EC6510"/>
    <w:rsid w:val="00ED4491"/>
    <w:rsid w:val="00ED65D2"/>
    <w:rsid w:val="00EE0BC0"/>
    <w:rsid w:val="00EE2C33"/>
    <w:rsid w:val="00EF0980"/>
    <w:rsid w:val="00EF1D52"/>
    <w:rsid w:val="00EF301B"/>
    <w:rsid w:val="00EF5B8B"/>
    <w:rsid w:val="00F003A7"/>
    <w:rsid w:val="00F019A7"/>
    <w:rsid w:val="00F06EFB"/>
    <w:rsid w:val="00F1061E"/>
    <w:rsid w:val="00F13125"/>
    <w:rsid w:val="00F15106"/>
    <w:rsid w:val="00F16577"/>
    <w:rsid w:val="00F20320"/>
    <w:rsid w:val="00F228CB"/>
    <w:rsid w:val="00F27F7C"/>
    <w:rsid w:val="00F3424F"/>
    <w:rsid w:val="00F354C8"/>
    <w:rsid w:val="00F3573D"/>
    <w:rsid w:val="00F36A28"/>
    <w:rsid w:val="00F3776E"/>
    <w:rsid w:val="00F42AD3"/>
    <w:rsid w:val="00F42BF7"/>
    <w:rsid w:val="00F43AFE"/>
    <w:rsid w:val="00F5385B"/>
    <w:rsid w:val="00F53A04"/>
    <w:rsid w:val="00F53EAB"/>
    <w:rsid w:val="00F55D32"/>
    <w:rsid w:val="00F568BE"/>
    <w:rsid w:val="00F56FB6"/>
    <w:rsid w:val="00F61BF3"/>
    <w:rsid w:val="00F6231B"/>
    <w:rsid w:val="00F641B7"/>
    <w:rsid w:val="00F6670B"/>
    <w:rsid w:val="00F67C8A"/>
    <w:rsid w:val="00F723AD"/>
    <w:rsid w:val="00F76665"/>
    <w:rsid w:val="00F77274"/>
    <w:rsid w:val="00F82910"/>
    <w:rsid w:val="00F90BC4"/>
    <w:rsid w:val="00F946EE"/>
    <w:rsid w:val="00F96523"/>
    <w:rsid w:val="00FA10DC"/>
    <w:rsid w:val="00FA4FA6"/>
    <w:rsid w:val="00FA6DFA"/>
    <w:rsid w:val="00FC1AEA"/>
    <w:rsid w:val="00FC1D3E"/>
    <w:rsid w:val="00FC48BA"/>
    <w:rsid w:val="00FC6918"/>
    <w:rsid w:val="00FD08B5"/>
    <w:rsid w:val="00FD27CF"/>
    <w:rsid w:val="00FD3586"/>
    <w:rsid w:val="00FF1833"/>
    <w:rsid w:val="00FF4808"/>
    <w:rsid w:val="00FF6ABF"/>
    <w:rsid w:val="00FF6CDB"/>
    <w:rsid w:val="00FF6E6E"/>
    <w:rsid w:val="00FF75ED"/>
    <w:rsid w:val="01BA178B"/>
    <w:rsid w:val="026A4959"/>
    <w:rsid w:val="029C290B"/>
    <w:rsid w:val="030329BA"/>
    <w:rsid w:val="032076CE"/>
    <w:rsid w:val="036A374F"/>
    <w:rsid w:val="03B47DC1"/>
    <w:rsid w:val="043B10A6"/>
    <w:rsid w:val="04F57CED"/>
    <w:rsid w:val="056A1D11"/>
    <w:rsid w:val="058B60C2"/>
    <w:rsid w:val="05B93B57"/>
    <w:rsid w:val="064F3A9D"/>
    <w:rsid w:val="06686C72"/>
    <w:rsid w:val="067547B1"/>
    <w:rsid w:val="072256E2"/>
    <w:rsid w:val="073443D9"/>
    <w:rsid w:val="07CD53CA"/>
    <w:rsid w:val="07FD21B0"/>
    <w:rsid w:val="080E7589"/>
    <w:rsid w:val="086E5263"/>
    <w:rsid w:val="08AD31FB"/>
    <w:rsid w:val="0A365262"/>
    <w:rsid w:val="0A4A0725"/>
    <w:rsid w:val="0AD91528"/>
    <w:rsid w:val="0CD7158E"/>
    <w:rsid w:val="0D127D68"/>
    <w:rsid w:val="11202301"/>
    <w:rsid w:val="117C00ED"/>
    <w:rsid w:val="11BE55D3"/>
    <w:rsid w:val="11D90D02"/>
    <w:rsid w:val="176D0592"/>
    <w:rsid w:val="194C4AAD"/>
    <w:rsid w:val="1B555E6B"/>
    <w:rsid w:val="1C295179"/>
    <w:rsid w:val="1C8A12C9"/>
    <w:rsid w:val="1CB52B35"/>
    <w:rsid w:val="1E005FA5"/>
    <w:rsid w:val="1E4C2C3B"/>
    <w:rsid w:val="1E544886"/>
    <w:rsid w:val="1EE04EB1"/>
    <w:rsid w:val="20CD1E0F"/>
    <w:rsid w:val="22A2772B"/>
    <w:rsid w:val="25332346"/>
    <w:rsid w:val="25B3114D"/>
    <w:rsid w:val="260D76B9"/>
    <w:rsid w:val="267E2238"/>
    <w:rsid w:val="274C5429"/>
    <w:rsid w:val="294008AF"/>
    <w:rsid w:val="29CF1658"/>
    <w:rsid w:val="2C9E5875"/>
    <w:rsid w:val="2DA763C8"/>
    <w:rsid w:val="2FA73189"/>
    <w:rsid w:val="2FAF4C07"/>
    <w:rsid w:val="30F67906"/>
    <w:rsid w:val="314D0EE2"/>
    <w:rsid w:val="32043FBE"/>
    <w:rsid w:val="32E90F84"/>
    <w:rsid w:val="33663940"/>
    <w:rsid w:val="33F36BFE"/>
    <w:rsid w:val="35625557"/>
    <w:rsid w:val="384A186B"/>
    <w:rsid w:val="3A2B1F54"/>
    <w:rsid w:val="3A38784C"/>
    <w:rsid w:val="3A5B1046"/>
    <w:rsid w:val="3B38142F"/>
    <w:rsid w:val="3B5C2526"/>
    <w:rsid w:val="3BA478A4"/>
    <w:rsid w:val="3C5E5B29"/>
    <w:rsid w:val="3C933C0E"/>
    <w:rsid w:val="3CE47B2E"/>
    <w:rsid w:val="3CF01CC5"/>
    <w:rsid w:val="3CFA5E5C"/>
    <w:rsid w:val="3E9D72A2"/>
    <w:rsid w:val="3EA811A8"/>
    <w:rsid w:val="3EB640DE"/>
    <w:rsid w:val="415D16B6"/>
    <w:rsid w:val="447B74B4"/>
    <w:rsid w:val="44ED4117"/>
    <w:rsid w:val="44F63F7F"/>
    <w:rsid w:val="460A0EAE"/>
    <w:rsid w:val="4820224D"/>
    <w:rsid w:val="49137B1B"/>
    <w:rsid w:val="49A90486"/>
    <w:rsid w:val="4ABF7A2E"/>
    <w:rsid w:val="4B386D45"/>
    <w:rsid w:val="4B3D7315"/>
    <w:rsid w:val="4CD337E9"/>
    <w:rsid w:val="4DC30244"/>
    <w:rsid w:val="4EBB7C58"/>
    <w:rsid w:val="501972E0"/>
    <w:rsid w:val="506015E4"/>
    <w:rsid w:val="524C30E6"/>
    <w:rsid w:val="52607EE4"/>
    <w:rsid w:val="54890F5A"/>
    <w:rsid w:val="55300172"/>
    <w:rsid w:val="553B7BF2"/>
    <w:rsid w:val="568B7EE3"/>
    <w:rsid w:val="580C7B94"/>
    <w:rsid w:val="58B11C11"/>
    <w:rsid w:val="5A0F3C17"/>
    <w:rsid w:val="5B5D4FDD"/>
    <w:rsid w:val="5CB13BA9"/>
    <w:rsid w:val="5E19638D"/>
    <w:rsid w:val="5F373FBF"/>
    <w:rsid w:val="5FA559DE"/>
    <w:rsid w:val="60AD60FE"/>
    <w:rsid w:val="60AE671D"/>
    <w:rsid w:val="626266E7"/>
    <w:rsid w:val="62A87EE4"/>
    <w:rsid w:val="63051A3D"/>
    <w:rsid w:val="644454F5"/>
    <w:rsid w:val="65970E49"/>
    <w:rsid w:val="662305C2"/>
    <w:rsid w:val="67FE6E91"/>
    <w:rsid w:val="68807A41"/>
    <w:rsid w:val="69191871"/>
    <w:rsid w:val="69A23E61"/>
    <w:rsid w:val="6D5F728E"/>
    <w:rsid w:val="6EF230AA"/>
    <w:rsid w:val="6F25667C"/>
    <w:rsid w:val="70A1532D"/>
    <w:rsid w:val="7263752C"/>
    <w:rsid w:val="73935206"/>
    <w:rsid w:val="77BE5CAD"/>
    <w:rsid w:val="7828682C"/>
    <w:rsid w:val="7981729A"/>
    <w:rsid w:val="7B327CBF"/>
    <w:rsid w:val="7BD7640F"/>
    <w:rsid w:val="7E3A23B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iPriority="39" w:semiHidden="0" w:name="toc 1"/>
    <w:lsdException w:qFormat="1" w:uiPriority="39" w:semiHidden="0" w:name="toc 2"/>
    <w:lsdException w:qFormat="1" w:uiPriority="39" w:semiHidden="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uiPriority="0" w:name="Body Text First Indent 2"/>
    <w:lsdException w:uiPriority="0" w:name="Note Heading"/>
    <w:lsdException w:qFormat="1" w:unhideWhenUsed="0" w:uiPriority="0" w:semiHidden="0" w:name="Body Text 2"/>
    <w:lsdException w:uiPriority="0" w:name="Body Text 3"/>
    <w:lsdException w:uiPriority="0" w:name="Body Text Indent 2"/>
    <w:lsdException w:qFormat="1" w:unhideWhenUsed="0" w:uiPriority="0" w:semiHidden="0" w:name="Body Text Indent 3"/>
    <w:lsdException w:uiPriority="0" w:name="Block Text"/>
    <w:lsdException w:qFormat="1" w:uiPriority="99" w:semiHidden="0" w:name="Hyperlink"/>
    <w:lsdException w:uiPriority="0" w:name="FollowedHyperlink"/>
    <w:lsdException w:qFormat="1" w:unhideWhenUsed="0" w:uiPriority="0" w:semiHidden="0" w:name="Strong"/>
    <w:lsdException w:qFormat="1" w:unhideWhenUsed="0" w:uiPriority="20" w:semiHidden="0" w:name="Emphasis"/>
    <w:lsdException w:uiPriority="0" w:name="Document Map"/>
    <w:lsdException w:qFormat="1" w:unhideWhenUsed="0" w:uiPriority="0" w:semiHidden="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tabs>
        <w:tab w:val="center" w:pos="4201"/>
        <w:tab w:val="right" w:leader="dot" w:pos="9298"/>
      </w:tabs>
      <w:autoSpaceDE w:val="0"/>
      <w:autoSpaceDN w:val="0"/>
      <w:ind w:firstLine="420" w:firstLineChars="200"/>
      <w:jc w:val="both"/>
    </w:pPr>
    <w:rPr>
      <w:rFonts w:cs="Times New Roman" w:asciiTheme="minorEastAsia" w:hAnsiTheme="minorEastAsia" w:eastAsiaTheme="minorEastAsia"/>
      <w:sz w:val="21"/>
      <w:szCs w:val="22"/>
      <w:lang w:val="en-US" w:eastAsia="zh-CN" w:bidi="ar-SA"/>
    </w:rPr>
  </w:style>
  <w:style w:type="paragraph" w:styleId="2">
    <w:name w:val="heading 1"/>
    <w:basedOn w:val="1"/>
    <w:next w:val="1"/>
    <w:qFormat/>
    <w:uiPriority w:val="0"/>
    <w:pPr>
      <w:keepNext/>
      <w:keepLines/>
      <w:spacing w:before="340" w:after="330" w:line="576" w:lineRule="auto"/>
      <w:outlineLvl w:val="0"/>
    </w:pPr>
    <w:rPr>
      <w:rFonts w:ascii="Times New Roman" w:hAnsi="Times New Roman"/>
      <w:b/>
      <w:kern w:val="44"/>
      <w:sz w:val="44"/>
    </w:rPr>
  </w:style>
  <w:style w:type="paragraph" w:styleId="3">
    <w:name w:val="heading 2"/>
    <w:basedOn w:val="1"/>
    <w:next w:val="1"/>
    <w:link w:val="68"/>
    <w:unhideWhenUsed/>
    <w:qFormat/>
    <w:uiPriority w:val="0"/>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22">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link w:val="51"/>
    <w:qFormat/>
    <w:uiPriority w:val="0"/>
    <w:pPr>
      <w:jc w:val="left"/>
    </w:pPr>
  </w:style>
  <w:style w:type="paragraph" w:styleId="5">
    <w:name w:val="Body Text"/>
    <w:basedOn w:val="1"/>
    <w:qFormat/>
    <w:uiPriority w:val="0"/>
    <w:pPr>
      <w:spacing w:after="120"/>
    </w:pPr>
  </w:style>
  <w:style w:type="paragraph" w:styleId="6">
    <w:name w:val="Body Text Indent"/>
    <w:basedOn w:val="1"/>
    <w:qFormat/>
    <w:uiPriority w:val="0"/>
    <w:pPr>
      <w:tabs>
        <w:tab w:val="left" w:pos="560"/>
        <w:tab w:val="left" w:pos="1120"/>
      </w:tabs>
      <w:spacing w:line="480" w:lineRule="atLeast"/>
      <w:ind w:firstLine="460"/>
    </w:pPr>
    <w:rPr>
      <w:rFonts w:ascii="Arial" w:hAnsi="Arial"/>
      <w:sz w:val="24"/>
      <w:szCs w:val="20"/>
    </w:rPr>
  </w:style>
  <w:style w:type="paragraph" w:styleId="7">
    <w:name w:val="toc 3"/>
    <w:basedOn w:val="1"/>
    <w:next w:val="1"/>
    <w:unhideWhenUsed/>
    <w:qFormat/>
    <w:uiPriority w:val="39"/>
    <w:pPr>
      <w:ind w:left="840" w:leftChars="400"/>
    </w:pPr>
  </w:style>
  <w:style w:type="paragraph" w:styleId="8">
    <w:name w:val="Plain Text"/>
    <w:basedOn w:val="1"/>
    <w:link w:val="63"/>
    <w:qFormat/>
    <w:uiPriority w:val="0"/>
    <w:rPr>
      <w:rFonts w:ascii="宋体" w:hAnsi="Courier New" w:cs="Courier New"/>
      <w:szCs w:val="21"/>
    </w:rPr>
  </w:style>
  <w:style w:type="paragraph" w:styleId="9">
    <w:name w:val="Date"/>
    <w:basedOn w:val="1"/>
    <w:next w:val="1"/>
    <w:link w:val="75"/>
    <w:qFormat/>
    <w:uiPriority w:val="0"/>
    <w:pPr>
      <w:ind w:left="100" w:leftChars="2500"/>
    </w:pPr>
  </w:style>
  <w:style w:type="paragraph" w:styleId="10">
    <w:name w:val="Balloon Text"/>
    <w:basedOn w:val="1"/>
    <w:link w:val="53"/>
    <w:qFormat/>
    <w:uiPriority w:val="0"/>
    <w:rPr>
      <w:sz w:val="18"/>
      <w:szCs w:val="18"/>
    </w:rPr>
  </w:style>
  <w:style w:type="paragraph" w:styleId="11">
    <w:name w:val="footer"/>
    <w:basedOn w:val="1"/>
    <w:link w:val="55"/>
    <w:qFormat/>
    <w:uiPriority w:val="99"/>
    <w:pPr>
      <w:tabs>
        <w:tab w:val="center" w:pos="4153"/>
        <w:tab w:val="right" w:pos="8306"/>
      </w:tabs>
      <w:snapToGrid w:val="0"/>
      <w:jc w:val="left"/>
    </w:pPr>
    <w:rPr>
      <w:sz w:val="18"/>
    </w:rPr>
  </w:style>
  <w:style w:type="paragraph" w:styleId="12">
    <w:name w:val="header"/>
    <w:basedOn w:val="1"/>
    <w:link w:val="48"/>
    <w:qFormat/>
    <w:uiPriority w:val="99"/>
    <w:pPr>
      <w:pBdr>
        <w:bottom w:val="single" w:color="auto" w:sz="6" w:space="1"/>
      </w:pBdr>
      <w:tabs>
        <w:tab w:val="center" w:pos="4153"/>
        <w:tab w:val="right" w:pos="8306"/>
      </w:tabs>
      <w:snapToGrid w:val="0"/>
      <w:jc w:val="center"/>
    </w:pPr>
    <w:rPr>
      <w:sz w:val="18"/>
      <w:szCs w:val="18"/>
    </w:rPr>
  </w:style>
  <w:style w:type="paragraph" w:styleId="13">
    <w:name w:val="toc 1"/>
    <w:basedOn w:val="1"/>
    <w:next w:val="1"/>
    <w:unhideWhenUsed/>
    <w:qFormat/>
    <w:uiPriority w:val="39"/>
  </w:style>
  <w:style w:type="paragraph" w:styleId="14">
    <w:name w:val="Body Text Indent 3"/>
    <w:basedOn w:val="1"/>
    <w:qFormat/>
    <w:uiPriority w:val="0"/>
    <w:pPr>
      <w:spacing w:after="120"/>
      <w:ind w:left="420" w:leftChars="200"/>
    </w:pPr>
    <w:rPr>
      <w:sz w:val="16"/>
      <w:szCs w:val="16"/>
    </w:rPr>
  </w:style>
  <w:style w:type="paragraph" w:styleId="15">
    <w:name w:val="toc 2"/>
    <w:basedOn w:val="1"/>
    <w:next w:val="1"/>
    <w:unhideWhenUsed/>
    <w:qFormat/>
    <w:uiPriority w:val="39"/>
    <w:pPr>
      <w:ind w:left="420" w:leftChars="200"/>
    </w:pPr>
  </w:style>
  <w:style w:type="paragraph" w:styleId="16">
    <w:name w:val="Body Text 2"/>
    <w:basedOn w:val="1"/>
    <w:qFormat/>
    <w:uiPriority w:val="0"/>
    <w:rPr>
      <w:rFonts w:ascii="宋体"/>
      <w:sz w:val="18"/>
      <w:szCs w:val="20"/>
    </w:rPr>
  </w:style>
  <w:style w:type="paragraph" w:styleId="17">
    <w:name w:val="Title"/>
    <w:basedOn w:val="1"/>
    <w:next w:val="1"/>
    <w:link w:val="64"/>
    <w:qFormat/>
    <w:uiPriority w:val="0"/>
    <w:pPr>
      <w:spacing w:before="240" w:after="60"/>
      <w:jc w:val="center"/>
      <w:outlineLvl w:val="0"/>
    </w:pPr>
    <w:rPr>
      <w:rFonts w:ascii="Calibri Light" w:hAnsi="Calibri Light"/>
      <w:b/>
      <w:bCs/>
      <w:sz w:val="32"/>
      <w:szCs w:val="32"/>
    </w:rPr>
  </w:style>
  <w:style w:type="paragraph" w:styleId="18">
    <w:name w:val="annotation subject"/>
    <w:basedOn w:val="4"/>
    <w:next w:val="4"/>
    <w:link w:val="52"/>
    <w:qFormat/>
    <w:uiPriority w:val="0"/>
    <w:rPr>
      <w:b/>
      <w:bCs/>
    </w:rPr>
  </w:style>
  <w:style w:type="paragraph" w:styleId="19">
    <w:name w:val="Body Text First Indent"/>
    <w:basedOn w:val="5"/>
    <w:qFormat/>
    <w:uiPriority w:val="0"/>
    <w:pPr>
      <w:ind w:firstLine="100" w:firstLineChars="100"/>
    </w:pPr>
  </w:style>
  <w:style w:type="table" w:styleId="21">
    <w:name w:val="Table Grid"/>
    <w:basedOn w:val="2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Emphasis"/>
    <w:basedOn w:val="22"/>
    <w:qFormat/>
    <w:uiPriority w:val="20"/>
    <w:rPr>
      <w:i/>
      <w:iCs/>
    </w:rPr>
  </w:style>
  <w:style w:type="character" w:styleId="24">
    <w:name w:val="Hyperlink"/>
    <w:basedOn w:val="22"/>
    <w:unhideWhenUsed/>
    <w:qFormat/>
    <w:uiPriority w:val="99"/>
    <w:rPr>
      <w:color w:val="0000FF"/>
      <w:u w:val="single"/>
    </w:rPr>
  </w:style>
  <w:style w:type="character" w:styleId="25">
    <w:name w:val="annotation reference"/>
    <w:qFormat/>
    <w:uiPriority w:val="0"/>
    <w:rPr>
      <w:sz w:val="21"/>
      <w:szCs w:val="21"/>
    </w:rPr>
  </w:style>
  <w:style w:type="paragraph" w:customStyle="1" w:styleId="26">
    <w:name w:val="文献分类号"/>
    <w:qFormat/>
    <w:uiPriority w:val="0"/>
    <w:pPr>
      <w:framePr w:hSpace="180" w:vSpace="180" w:wrap="around" w:vAnchor="margin" w:hAnchor="margin" w:y="1" w:anchorLock="1"/>
      <w:widowControl w:val="0"/>
      <w:textAlignment w:val="center"/>
    </w:pPr>
    <w:rPr>
      <w:rFonts w:ascii="黑体" w:hAnsi="Calibri" w:eastAsia="黑体" w:cs="Times New Roman"/>
      <w:sz w:val="21"/>
      <w:szCs w:val="21"/>
      <w:lang w:val="en-US" w:eastAsia="zh-CN" w:bidi="ar-SA"/>
    </w:rPr>
  </w:style>
  <w:style w:type="paragraph" w:customStyle="1" w:styleId="27">
    <w:name w:val="标准标志"/>
    <w:next w:val="1"/>
    <w:qFormat/>
    <w:uiPriority w:val="0"/>
    <w:pPr>
      <w:framePr w:w="2546" w:h="1389" w:hRule="exact" w:hSpace="181" w:vSpace="181" w:wrap="around" w:vAnchor="margin" w:hAnchor="margin" w:x="6522" w:y="398" w:anchorLock="1"/>
      <w:shd w:val="solid" w:color="FFFFFF" w:fill="FFFFFF"/>
      <w:spacing w:line="0" w:lineRule="atLeast"/>
      <w:jc w:val="right"/>
    </w:pPr>
    <w:rPr>
      <w:rFonts w:ascii="Calibri" w:hAnsi="Calibri" w:eastAsia="宋体" w:cs="Times New Roman"/>
      <w:b/>
      <w:w w:val="170"/>
      <w:sz w:val="96"/>
      <w:szCs w:val="96"/>
      <w:lang w:val="en-US" w:eastAsia="zh-CN" w:bidi="ar-SA"/>
    </w:rPr>
  </w:style>
  <w:style w:type="paragraph" w:customStyle="1" w:styleId="28">
    <w:name w:val="其他标准称谓"/>
    <w:next w:val="1"/>
    <w:qFormat/>
    <w:uiPriority w:val="0"/>
    <w:pPr>
      <w:framePr w:hSpace="181" w:vSpace="181" w:wrap="around" w:vAnchor="page" w:hAnchor="page" w:x="1419" w:y="2286" w:anchorLock="1"/>
      <w:spacing w:line="0" w:lineRule="atLeast"/>
      <w:jc w:val="distribute"/>
    </w:pPr>
    <w:rPr>
      <w:rFonts w:ascii="黑体" w:hAnsi="宋体" w:eastAsia="黑体" w:cs="Times New Roman"/>
      <w:spacing w:val="-40"/>
      <w:sz w:val="48"/>
      <w:szCs w:val="52"/>
      <w:lang w:val="en-US" w:eastAsia="zh-CN" w:bidi="ar-SA"/>
    </w:rPr>
  </w:style>
  <w:style w:type="paragraph" w:customStyle="1" w:styleId="29">
    <w:name w:val="封面标准号2"/>
    <w:qFormat/>
    <w:uiPriority w:val="0"/>
    <w:pPr>
      <w:framePr w:w="9140" w:h="1242" w:hRule="exact" w:hSpace="284" w:wrap="around" w:vAnchor="page" w:hAnchor="page" w:x="1645" w:y="2910" w:anchorLock="1"/>
      <w:spacing w:before="357" w:line="280" w:lineRule="exact"/>
      <w:jc w:val="right"/>
    </w:pPr>
    <w:rPr>
      <w:rFonts w:ascii="黑体" w:hAnsi="Calibri" w:eastAsia="黑体" w:cs="Times New Roman"/>
      <w:sz w:val="28"/>
      <w:szCs w:val="28"/>
      <w:lang w:val="en-US" w:eastAsia="zh-CN" w:bidi="ar-SA"/>
    </w:rPr>
  </w:style>
  <w:style w:type="paragraph" w:customStyle="1" w:styleId="30">
    <w:name w:val="封面标准代替信息"/>
    <w:qFormat/>
    <w:uiPriority w:val="0"/>
    <w:pPr>
      <w:framePr w:w="9140" w:h="1242" w:hRule="exact" w:hSpace="284" w:wrap="around" w:vAnchor="page" w:hAnchor="page" w:x="1645" w:y="2910" w:anchorLock="1"/>
      <w:spacing w:before="57" w:line="280" w:lineRule="exact"/>
      <w:jc w:val="right"/>
    </w:pPr>
    <w:rPr>
      <w:rFonts w:ascii="宋体" w:hAnsi="Calibri" w:eastAsia="宋体" w:cs="Times New Roman"/>
      <w:sz w:val="21"/>
      <w:szCs w:val="21"/>
      <w:lang w:val="en-US" w:eastAsia="zh-CN" w:bidi="ar-SA"/>
    </w:rPr>
  </w:style>
  <w:style w:type="paragraph" w:customStyle="1" w:styleId="31">
    <w:name w:val="封面标准名称"/>
    <w:qFormat/>
    <w:uiPriority w:val="0"/>
    <w:pPr>
      <w:framePr w:w="9639" w:h="6917" w:hRule="exact" w:wrap="around" w:vAnchor="page" w:hAnchor="page" w:xAlign="center" w:y="6408" w:anchorLock="1"/>
      <w:widowControl w:val="0"/>
      <w:spacing w:line="680" w:lineRule="exact"/>
      <w:jc w:val="center"/>
      <w:textAlignment w:val="center"/>
    </w:pPr>
    <w:rPr>
      <w:rFonts w:ascii="黑体" w:hAnsi="Calibri" w:eastAsia="黑体" w:cs="Times New Roman"/>
      <w:sz w:val="52"/>
      <w:szCs w:val="22"/>
      <w:lang w:val="en-US" w:eastAsia="zh-CN" w:bidi="ar-SA"/>
    </w:rPr>
  </w:style>
  <w:style w:type="paragraph" w:customStyle="1" w:styleId="32">
    <w:name w:val="封面标准英文名称"/>
    <w:basedOn w:val="31"/>
    <w:qFormat/>
    <w:uiPriority w:val="0"/>
    <w:pPr>
      <w:framePr w:wrap="around"/>
      <w:spacing w:before="370" w:line="400" w:lineRule="exact"/>
    </w:pPr>
    <w:rPr>
      <w:rFonts w:ascii="Times New Roman"/>
      <w:sz w:val="28"/>
      <w:szCs w:val="28"/>
    </w:rPr>
  </w:style>
  <w:style w:type="paragraph" w:customStyle="1" w:styleId="33">
    <w:name w:val="封面一致性程度标识"/>
    <w:basedOn w:val="32"/>
    <w:qFormat/>
    <w:uiPriority w:val="0"/>
    <w:pPr>
      <w:framePr w:wrap="around"/>
      <w:spacing w:before="440"/>
    </w:pPr>
    <w:rPr>
      <w:rFonts w:ascii="宋体" w:eastAsia="宋体"/>
    </w:rPr>
  </w:style>
  <w:style w:type="paragraph" w:customStyle="1" w:styleId="34">
    <w:name w:val="封面标准文稿类别"/>
    <w:basedOn w:val="33"/>
    <w:qFormat/>
    <w:uiPriority w:val="0"/>
    <w:pPr>
      <w:framePr w:wrap="around"/>
      <w:spacing w:after="160" w:line="240" w:lineRule="auto"/>
    </w:pPr>
    <w:rPr>
      <w:sz w:val="24"/>
    </w:rPr>
  </w:style>
  <w:style w:type="paragraph" w:customStyle="1" w:styleId="35">
    <w:name w:val="封面标准文稿编辑信息"/>
    <w:basedOn w:val="34"/>
    <w:qFormat/>
    <w:uiPriority w:val="0"/>
    <w:pPr>
      <w:framePr w:wrap="around"/>
      <w:spacing w:before="180" w:line="180" w:lineRule="exact"/>
    </w:pPr>
    <w:rPr>
      <w:sz w:val="21"/>
    </w:rPr>
  </w:style>
  <w:style w:type="paragraph" w:customStyle="1" w:styleId="36">
    <w:name w:val="其他发布日期"/>
    <w:basedOn w:val="37"/>
    <w:qFormat/>
    <w:uiPriority w:val="0"/>
    <w:pPr>
      <w:framePr w:wrap="around" w:vAnchor="page" w:hAnchor="text" w:x="1419"/>
    </w:pPr>
  </w:style>
  <w:style w:type="paragraph" w:customStyle="1" w:styleId="37">
    <w:name w:val="发布日期"/>
    <w:qFormat/>
    <w:uiPriority w:val="0"/>
    <w:pPr>
      <w:framePr w:w="3997" w:h="471" w:hRule="exact" w:vSpace="181" w:wrap="around" w:vAnchor="margin" w:hAnchor="page" w:x="7089" w:y="14097" w:anchorLock="1"/>
    </w:pPr>
    <w:rPr>
      <w:rFonts w:ascii="Calibri" w:hAnsi="Calibri" w:eastAsia="黑体" w:cs="Times New Roman"/>
      <w:sz w:val="28"/>
      <w:szCs w:val="22"/>
      <w:lang w:val="en-US" w:eastAsia="zh-CN" w:bidi="ar-SA"/>
    </w:rPr>
  </w:style>
  <w:style w:type="paragraph" w:customStyle="1" w:styleId="38">
    <w:name w:val="其他实施日期"/>
    <w:basedOn w:val="39"/>
    <w:qFormat/>
    <w:uiPriority w:val="0"/>
    <w:pPr>
      <w:framePr w:wrap="around"/>
    </w:pPr>
  </w:style>
  <w:style w:type="paragraph" w:customStyle="1" w:styleId="39">
    <w:name w:val="实施日期"/>
    <w:basedOn w:val="37"/>
    <w:qFormat/>
    <w:uiPriority w:val="0"/>
    <w:pPr>
      <w:framePr w:wrap="around" w:vAnchor="page" w:hAnchor="text"/>
      <w:jc w:val="right"/>
    </w:pPr>
  </w:style>
  <w:style w:type="paragraph" w:customStyle="1" w:styleId="40">
    <w:name w:val="其他发布部门"/>
    <w:basedOn w:val="41"/>
    <w:qFormat/>
    <w:uiPriority w:val="0"/>
    <w:pPr>
      <w:framePr w:wrap="around" w:y="15310"/>
      <w:spacing w:line="0" w:lineRule="atLeast"/>
    </w:pPr>
    <w:rPr>
      <w:rFonts w:ascii="黑体" w:eastAsia="黑体"/>
      <w:b w:val="0"/>
    </w:rPr>
  </w:style>
  <w:style w:type="paragraph" w:customStyle="1" w:styleId="41">
    <w:name w:val="发布部门"/>
    <w:next w:val="42"/>
    <w:qFormat/>
    <w:uiPriority w:val="0"/>
    <w:pPr>
      <w:framePr w:w="7938" w:h="1134" w:hRule="exact" w:hSpace="125" w:vSpace="181" w:wrap="around" w:vAnchor="page" w:hAnchor="page" w:x="2150" w:y="14630" w:anchorLock="1"/>
      <w:jc w:val="center"/>
    </w:pPr>
    <w:rPr>
      <w:rFonts w:ascii="宋体" w:hAnsi="Calibri" w:eastAsia="宋体" w:cs="Times New Roman"/>
      <w:b/>
      <w:spacing w:val="20"/>
      <w:w w:val="135"/>
      <w:sz w:val="28"/>
      <w:szCs w:val="22"/>
      <w:lang w:val="en-US" w:eastAsia="zh-CN" w:bidi="ar-SA"/>
    </w:rPr>
  </w:style>
  <w:style w:type="paragraph" w:customStyle="1" w:styleId="42">
    <w:name w:val="段"/>
    <w:link w:val="50"/>
    <w:qFormat/>
    <w:uiPriority w:val="0"/>
    <w:pPr>
      <w:numPr>
        <w:ilvl w:val="1"/>
        <w:numId w:val="1"/>
      </w:numPr>
      <w:tabs>
        <w:tab w:val="center" w:pos="4201"/>
        <w:tab w:val="right" w:leader="dot" w:pos="9298"/>
      </w:tabs>
      <w:autoSpaceDE w:val="0"/>
      <w:autoSpaceDN w:val="0"/>
      <w:spacing w:before="156" w:beforeLines="50" w:after="156" w:afterLines="50"/>
      <w:jc w:val="both"/>
    </w:pPr>
    <w:rPr>
      <w:rFonts w:ascii="黑体" w:hAnsi="黑体" w:eastAsia="黑体" w:cs="Times New Roman"/>
      <w:sz w:val="21"/>
      <w:szCs w:val="22"/>
      <w:lang w:val="en-US" w:eastAsia="zh-CN" w:bidi="ar-SA"/>
    </w:rPr>
  </w:style>
  <w:style w:type="character" w:customStyle="1" w:styleId="43">
    <w:name w:val="发布"/>
    <w:qFormat/>
    <w:uiPriority w:val="0"/>
    <w:rPr>
      <w:rFonts w:ascii="黑体" w:eastAsia="黑体"/>
      <w:spacing w:val="85"/>
      <w:w w:val="100"/>
      <w:position w:val="3"/>
      <w:sz w:val="28"/>
      <w:szCs w:val="28"/>
    </w:rPr>
  </w:style>
  <w:style w:type="paragraph" w:customStyle="1" w:styleId="44">
    <w:name w:val="前言、引言标题"/>
    <w:next w:val="42"/>
    <w:qFormat/>
    <w:uiPriority w:val="0"/>
    <w:pPr>
      <w:keepNext/>
      <w:pageBreakBefore/>
      <w:shd w:val="clear" w:color="FFFFFF" w:fill="FFFFFF"/>
      <w:spacing w:before="640" w:after="560"/>
      <w:jc w:val="center"/>
      <w:outlineLvl w:val="0"/>
    </w:pPr>
    <w:rPr>
      <w:rFonts w:ascii="黑体" w:hAnsi="Calibri" w:eastAsia="黑体" w:cs="Times New Roman"/>
      <w:sz w:val="32"/>
      <w:szCs w:val="22"/>
      <w:lang w:val="en-US" w:eastAsia="zh-CN" w:bidi="ar-SA"/>
    </w:rPr>
  </w:style>
  <w:style w:type="paragraph" w:customStyle="1" w:styleId="45">
    <w:name w:val="目次、标准名称标题"/>
    <w:basedOn w:val="1"/>
    <w:next w:val="42"/>
    <w:qFormat/>
    <w:uiPriority w:val="0"/>
    <w:pPr>
      <w:keepNext/>
      <w:pageBreakBefore/>
      <w:shd w:val="clear" w:color="FFFFFF" w:fill="FFFFFF"/>
      <w:spacing w:before="640" w:after="560" w:line="460" w:lineRule="exact"/>
      <w:jc w:val="center"/>
      <w:outlineLvl w:val="0"/>
    </w:pPr>
    <w:rPr>
      <w:rFonts w:ascii="黑体" w:eastAsia="黑体"/>
      <w:sz w:val="32"/>
      <w:szCs w:val="20"/>
    </w:rPr>
  </w:style>
  <w:style w:type="paragraph" w:customStyle="1" w:styleId="46">
    <w:name w:val="章标题"/>
    <w:next w:val="42"/>
    <w:qFormat/>
    <w:uiPriority w:val="0"/>
    <w:pPr>
      <w:tabs>
        <w:tab w:val="left" w:pos="0"/>
      </w:tabs>
      <w:spacing w:beforeLines="100" w:afterLines="100"/>
      <w:jc w:val="both"/>
      <w:outlineLvl w:val="1"/>
    </w:pPr>
    <w:rPr>
      <w:rFonts w:ascii="黑体" w:hAnsi="Calibri" w:eastAsia="黑体" w:cs="Times New Roman"/>
      <w:sz w:val="21"/>
      <w:szCs w:val="22"/>
      <w:lang w:val="en-US" w:eastAsia="zh-CN" w:bidi="ar-SA"/>
    </w:rPr>
  </w:style>
  <w:style w:type="paragraph" w:customStyle="1" w:styleId="47">
    <w:name w:val="终结线"/>
    <w:basedOn w:val="1"/>
    <w:qFormat/>
    <w:uiPriority w:val="0"/>
    <w:pPr>
      <w:framePr w:hSpace="181" w:vSpace="181" w:wrap="around" w:vAnchor="text" w:hAnchor="margin" w:xAlign="center" w:y="285"/>
    </w:pPr>
  </w:style>
  <w:style w:type="character" w:customStyle="1" w:styleId="48">
    <w:name w:val="页眉 Char"/>
    <w:link w:val="12"/>
    <w:qFormat/>
    <w:uiPriority w:val="99"/>
    <w:rPr>
      <w:kern w:val="2"/>
      <w:sz w:val="18"/>
      <w:szCs w:val="18"/>
    </w:rPr>
  </w:style>
  <w:style w:type="paragraph" w:customStyle="1" w:styleId="49">
    <w:name w:val="修订1"/>
    <w:hidden/>
    <w:unhideWhenUsed/>
    <w:qFormat/>
    <w:uiPriority w:val="99"/>
    <w:rPr>
      <w:rFonts w:ascii="Calibri" w:hAnsi="Calibri" w:eastAsia="宋体" w:cs="Times New Roman"/>
      <w:kern w:val="2"/>
      <w:sz w:val="21"/>
      <w:szCs w:val="24"/>
      <w:lang w:val="en-US" w:eastAsia="zh-CN" w:bidi="ar-SA"/>
    </w:rPr>
  </w:style>
  <w:style w:type="character" w:customStyle="1" w:styleId="50">
    <w:name w:val="段 Char"/>
    <w:link w:val="42"/>
    <w:qFormat/>
    <w:uiPriority w:val="0"/>
    <w:rPr>
      <w:rFonts w:ascii="黑体" w:hAnsi="黑体" w:eastAsia="黑体"/>
      <w:sz w:val="21"/>
      <w:szCs w:val="22"/>
    </w:rPr>
  </w:style>
  <w:style w:type="character" w:customStyle="1" w:styleId="51">
    <w:name w:val="批注文字 Char"/>
    <w:link w:val="4"/>
    <w:qFormat/>
    <w:uiPriority w:val="0"/>
    <w:rPr>
      <w:kern w:val="2"/>
      <w:sz w:val="21"/>
      <w:szCs w:val="24"/>
    </w:rPr>
  </w:style>
  <w:style w:type="character" w:customStyle="1" w:styleId="52">
    <w:name w:val="批注主题 Char"/>
    <w:link w:val="18"/>
    <w:qFormat/>
    <w:uiPriority w:val="0"/>
    <w:rPr>
      <w:b/>
      <w:bCs/>
      <w:kern w:val="2"/>
      <w:sz w:val="21"/>
      <w:szCs w:val="24"/>
    </w:rPr>
  </w:style>
  <w:style w:type="character" w:customStyle="1" w:styleId="53">
    <w:name w:val="批注框文本 Char"/>
    <w:link w:val="10"/>
    <w:qFormat/>
    <w:uiPriority w:val="0"/>
    <w:rPr>
      <w:kern w:val="2"/>
      <w:sz w:val="18"/>
      <w:szCs w:val="18"/>
    </w:rPr>
  </w:style>
  <w:style w:type="paragraph" w:styleId="54">
    <w:name w:val="List Paragraph"/>
    <w:basedOn w:val="1"/>
    <w:qFormat/>
    <w:uiPriority w:val="99"/>
  </w:style>
  <w:style w:type="character" w:customStyle="1" w:styleId="55">
    <w:name w:val="页脚 Char"/>
    <w:link w:val="11"/>
    <w:qFormat/>
    <w:uiPriority w:val="99"/>
    <w:rPr>
      <w:rFonts w:ascii="Calibri" w:hAnsi="Calibri" w:eastAsia="宋体" w:cs="Times New Roman"/>
      <w:kern w:val="2"/>
      <w:sz w:val="18"/>
      <w:szCs w:val="24"/>
    </w:rPr>
  </w:style>
  <w:style w:type="paragraph" w:customStyle="1" w:styleId="56">
    <w:name w:val="一级条标题"/>
    <w:next w:val="1"/>
    <w:qFormat/>
    <w:uiPriority w:val="0"/>
    <w:pPr>
      <w:spacing w:beforeLines="50" w:afterLines="50"/>
      <w:ind w:left="142"/>
      <w:outlineLvl w:val="2"/>
    </w:pPr>
    <w:rPr>
      <w:rFonts w:ascii="黑体" w:hAnsi="Times New Roman" w:eastAsia="黑体" w:cs="Times New Roman"/>
      <w:sz w:val="21"/>
      <w:szCs w:val="21"/>
      <w:lang w:val="en-US" w:eastAsia="zh-CN" w:bidi="ar-SA"/>
    </w:rPr>
  </w:style>
  <w:style w:type="paragraph" w:customStyle="1" w:styleId="57">
    <w:name w:val="标准书脚_奇数页"/>
    <w:qFormat/>
    <w:uiPriority w:val="0"/>
    <w:pPr>
      <w:spacing w:before="120"/>
      <w:ind w:right="198"/>
      <w:jc w:val="right"/>
    </w:pPr>
    <w:rPr>
      <w:rFonts w:ascii="宋体" w:hAnsi="Times New Roman" w:eastAsia="宋体" w:cs="Times New Roman"/>
      <w:sz w:val="18"/>
      <w:szCs w:val="18"/>
      <w:lang w:val="en-US" w:eastAsia="zh-CN" w:bidi="ar-SA"/>
    </w:rPr>
  </w:style>
  <w:style w:type="paragraph" w:customStyle="1" w:styleId="58">
    <w:name w:val="标准书眉_奇数页"/>
    <w:next w:val="1"/>
    <w:qFormat/>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59">
    <w:name w:val="二级条标题"/>
    <w:basedOn w:val="56"/>
    <w:next w:val="42"/>
    <w:qFormat/>
    <w:uiPriority w:val="0"/>
    <w:pPr>
      <w:spacing w:before="50" w:after="50"/>
      <w:ind w:left="0"/>
      <w:outlineLvl w:val="3"/>
    </w:pPr>
  </w:style>
  <w:style w:type="paragraph" w:customStyle="1" w:styleId="60">
    <w:name w:val="三级条标题"/>
    <w:basedOn w:val="59"/>
    <w:next w:val="42"/>
    <w:qFormat/>
    <w:uiPriority w:val="0"/>
    <w:pPr>
      <w:ind w:left="1134"/>
      <w:outlineLvl w:val="4"/>
    </w:pPr>
  </w:style>
  <w:style w:type="paragraph" w:customStyle="1" w:styleId="61">
    <w:name w:val="四级条标题"/>
    <w:basedOn w:val="60"/>
    <w:next w:val="42"/>
    <w:qFormat/>
    <w:uiPriority w:val="0"/>
    <w:pPr>
      <w:ind w:left="0"/>
      <w:outlineLvl w:val="5"/>
    </w:pPr>
  </w:style>
  <w:style w:type="paragraph" w:customStyle="1" w:styleId="62">
    <w:name w:val="五级条标题"/>
    <w:basedOn w:val="61"/>
    <w:next w:val="42"/>
    <w:qFormat/>
    <w:uiPriority w:val="0"/>
    <w:pPr>
      <w:outlineLvl w:val="6"/>
    </w:pPr>
  </w:style>
  <w:style w:type="character" w:customStyle="1" w:styleId="63">
    <w:name w:val="纯文本 Char"/>
    <w:link w:val="8"/>
    <w:qFormat/>
    <w:uiPriority w:val="0"/>
    <w:rPr>
      <w:rFonts w:ascii="宋体" w:hAnsi="Courier New" w:eastAsia="宋体" w:cs="Courier New"/>
      <w:kern w:val="2"/>
      <w:sz w:val="21"/>
      <w:szCs w:val="21"/>
    </w:rPr>
  </w:style>
  <w:style w:type="character" w:customStyle="1" w:styleId="64">
    <w:name w:val="标题 Char"/>
    <w:link w:val="17"/>
    <w:qFormat/>
    <w:uiPriority w:val="0"/>
    <w:rPr>
      <w:rFonts w:ascii="Calibri Light" w:hAnsi="Calibri Light" w:cs="Times New Roman"/>
      <w:b/>
      <w:bCs/>
      <w:kern w:val="2"/>
      <w:sz w:val="32"/>
      <w:szCs w:val="32"/>
    </w:rPr>
  </w:style>
  <w:style w:type="character" w:styleId="65">
    <w:name w:val="Placeholder Text"/>
    <w:basedOn w:val="22"/>
    <w:semiHidden/>
    <w:qFormat/>
    <w:uiPriority w:val="99"/>
    <w:rPr>
      <w:color w:val="808080"/>
    </w:rPr>
  </w:style>
  <w:style w:type="paragraph" w:customStyle="1" w:styleId="66">
    <w:name w:val="TOC 标题1"/>
    <w:basedOn w:val="2"/>
    <w:next w:val="1"/>
    <w:unhideWhenUsed/>
    <w:qFormat/>
    <w:uiPriority w:val="39"/>
    <w:pPr>
      <w:spacing w:before="240" w:after="0" w:line="259" w:lineRule="auto"/>
      <w:jc w:val="left"/>
      <w:outlineLvl w:val="9"/>
    </w:pPr>
    <w:rPr>
      <w:rFonts w:asciiTheme="majorHAnsi" w:hAnsiTheme="majorHAnsi" w:eastAsiaTheme="majorEastAsia" w:cstheme="majorBidi"/>
      <w:b w:val="0"/>
      <w:color w:val="2E75B6" w:themeColor="accent1" w:themeShade="BF"/>
      <w:kern w:val="0"/>
      <w:sz w:val="32"/>
      <w:szCs w:val="32"/>
    </w:rPr>
  </w:style>
  <w:style w:type="paragraph" w:customStyle="1" w:styleId="67">
    <w:name w:val="章"/>
    <w:basedOn w:val="1"/>
    <w:next w:val="42"/>
    <w:qFormat/>
    <w:uiPriority w:val="0"/>
    <w:pPr>
      <w:numPr>
        <w:ilvl w:val="0"/>
        <w:numId w:val="2"/>
      </w:numPr>
      <w:adjustRightInd w:val="0"/>
      <w:spacing w:before="156" w:beforeLines="50" w:after="156" w:afterLines="50"/>
      <w:ind w:left="0"/>
      <w:jc w:val="center"/>
      <w:outlineLvl w:val="0"/>
    </w:pPr>
    <w:rPr>
      <w:b/>
      <w:kern w:val="21"/>
      <w:sz w:val="32"/>
      <w:szCs w:val="32"/>
    </w:rPr>
  </w:style>
  <w:style w:type="character" w:customStyle="1" w:styleId="68">
    <w:name w:val="标题 2 Char"/>
    <w:basedOn w:val="22"/>
    <w:link w:val="3"/>
    <w:qFormat/>
    <w:uiPriority w:val="0"/>
    <w:rPr>
      <w:rFonts w:asciiTheme="majorHAnsi" w:hAnsiTheme="majorHAnsi" w:eastAsiaTheme="majorEastAsia" w:cstheme="majorBidi"/>
      <w:b/>
      <w:bCs/>
      <w:kern w:val="2"/>
      <w:sz w:val="32"/>
      <w:szCs w:val="32"/>
    </w:rPr>
  </w:style>
  <w:style w:type="paragraph" w:customStyle="1" w:styleId="69">
    <w:name w:val="附录A列表"/>
    <w:basedOn w:val="1"/>
    <w:qFormat/>
    <w:uiPriority w:val="0"/>
    <w:pPr>
      <w:keepNext/>
      <w:spacing w:line="300" w:lineRule="auto"/>
      <w:jc w:val="center"/>
    </w:pPr>
  </w:style>
  <w:style w:type="paragraph" w:customStyle="1" w:styleId="70">
    <w:name w:val="xl26"/>
    <w:basedOn w:val="1"/>
    <w:qFormat/>
    <w:uiPriority w:val="0"/>
    <w:pPr>
      <w:pBdr>
        <w:bottom w:val="single" w:color="auto" w:sz="4" w:space="0"/>
        <w:right w:val="single" w:color="auto" w:sz="4" w:space="0"/>
      </w:pBdr>
      <w:spacing w:before="100" w:beforeAutospacing="1" w:after="100" w:afterAutospacing="1"/>
      <w:jc w:val="center"/>
      <w:textAlignment w:val="center"/>
    </w:pPr>
    <w:rPr>
      <w:szCs w:val="21"/>
    </w:rPr>
  </w:style>
  <w:style w:type="paragraph" w:customStyle="1" w:styleId="71">
    <w:name w:val="正文1"/>
    <w:qFormat/>
    <w:uiPriority w:val="0"/>
    <w:pPr>
      <w:spacing w:line="360" w:lineRule="auto"/>
      <w:ind w:firstLine="200" w:firstLineChars="200"/>
    </w:pPr>
    <w:rPr>
      <w:rFonts w:ascii="Calibri" w:hAnsi="Calibri" w:eastAsia="宋体" w:cs="Times New Roman"/>
      <w:sz w:val="24"/>
      <w:lang w:val="en-US" w:eastAsia="zh-CN" w:bidi="ar-SA"/>
    </w:rPr>
  </w:style>
  <w:style w:type="paragraph" w:customStyle="1" w:styleId="72">
    <w:name w:val="Char1"/>
    <w:basedOn w:val="1"/>
    <w:qFormat/>
    <w:uiPriority w:val="0"/>
    <w:pPr>
      <w:spacing w:before="78" w:beforeLines="25" w:after="78" w:afterLines="25" w:line="360" w:lineRule="auto"/>
      <w:jc w:val="left"/>
    </w:pPr>
    <w:rPr>
      <w:rFonts w:ascii="宋体" w:hAnsi="宋体" w:cs="宋体"/>
      <w:bCs/>
      <w:sz w:val="24"/>
    </w:rPr>
  </w:style>
  <w:style w:type="table" w:customStyle="1" w:styleId="73">
    <w:name w:val="TableGrid"/>
    <w:qFormat/>
    <w:uiPriority w:val="0"/>
    <w:rPr>
      <w:rFonts w:asciiTheme="minorHAnsi" w:hAnsiTheme="minorHAnsi" w:eastAsiaTheme="minorEastAsia" w:cstheme="minorBidi"/>
      <w:kern w:val="2"/>
      <w:sz w:val="21"/>
      <w:szCs w:val="22"/>
    </w:rPr>
    <w:tblPr>
      <w:tblCellMar>
        <w:top w:w="0" w:type="dxa"/>
        <w:left w:w="0" w:type="dxa"/>
        <w:bottom w:w="0" w:type="dxa"/>
        <w:right w:w="0" w:type="dxa"/>
      </w:tblCellMar>
    </w:tblPr>
  </w:style>
  <w:style w:type="paragraph" w:customStyle="1" w:styleId="74">
    <w:name w:val="TOC Heading"/>
    <w:basedOn w:val="2"/>
    <w:next w:val="1"/>
    <w:unhideWhenUsed/>
    <w:qFormat/>
    <w:uiPriority w:val="39"/>
    <w:pPr>
      <w:tabs>
        <w:tab w:val="clear" w:pos="4201"/>
        <w:tab w:val="clear" w:pos="9298"/>
      </w:tabs>
      <w:autoSpaceDE/>
      <w:autoSpaceDN/>
      <w:spacing w:before="240" w:after="0" w:line="259" w:lineRule="auto"/>
      <w:ind w:firstLine="0" w:firstLineChars="0"/>
      <w:jc w:val="left"/>
      <w:outlineLvl w:val="9"/>
    </w:pPr>
    <w:rPr>
      <w:rFonts w:asciiTheme="majorHAnsi" w:hAnsiTheme="majorHAnsi" w:eastAsiaTheme="majorEastAsia" w:cstheme="majorBidi"/>
      <w:b w:val="0"/>
      <w:color w:val="2E75B6" w:themeColor="accent1" w:themeShade="BF"/>
      <w:kern w:val="0"/>
      <w:sz w:val="32"/>
      <w:szCs w:val="32"/>
    </w:rPr>
  </w:style>
  <w:style w:type="character" w:customStyle="1" w:styleId="75">
    <w:name w:val="日期 Char"/>
    <w:basedOn w:val="22"/>
    <w:link w:val="9"/>
    <w:qFormat/>
    <w:uiPriority w:val="0"/>
    <w:rPr>
      <w:rFonts w:asciiTheme="minorEastAsia" w:hAnsiTheme="minorEastAsia" w:eastAsiaTheme="minorEastAsia"/>
      <w:sz w:val="21"/>
      <w:szCs w:val="22"/>
    </w:rPr>
  </w:style>
  <w:style w:type="paragraph" w:customStyle="1" w:styleId="76">
    <w:name w:val="二级无"/>
    <w:basedOn w:val="59"/>
    <w:qFormat/>
    <w:uiPriority w:val="0"/>
    <w:pPr>
      <w:spacing w:before="0" w:beforeLines="0" w:after="0" w:afterLines="0"/>
      <w:ind w:left="0" w:firstLine="0"/>
    </w:pPr>
    <w:rPr>
      <w:rFonts w:ascii="宋体" w:eastAsia="宋体"/>
    </w:rPr>
  </w:style>
  <w:style w:type="paragraph" w:customStyle="1" w:styleId="77">
    <w:name w:val="一级无"/>
    <w:basedOn w:val="56"/>
    <w:qFormat/>
    <w:uiPriority w:val="0"/>
    <w:pPr>
      <w:spacing w:before="0" w:beforeLines="0" w:after="0" w:afterLines="0"/>
    </w:pPr>
    <w:rPr>
      <w:rFonts w:ascii="宋体" w:eastAsia="宋体"/>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2.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theme" Target="theme/theme1.xml"/><Relationship Id="rId14" Type="http://schemas.openxmlformats.org/officeDocument/2006/relationships/footer" Target="footer6.xml"/><Relationship Id="rId13" Type="http://schemas.openxmlformats.org/officeDocument/2006/relationships/footer" Target="footer5.xml"/><Relationship Id="rId12" Type="http://schemas.openxmlformats.org/officeDocument/2006/relationships/footer" Target="footer4.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BE421BE-BF48-44D9-BAA3-8C1D04BBD316}">
  <ds:schemaRefs/>
</ds:datastoreItem>
</file>

<file path=docProps/app.xml><?xml version="1.0" encoding="utf-8"?>
<Properties xmlns="http://schemas.openxmlformats.org/officeDocument/2006/extended-properties" xmlns:vt="http://schemas.openxmlformats.org/officeDocument/2006/docPropsVTypes">
  <Template>Normal</Template>
  <Pages>7</Pages>
  <Words>1449</Words>
  <Characters>2054</Characters>
  <Lines>46</Lines>
  <Paragraphs>13</Paragraphs>
  <TotalTime>177</TotalTime>
  <ScaleCrop>false</ScaleCrop>
  <LinksUpToDate>false</LinksUpToDate>
  <CharactersWithSpaces>2195</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2022-06-16T06:02:00Z</dcterms:created>
  <dc:creator>梵高先生 </dc:creator>
  <cp:lastModifiedBy>强</cp:lastModifiedBy>
  <cp:lastPrinted>2022-05-11T03:12:00Z</cp:lastPrinted>
  <dcterms:modified xsi:type="dcterms:W3CDTF">2025-09-11T09:03:18Z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D50571A83822421AAC2F9D6D247BE5B3</vt:lpwstr>
  </property>
  <property fmtid="{D5CDD505-2E9C-101B-9397-08002B2CF9AE}" pid="4" name="KSOTemplateDocerSaveRecord">
    <vt:lpwstr>eyJoZGlkIjoiYzQ2NDM3YzExOGM5ZjgyODNmMmMwNGM5MzE0NTZlMDkiLCJ1c2VySWQiOiIyMzkzMDk0NTkifQ==</vt:lpwstr>
  </property>
</Properties>
</file>