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8C35B">
      <w:pPr>
        <w:pStyle w:val="38"/>
        <w:topLinePunct/>
        <w:spacing w:beforeLines="0" w:afterLines="0" w:line="276" w:lineRule="auto"/>
        <w:rPr>
          <w:rFonts w:ascii="Times New Roman" w:hAnsi="Times New Roman"/>
        </w:rPr>
      </w:pPr>
    </w:p>
    <w:p w14:paraId="32EB3D0C">
      <w:pPr>
        <w:pStyle w:val="38"/>
        <w:topLinePunct/>
        <w:spacing w:beforeLines="0" w:afterLines="0" w:line="276" w:lineRule="auto"/>
        <w:rPr>
          <w:rFonts w:ascii="Times New Roman" w:hAnsi="Times New Roman"/>
        </w:rPr>
      </w:pPr>
    </w:p>
    <w:p w14:paraId="0591B7AD">
      <w:pPr>
        <w:pStyle w:val="38"/>
        <w:topLinePunct/>
        <w:spacing w:beforeLines="0" w:afterLines="0" w:line="276" w:lineRule="auto"/>
        <w:rPr>
          <w:rFonts w:ascii="Times New Roman" w:hAnsi="Times New Roman"/>
        </w:rPr>
      </w:pPr>
    </w:p>
    <w:p w14:paraId="424011CF">
      <w:pPr>
        <w:pStyle w:val="38"/>
        <w:topLinePunct/>
        <w:spacing w:beforeLines="0" w:afterLines="0" w:line="276" w:lineRule="auto"/>
        <w:rPr>
          <w:rFonts w:ascii="Times New Roman" w:hAnsi="Times New Roman"/>
        </w:rPr>
      </w:pPr>
    </w:p>
    <w:p w14:paraId="2EF80140">
      <w:pPr>
        <w:pStyle w:val="38"/>
        <w:topLinePunct/>
        <w:spacing w:beforeLines="0" w:afterLines="0" w:line="276" w:lineRule="auto"/>
        <w:rPr>
          <w:rFonts w:ascii="Times New Roman" w:hAnsi="Times New Roman"/>
        </w:rPr>
      </w:pPr>
    </w:p>
    <w:p w14:paraId="7D53D277">
      <w:pPr>
        <w:spacing w:line="720" w:lineRule="auto"/>
        <w:jc w:val="center"/>
        <w:rPr>
          <w:rFonts w:hint="eastAsia" w:ascii="方正小标宋简体" w:hAnsi="方正小标宋简体" w:eastAsia="方正小标宋简体" w:cs="方正小标宋简体"/>
          <w:sz w:val="44"/>
          <w:szCs w:val="44"/>
        </w:rPr>
      </w:pPr>
      <w:bookmarkStart w:id="0" w:name="OLE_LINK1"/>
      <w:bookmarkStart w:id="1" w:name="OLE_LINK2"/>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val="en-US" w:eastAsia="zh-CN"/>
        </w:rPr>
        <w:t>镁质装饰材料运输包装</w:t>
      </w:r>
      <w:r>
        <w:rPr>
          <w:rFonts w:hint="eastAsia" w:ascii="方正小标宋简体" w:hAnsi="方正小标宋简体" w:eastAsia="方正小标宋简体" w:cs="方正小标宋简体"/>
          <w:sz w:val="44"/>
          <w:szCs w:val="44"/>
        </w:rPr>
        <w:t>》</w:t>
      </w:r>
    </w:p>
    <w:p w14:paraId="13BE2AAD">
      <w:pPr>
        <w:spacing w:line="720" w:lineRule="auto"/>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行业标准</w:t>
      </w:r>
      <w:r>
        <w:rPr>
          <w:rFonts w:hint="eastAsia" w:ascii="方正小标宋简体" w:hAnsi="方正小标宋简体" w:eastAsia="方正小标宋简体" w:cs="方正小标宋简体"/>
          <w:sz w:val="36"/>
          <w:szCs w:val="36"/>
        </w:rPr>
        <w:t>编制说明</w:t>
      </w:r>
      <w:bookmarkEnd w:id="0"/>
      <w:bookmarkEnd w:id="1"/>
    </w:p>
    <w:p w14:paraId="0177E3AD">
      <w:pPr>
        <w:pStyle w:val="38"/>
        <w:topLinePunct/>
        <w:spacing w:beforeLines="0" w:afterLines="0" w:line="720" w:lineRule="auto"/>
        <w:rPr>
          <w:rFonts w:ascii="Times New Roman" w:hAnsi="Times New Roman"/>
          <w:kern w:val="10"/>
        </w:rPr>
      </w:pPr>
      <w:r>
        <w:rPr>
          <w:rFonts w:ascii="Times New Roman" w:hAnsi="Times New Roman"/>
          <w:kern w:val="10"/>
        </w:rPr>
        <w:t>(</w:t>
      </w:r>
      <w:r>
        <w:rPr>
          <w:rFonts w:hint="eastAsia" w:ascii="Times New Roman" w:hAnsi="Times New Roman"/>
          <w:kern w:val="10"/>
        </w:rPr>
        <w:t>征求意见</w:t>
      </w:r>
      <w:r>
        <w:rPr>
          <w:rFonts w:ascii="Times New Roman" w:hAnsi="Times New Roman"/>
          <w:kern w:val="10"/>
        </w:rPr>
        <w:t>稿)</w:t>
      </w:r>
    </w:p>
    <w:p w14:paraId="6F66197E">
      <w:pPr>
        <w:pStyle w:val="38"/>
        <w:topLinePunct/>
        <w:spacing w:beforeLines="0" w:afterLines="0" w:line="276" w:lineRule="auto"/>
        <w:rPr>
          <w:rFonts w:ascii="Times New Roman" w:hAnsi="Times New Roman"/>
          <w:kern w:val="10"/>
        </w:rPr>
      </w:pPr>
    </w:p>
    <w:p w14:paraId="3AECF913">
      <w:pPr>
        <w:pStyle w:val="38"/>
        <w:topLinePunct/>
        <w:spacing w:beforeLines="0" w:afterLines="0" w:line="276" w:lineRule="auto"/>
        <w:rPr>
          <w:rFonts w:ascii="Times New Roman" w:hAnsi="Times New Roman"/>
          <w:kern w:val="10"/>
        </w:rPr>
      </w:pPr>
    </w:p>
    <w:p w14:paraId="301C2E7C">
      <w:pPr>
        <w:pStyle w:val="38"/>
        <w:topLinePunct/>
        <w:spacing w:beforeLines="0" w:afterLines="0" w:line="276" w:lineRule="auto"/>
        <w:rPr>
          <w:rFonts w:ascii="Times New Roman" w:hAnsi="Times New Roman"/>
          <w:kern w:val="10"/>
        </w:rPr>
      </w:pPr>
    </w:p>
    <w:p w14:paraId="44302A0E">
      <w:pPr>
        <w:pStyle w:val="38"/>
        <w:topLinePunct/>
        <w:spacing w:beforeLines="0" w:afterLines="0" w:line="276" w:lineRule="auto"/>
        <w:rPr>
          <w:rFonts w:ascii="Times New Roman" w:hAnsi="Times New Roman"/>
          <w:kern w:val="10"/>
        </w:rPr>
      </w:pPr>
    </w:p>
    <w:p w14:paraId="06CA4138">
      <w:pPr>
        <w:pStyle w:val="38"/>
        <w:topLinePunct/>
        <w:spacing w:beforeLines="0" w:afterLines="0" w:line="276" w:lineRule="auto"/>
        <w:rPr>
          <w:rFonts w:ascii="Times New Roman" w:hAnsi="Times New Roman"/>
          <w:kern w:val="10"/>
        </w:rPr>
      </w:pPr>
    </w:p>
    <w:p w14:paraId="1834A490">
      <w:pPr>
        <w:pStyle w:val="38"/>
        <w:topLinePunct/>
        <w:spacing w:beforeLines="0" w:afterLines="0" w:line="276" w:lineRule="auto"/>
        <w:rPr>
          <w:rFonts w:ascii="Times New Roman" w:hAnsi="Times New Roman"/>
          <w:kern w:val="10"/>
        </w:rPr>
      </w:pPr>
    </w:p>
    <w:p w14:paraId="3699EA07">
      <w:pPr>
        <w:pStyle w:val="38"/>
        <w:topLinePunct/>
        <w:spacing w:beforeLines="0" w:afterLines="0" w:line="276" w:lineRule="auto"/>
        <w:rPr>
          <w:rFonts w:ascii="Times New Roman" w:hAnsi="Times New Roman"/>
          <w:kern w:val="10"/>
        </w:rPr>
      </w:pPr>
    </w:p>
    <w:p w14:paraId="49B3CD7C">
      <w:pPr>
        <w:pStyle w:val="38"/>
        <w:topLinePunct/>
        <w:spacing w:beforeLines="0" w:afterLines="0" w:line="276" w:lineRule="auto"/>
        <w:rPr>
          <w:rFonts w:ascii="Times New Roman" w:hAnsi="Times New Roman"/>
          <w:kern w:val="10"/>
        </w:rPr>
      </w:pPr>
    </w:p>
    <w:p w14:paraId="11DED7B4">
      <w:pPr>
        <w:pStyle w:val="38"/>
        <w:topLinePunct/>
        <w:spacing w:beforeLines="0" w:afterLines="0" w:line="276" w:lineRule="auto"/>
        <w:rPr>
          <w:rFonts w:ascii="Times New Roman" w:hAnsi="Times New Roman"/>
          <w:kern w:val="10"/>
        </w:rPr>
      </w:pPr>
    </w:p>
    <w:p w14:paraId="2D05DD13">
      <w:pPr>
        <w:pStyle w:val="38"/>
        <w:topLinePunct/>
        <w:spacing w:beforeLines="0" w:afterLines="0" w:line="276" w:lineRule="auto"/>
        <w:rPr>
          <w:rFonts w:ascii="Times New Roman" w:hAnsi="Times New Roman"/>
          <w:kern w:val="10"/>
        </w:rPr>
      </w:pPr>
    </w:p>
    <w:p w14:paraId="54FEDCB8">
      <w:pPr>
        <w:pStyle w:val="38"/>
        <w:topLinePunct/>
        <w:spacing w:beforeLines="0" w:afterLines="0" w:line="276" w:lineRule="auto"/>
        <w:rPr>
          <w:rFonts w:ascii="Times New Roman" w:hAnsi="Times New Roman"/>
          <w:kern w:val="10"/>
        </w:rPr>
      </w:pPr>
    </w:p>
    <w:p w14:paraId="50666F3C">
      <w:pPr>
        <w:pStyle w:val="38"/>
        <w:topLinePunct/>
        <w:spacing w:beforeLines="0" w:afterLines="0" w:line="276" w:lineRule="auto"/>
        <w:rPr>
          <w:rFonts w:ascii="Times New Roman" w:hAnsi="Times New Roman"/>
          <w:kern w:val="10"/>
        </w:rPr>
      </w:pPr>
    </w:p>
    <w:p w14:paraId="04C63C53">
      <w:pPr>
        <w:pStyle w:val="38"/>
        <w:topLinePunct/>
        <w:spacing w:beforeLines="0" w:afterLines="0" w:line="276" w:lineRule="auto"/>
        <w:rPr>
          <w:rFonts w:ascii="Times New Roman" w:hAnsi="Times New Roman"/>
          <w:kern w:val="10"/>
        </w:rPr>
      </w:pPr>
    </w:p>
    <w:p w14:paraId="4404E25E">
      <w:pPr>
        <w:pStyle w:val="38"/>
        <w:topLinePunct/>
        <w:spacing w:beforeLines="0" w:afterLines="0" w:line="276" w:lineRule="auto"/>
        <w:rPr>
          <w:rFonts w:ascii="Times New Roman" w:hAnsi="Times New Roman"/>
          <w:kern w:val="10"/>
        </w:rPr>
      </w:pPr>
    </w:p>
    <w:p w14:paraId="0A6CFC0E">
      <w:pPr>
        <w:pStyle w:val="38"/>
        <w:topLinePunct/>
        <w:spacing w:beforeLines="0" w:afterLines="0" w:line="276" w:lineRule="auto"/>
        <w:rPr>
          <w:rFonts w:ascii="Times New Roman" w:hAnsi="Times New Roman"/>
          <w:kern w:val="10"/>
        </w:rPr>
      </w:pPr>
    </w:p>
    <w:p w14:paraId="120E58A4">
      <w:pPr>
        <w:pStyle w:val="38"/>
        <w:topLinePunct/>
        <w:spacing w:beforeLines="0" w:afterLines="0" w:line="276" w:lineRule="auto"/>
        <w:rPr>
          <w:rFonts w:ascii="Times New Roman" w:hAnsi="Times New Roman"/>
          <w:kern w:val="10"/>
          <w:szCs w:val="32"/>
        </w:rPr>
      </w:pPr>
      <w:r>
        <w:rPr>
          <w:rFonts w:ascii="Times New Roman" w:hAnsi="Times New Roman"/>
          <w:kern w:val="0"/>
          <w:szCs w:val="32"/>
        </w:rPr>
        <w:t>标准编制组</w:t>
      </w:r>
    </w:p>
    <w:p w14:paraId="4B6B3DDB">
      <w:pPr>
        <w:pStyle w:val="38"/>
        <w:topLinePunct/>
        <w:spacing w:beforeLines="0" w:afterLines="0" w:line="276" w:lineRule="auto"/>
        <w:rPr>
          <w:rFonts w:ascii="Times New Roman" w:hAnsi="Times New Roman"/>
          <w:kern w:val="10"/>
        </w:rPr>
      </w:pPr>
      <w:r>
        <w:rPr>
          <w:rFonts w:ascii="Times New Roman" w:hAnsi="Times New Roman"/>
          <w:kern w:val="0"/>
        </w:rPr>
        <w:t>2025年</w:t>
      </w:r>
      <w:r>
        <w:rPr>
          <w:rFonts w:hint="eastAsia" w:ascii="Times New Roman" w:hAnsi="Times New Roman"/>
          <w:kern w:val="0"/>
          <w:lang w:val="en-US" w:eastAsia="zh-CN"/>
        </w:rPr>
        <w:t>8</w:t>
      </w:r>
      <w:r>
        <w:rPr>
          <w:rFonts w:ascii="Times New Roman" w:hAnsi="Times New Roman"/>
          <w:spacing w:val="8"/>
          <w:kern w:val="0"/>
        </w:rPr>
        <w:t>月</w:t>
      </w:r>
    </w:p>
    <w:p w14:paraId="1BC4ACF6">
      <w:pPr>
        <w:widowControl/>
        <w:topLinePunct/>
        <w:spacing w:line="276" w:lineRule="auto"/>
        <w:jc w:val="left"/>
        <w:rPr>
          <w:kern w:val="10"/>
        </w:rPr>
      </w:pPr>
    </w:p>
    <w:p w14:paraId="2BEFCC67">
      <w:pPr>
        <w:widowControl/>
        <w:jc w:val="left"/>
        <w:rPr>
          <w:kern w:val="10"/>
        </w:rPr>
      </w:pPr>
    </w:p>
    <w:p w14:paraId="6C30CFD3">
      <w:pPr>
        <w:widowControl/>
        <w:topLinePunct/>
        <w:spacing w:line="276" w:lineRule="auto"/>
        <w:jc w:val="left"/>
        <w:rPr>
          <w:kern w:val="10"/>
        </w:rPr>
        <w:sectPr>
          <w:headerReference r:id="rId3" w:type="default"/>
          <w:footerReference r:id="rId5" w:type="default"/>
          <w:headerReference r:id="rId4" w:type="even"/>
          <w:pgSz w:w="11906" w:h="16838"/>
          <w:pgMar w:top="1440" w:right="1800" w:bottom="1440" w:left="1800" w:header="737" w:footer="737" w:gutter="0"/>
          <w:cols w:space="720" w:num="1"/>
          <w:formProt w:val="0"/>
          <w:docGrid w:type="lines" w:linePitch="312" w:charSpace="0"/>
        </w:sectPr>
      </w:pPr>
      <w:r>
        <w:rPr>
          <w:kern w:val="10"/>
        </w:rPr>
        <w:br w:type="page"/>
      </w:r>
    </w:p>
    <w:sdt>
      <w:sdtPr>
        <w:rPr>
          <w:rFonts w:ascii="宋体" w:hAnsi="宋体"/>
        </w:rPr>
        <w:id w:val="147467075"/>
        <w15:color w:val="DBDBDB"/>
        <w:docPartObj>
          <w:docPartGallery w:val="Table of Contents"/>
          <w:docPartUnique/>
        </w:docPartObj>
      </w:sdtPr>
      <w:sdtEndPr>
        <w:rPr>
          <w:rFonts w:ascii="宋体" w:hAnsi="宋体"/>
        </w:rPr>
      </w:sdtEndPr>
      <w:sdtContent>
        <w:p w14:paraId="27A1C69E">
          <w:pPr>
            <w:jc w:val="center"/>
          </w:pPr>
          <w:bookmarkStart w:id="2" w:name="_Toc20133"/>
          <w:bookmarkStart w:id="3" w:name="_Toc59059078"/>
          <w:bookmarkStart w:id="4" w:name="_Toc16869"/>
          <w:bookmarkStart w:id="5" w:name="_Toc15499"/>
          <w:bookmarkStart w:id="6" w:name="_Toc16918"/>
          <w:bookmarkStart w:id="7" w:name="_Toc371511493"/>
          <w:bookmarkStart w:id="8" w:name="_Toc19649"/>
          <w:bookmarkStart w:id="9" w:name="_Toc22674"/>
          <w:bookmarkStart w:id="10" w:name="_Toc10197"/>
          <w:bookmarkStart w:id="11" w:name="_Toc1831"/>
          <w:bookmarkStart w:id="12" w:name="_Toc17352"/>
          <w:bookmarkStart w:id="13" w:name="_Toc3101"/>
          <w:bookmarkStart w:id="14" w:name="_Toc36132040"/>
          <w:r>
            <w:rPr>
              <w:rFonts w:ascii="宋体" w:hAnsi="宋体"/>
              <w:b/>
              <w:bCs/>
              <w:sz w:val="36"/>
              <w:szCs w:val="44"/>
            </w:rPr>
            <w:t>目</w:t>
          </w:r>
          <w:r>
            <w:rPr>
              <w:rFonts w:hint="eastAsia" w:ascii="宋体" w:hAnsi="宋体"/>
              <w:b/>
              <w:bCs/>
              <w:sz w:val="36"/>
              <w:szCs w:val="44"/>
            </w:rPr>
            <w:t xml:space="preserve">   </w:t>
          </w:r>
          <w:r>
            <w:rPr>
              <w:rFonts w:ascii="宋体" w:hAnsi="宋体"/>
              <w:b/>
              <w:bCs/>
              <w:sz w:val="36"/>
              <w:szCs w:val="44"/>
            </w:rPr>
            <w:t>录</w:t>
          </w:r>
        </w:p>
        <w:p w14:paraId="1DABA997">
          <w:pPr>
            <w:pStyle w:val="17"/>
            <w:spacing w:before="78" w:after="78"/>
            <w:rPr>
              <w:rFonts w:asciiTheme="minorHAnsi" w:hAnsiTheme="minorHAnsi" w:eastAsiaTheme="minorEastAsia" w:cstheme="minorBidi"/>
              <w:szCs w:val="22"/>
            </w:rPr>
          </w:pPr>
          <w:r>
            <w:rPr>
              <w:kern w:val="0"/>
              <w:sz w:val="20"/>
              <w:szCs w:val="20"/>
            </w:rPr>
            <w:fldChar w:fldCharType="begin"/>
          </w:r>
          <w:r>
            <w:instrText xml:space="preserve">TOC \o "1-1" \h \u </w:instrText>
          </w:r>
          <w:r>
            <w:rPr>
              <w:kern w:val="0"/>
              <w:sz w:val="20"/>
              <w:szCs w:val="20"/>
            </w:rPr>
            <w:fldChar w:fldCharType="separate"/>
          </w:r>
          <w:r>
            <w:fldChar w:fldCharType="begin"/>
          </w:r>
          <w:r>
            <w:instrText xml:space="preserve"> HYPERLINK \l "_Toc196208224" </w:instrText>
          </w:r>
          <w:r>
            <w:fldChar w:fldCharType="separate"/>
          </w:r>
          <w:r>
            <w:rPr>
              <w:rStyle w:val="29"/>
            </w:rPr>
            <w:t>一、任务来源及编制背景</w:t>
          </w:r>
          <w:r>
            <w:tab/>
          </w:r>
          <w:r>
            <w:fldChar w:fldCharType="begin"/>
          </w:r>
          <w:r>
            <w:instrText xml:space="preserve"> PAGEREF _Toc196208224 \h </w:instrText>
          </w:r>
          <w:r>
            <w:fldChar w:fldCharType="separate"/>
          </w:r>
          <w:r>
            <w:t>2</w:t>
          </w:r>
          <w:r>
            <w:fldChar w:fldCharType="end"/>
          </w:r>
          <w:r>
            <w:fldChar w:fldCharType="end"/>
          </w:r>
        </w:p>
        <w:p w14:paraId="5AFE1066">
          <w:pPr>
            <w:pStyle w:val="17"/>
            <w:spacing w:before="78" w:after="78"/>
            <w:rPr>
              <w:rFonts w:asciiTheme="minorHAnsi" w:hAnsiTheme="minorHAnsi" w:eastAsiaTheme="minorEastAsia" w:cstheme="minorBidi"/>
              <w:szCs w:val="22"/>
            </w:rPr>
          </w:pPr>
          <w:r>
            <w:fldChar w:fldCharType="begin"/>
          </w:r>
          <w:r>
            <w:instrText xml:space="preserve"> HYPERLINK \l "_Toc196208227" </w:instrText>
          </w:r>
          <w:r>
            <w:fldChar w:fldCharType="separate"/>
          </w:r>
          <w:r>
            <w:rPr>
              <w:rStyle w:val="29"/>
            </w:rPr>
            <w:t>二、工作简况</w:t>
          </w:r>
          <w:r>
            <w:tab/>
          </w:r>
          <w:r>
            <w:fldChar w:fldCharType="begin"/>
          </w:r>
          <w:r>
            <w:instrText xml:space="preserve"> PAGEREF _Toc196208227 \h </w:instrText>
          </w:r>
          <w:r>
            <w:fldChar w:fldCharType="separate"/>
          </w:r>
          <w:r>
            <w:t>3</w:t>
          </w:r>
          <w:r>
            <w:fldChar w:fldCharType="end"/>
          </w:r>
          <w:r>
            <w:fldChar w:fldCharType="end"/>
          </w:r>
        </w:p>
        <w:p w14:paraId="5F57A88B">
          <w:pPr>
            <w:pStyle w:val="17"/>
            <w:spacing w:before="78" w:after="78"/>
            <w:rPr>
              <w:rFonts w:asciiTheme="minorHAnsi" w:hAnsiTheme="minorHAnsi" w:eastAsiaTheme="minorEastAsia" w:cstheme="minorBidi"/>
              <w:szCs w:val="22"/>
            </w:rPr>
          </w:pPr>
          <w:r>
            <w:fldChar w:fldCharType="begin"/>
          </w:r>
          <w:r>
            <w:instrText xml:space="preserve"> HYPERLINK \l "_Toc196208230" </w:instrText>
          </w:r>
          <w:r>
            <w:fldChar w:fldCharType="separate"/>
          </w:r>
          <w:r>
            <w:rPr>
              <w:rStyle w:val="29"/>
            </w:rPr>
            <w:t>三、编制原则及标准的主要技术内容说明</w:t>
          </w:r>
          <w:r>
            <w:tab/>
          </w:r>
          <w:r>
            <w:rPr>
              <w:rFonts w:hint="eastAsia"/>
              <w:lang w:val="en-US" w:eastAsia="zh-CN"/>
            </w:rPr>
            <w:t>5</w:t>
          </w:r>
          <w:r>
            <w:fldChar w:fldCharType="end"/>
          </w:r>
        </w:p>
        <w:p w14:paraId="0507882D">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"_Toc196208241" </w:instrText>
          </w:r>
          <w:r>
            <w:fldChar w:fldCharType="separate"/>
          </w:r>
          <w:r>
            <w:rPr>
              <w:rStyle w:val="29"/>
              <w:rFonts w:hint="eastAsia"/>
              <w:lang w:val="en-US"/>
            </w:rPr>
            <w:t>四、</w:t>
          </w:r>
          <w:r>
            <w:rPr>
              <w:rStyle w:val="29"/>
            </w:rPr>
            <w:t>标准中涉及专利情况</w:t>
          </w:r>
          <w:r>
            <w:tab/>
          </w:r>
          <w:r>
            <w:rPr>
              <w:rFonts w:hint="eastAsia"/>
              <w:lang w:val="en-US" w:eastAsia="zh-CN"/>
            </w:rPr>
            <w:t>8</w:t>
          </w:r>
          <w:r>
            <w:fldChar w:fldCharType="end"/>
          </w:r>
        </w:p>
        <w:p w14:paraId="0CFFEA76">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"_Toc196208242" </w:instrText>
          </w:r>
          <w:r>
            <w:fldChar w:fldCharType="separate"/>
          </w:r>
          <w:r>
            <w:rPr>
              <w:rFonts w:hint="eastAsia"/>
              <w:lang w:val="en-US" w:eastAsia="zh-CN"/>
            </w:rPr>
            <w:t>五</w:t>
          </w:r>
          <w:r>
            <w:rPr>
              <w:rStyle w:val="29"/>
            </w:rPr>
            <w:t>、标准实施后预期的经济和社会效益</w:t>
          </w:r>
          <w:r>
            <w:tab/>
          </w:r>
          <w:r>
            <w:rPr>
              <w:rFonts w:hint="eastAsia"/>
              <w:lang w:val="en-US" w:eastAsia="zh-CN"/>
            </w:rPr>
            <w:t>8</w:t>
          </w:r>
          <w:r>
            <w:fldChar w:fldCharType="end"/>
          </w:r>
        </w:p>
        <w:p w14:paraId="50D2689D">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"_Toc196208243" </w:instrText>
          </w:r>
          <w:r>
            <w:fldChar w:fldCharType="separate"/>
          </w:r>
          <w:r>
            <w:rPr>
              <w:rStyle w:val="29"/>
              <w:rFonts w:hint="eastAsia"/>
              <w:lang w:val="en-US"/>
            </w:rPr>
            <w:t>六</w:t>
          </w:r>
          <w:r>
            <w:rPr>
              <w:rStyle w:val="29"/>
            </w:rPr>
            <w:t>、采用国际标准和国外先进标准情况，与国际、国外同类标准水平的对比情况，国内外关键指标对比分析或与测试的国外样品、样机的相关数据对比情况</w:t>
          </w:r>
          <w:r>
            <w:tab/>
          </w:r>
          <w:r>
            <w:rPr>
              <w:rFonts w:hint="eastAsia"/>
              <w:lang w:val="en-US" w:eastAsia="zh-CN"/>
            </w:rPr>
            <w:t>9</w:t>
          </w:r>
          <w:r>
            <w:fldChar w:fldCharType="end"/>
          </w:r>
        </w:p>
        <w:p w14:paraId="33042E45">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"_Toc196208244" </w:instrText>
          </w:r>
          <w:r>
            <w:fldChar w:fldCharType="separate"/>
          </w:r>
          <w:r>
            <w:rPr>
              <w:rStyle w:val="29"/>
              <w:rFonts w:hint="eastAsia"/>
              <w:lang w:val="en-US"/>
            </w:rPr>
            <w:t>七</w:t>
          </w:r>
          <w:r>
            <w:rPr>
              <w:rStyle w:val="29"/>
            </w:rPr>
            <w:t>、与现行相关法律、法规、规章及相关标准，特别是强制性标准的协调性</w:t>
          </w:r>
          <w:r>
            <w:tab/>
          </w:r>
          <w:r>
            <w:rPr>
              <w:rFonts w:hint="eastAsia"/>
              <w:lang w:val="en-US" w:eastAsia="zh-CN"/>
            </w:rPr>
            <w:t>9</w:t>
          </w:r>
          <w:r>
            <w:fldChar w:fldCharType="end"/>
          </w:r>
        </w:p>
        <w:p w14:paraId="426FE1BC">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"_Toc196208245" </w:instrText>
          </w:r>
          <w:r>
            <w:fldChar w:fldCharType="separate"/>
          </w:r>
          <w:r>
            <w:rPr>
              <w:rStyle w:val="29"/>
              <w:rFonts w:hint="eastAsia"/>
              <w:lang w:val="en-US"/>
            </w:rPr>
            <w:t>八</w:t>
          </w:r>
          <w:r>
            <w:rPr>
              <w:rStyle w:val="29"/>
            </w:rPr>
            <w:t>、重大分歧意见的处理经过和依据</w:t>
          </w:r>
          <w:r>
            <w:tab/>
          </w:r>
          <w:r>
            <w:rPr>
              <w:rFonts w:hint="eastAsia"/>
              <w:lang w:val="en-US" w:eastAsia="zh-CN"/>
            </w:rPr>
            <w:t>9</w:t>
          </w:r>
          <w:r>
            <w:fldChar w:fldCharType="end"/>
          </w:r>
        </w:p>
        <w:p w14:paraId="5933CCE0">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"_Toc196208246" </w:instrText>
          </w:r>
          <w:r>
            <w:fldChar w:fldCharType="separate"/>
          </w:r>
          <w:r>
            <w:rPr>
              <w:rStyle w:val="29"/>
              <w:rFonts w:hint="eastAsia"/>
              <w:lang w:val="en-US"/>
            </w:rPr>
            <w:t>九</w:t>
          </w:r>
          <w:r>
            <w:rPr>
              <w:rStyle w:val="29"/>
            </w:rPr>
            <w:t>、标准性质的建议说明</w:t>
          </w:r>
          <w:r>
            <w:tab/>
          </w:r>
          <w:r>
            <w:rPr>
              <w:rFonts w:hint="eastAsia"/>
              <w:lang w:val="en-US" w:eastAsia="zh-CN"/>
            </w:rPr>
            <w:t>9</w:t>
          </w:r>
          <w:r>
            <w:fldChar w:fldCharType="end"/>
          </w:r>
        </w:p>
        <w:p w14:paraId="33479693">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"_Toc196208247" </w:instrText>
          </w:r>
          <w:r>
            <w:fldChar w:fldCharType="separate"/>
          </w:r>
          <w:r>
            <w:rPr>
              <w:rStyle w:val="29"/>
            </w:rPr>
            <w:t>十、贯彻标准的要求和措施建议（包括组织措施、技术措施、过度办法、实施日期等）</w:t>
          </w:r>
          <w:r>
            <w:tab/>
          </w:r>
          <w:r>
            <w:rPr>
              <w:rFonts w:hint="eastAsia"/>
              <w:lang w:val="en-US" w:eastAsia="zh-CN"/>
            </w:rPr>
            <w:t>9</w:t>
          </w:r>
          <w:r>
            <w:fldChar w:fldCharType="end"/>
          </w:r>
          <w:bookmarkStart w:id="256" w:name="_GoBack"/>
          <w:bookmarkEnd w:id="256"/>
        </w:p>
        <w:p w14:paraId="5C686024">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"_Toc196208248" </w:instrText>
          </w:r>
          <w:r>
            <w:fldChar w:fldCharType="separate"/>
          </w:r>
          <w:r>
            <w:rPr>
              <w:rStyle w:val="29"/>
            </w:rPr>
            <w:t>十</w:t>
          </w:r>
          <w:r>
            <w:rPr>
              <w:rStyle w:val="29"/>
              <w:rFonts w:hint="eastAsia"/>
              <w:lang w:val="en-US"/>
            </w:rPr>
            <w:t>一</w:t>
          </w:r>
          <w:r>
            <w:rPr>
              <w:rStyle w:val="29"/>
            </w:rPr>
            <w:t>、废止现行相关标准的建议</w:t>
          </w:r>
          <w:r>
            <w:tab/>
          </w:r>
          <w:r>
            <w:rPr>
              <w:rFonts w:hint="eastAsia"/>
              <w:lang w:val="en-US" w:eastAsia="zh-CN"/>
            </w:rPr>
            <w:t>9</w:t>
          </w:r>
          <w:r>
            <w:fldChar w:fldCharType="end"/>
          </w:r>
        </w:p>
        <w:p w14:paraId="2B3D1DA5">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"_Toc196208249" </w:instrText>
          </w:r>
          <w:r>
            <w:fldChar w:fldCharType="separate"/>
          </w:r>
          <w:r>
            <w:rPr>
              <w:rStyle w:val="29"/>
            </w:rPr>
            <w:t>十</w:t>
          </w:r>
          <w:r>
            <w:rPr>
              <w:rStyle w:val="29"/>
              <w:rFonts w:hint="eastAsia"/>
              <w:lang w:val="en-US"/>
            </w:rPr>
            <w:t>二</w:t>
          </w:r>
          <w:r>
            <w:rPr>
              <w:rStyle w:val="29"/>
            </w:rPr>
            <w:t>、其它应予说明的事项</w:t>
          </w:r>
          <w:r>
            <w:tab/>
          </w:r>
          <w:r>
            <w:rPr>
              <w:rFonts w:hint="eastAsia"/>
              <w:lang w:val="en-US" w:eastAsia="zh-CN"/>
            </w:rPr>
            <w:t>9</w:t>
          </w:r>
          <w:r>
            <w:fldChar w:fldCharType="end"/>
          </w:r>
        </w:p>
        <w:p w14:paraId="13C36867">
          <w:r>
            <w:fldChar w:fldCharType="end"/>
          </w:r>
        </w:p>
      </w:sdtContent>
    </w:sdt>
    <w:p w14:paraId="4A88EDF7">
      <w:pPr>
        <w:pStyle w:val="35"/>
        <w:tabs>
          <w:tab w:val="left" w:pos="420"/>
        </w:tabs>
        <w:spacing w:before="156" w:after="156" w:line="276" w:lineRule="auto"/>
        <w:outlineLvl w:val="9"/>
        <w:sectPr>
          <w:footerReference r:id="rId6" w:type="default"/>
          <w:pgSz w:w="11906" w:h="16838"/>
          <w:pgMar w:top="1474" w:right="1134" w:bottom="1418" w:left="1134" w:header="851" w:footer="851" w:gutter="0"/>
          <w:pgNumType w:start="1"/>
          <w:cols w:space="425" w:num="1"/>
          <w:docGrid w:type="lines" w:linePitch="312" w:charSpace="0"/>
        </w:sectPr>
      </w:pPr>
    </w:p>
    <w:p w14:paraId="021DFF91">
      <w:pPr>
        <w:pStyle w:val="35"/>
        <w:pageBreakBefore w:val="0"/>
        <w:numPr>
          <w:ilvl w:val="0"/>
          <w:numId w:val="2"/>
        </w:numPr>
        <w:tabs>
          <w:tab w:val="left" w:pos="420"/>
          <w:tab w:val="clear" w:pos="0"/>
        </w:tabs>
        <w:kinsoku/>
        <w:wordWrap/>
        <w:overflowPunct/>
        <w:bidi w:val="0"/>
        <w:snapToGrid/>
        <w:spacing w:before="0" w:beforeLines="0" w:after="0" w:afterLines="0" w:line="560" w:lineRule="exact"/>
        <w:ind w:left="0" w:firstLine="560" w:firstLineChars="200"/>
        <w:textAlignment w:val="auto"/>
        <w:rPr>
          <w:rFonts w:hint="eastAsia" w:ascii="黑体" w:hAnsi="黑体" w:eastAsia="黑体" w:cs="黑体"/>
          <w:b w:val="0"/>
          <w:bCs w:val="0"/>
          <w:sz w:val="28"/>
          <w:szCs w:val="28"/>
        </w:rPr>
      </w:pPr>
      <w:bookmarkStart w:id="15" w:name="_Toc196208224"/>
      <w:r>
        <w:rPr>
          <w:rFonts w:hint="eastAsia" w:ascii="黑体" w:hAnsi="黑体" w:eastAsia="黑体" w:cs="黑体"/>
          <w:b w:val="0"/>
          <w:bCs w:val="0"/>
          <w:sz w:val="28"/>
          <w:szCs w:val="28"/>
        </w:rPr>
        <w:t>任务来源及编制背景</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3E20131">
      <w:pPr>
        <w:pStyle w:val="35"/>
        <w:pageBreakBefore w:val="0"/>
        <w:numPr>
          <w:ilvl w:val="1"/>
          <w:numId w:val="2"/>
        </w:numPr>
        <w:kinsoku/>
        <w:wordWrap/>
        <w:overflowPunct/>
        <w:bidi w:val="0"/>
        <w:snapToGrid/>
        <w:spacing w:before="0" w:beforeLines="0" w:after="0" w:afterLines="0" w:line="560" w:lineRule="exact"/>
        <w:ind w:left="0" w:firstLine="560" w:firstLineChars="200"/>
        <w:textAlignment w:val="auto"/>
        <w:outlineLvl w:val="1"/>
        <w:rPr>
          <w:rFonts w:hint="eastAsia" w:ascii="楷体" w:hAnsi="楷体" w:eastAsia="楷体" w:cs="楷体"/>
          <w:b w:val="0"/>
          <w:bCs w:val="0"/>
          <w:sz w:val="28"/>
          <w:szCs w:val="28"/>
        </w:rPr>
      </w:pPr>
      <w:bookmarkStart w:id="16" w:name="_Toc10290"/>
      <w:bookmarkStart w:id="17" w:name="_Toc32315"/>
      <w:bookmarkStart w:id="18" w:name="_Toc21617"/>
      <w:bookmarkStart w:id="19" w:name="_Toc22840"/>
      <w:bookmarkStart w:id="20" w:name="_Toc36132041"/>
      <w:bookmarkStart w:id="21" w:name="_Toc31527"/>
      <w:bookmarkStart w:id="22" w:name="_Toc30418"/>
      <w:bookmarkStart w:id="23" w:name="_Toc12767"/>
      <w:bookmarkStart w:id="24" w:name="_Toc242585740"/>
      <w:bookmarkStart w:id="25" w:name="_Toc21993"/>
      <w:bookmarkStart w:id="26" w:name="_Toc27295"/>
      <w:bookmarkStart w:id="27" w:name="_Toc222553786"/>
      <w:bookmarkStart w:id="28" w:name="_Toc59059079"/>
      <w:bookmarkStart w:id="29" w:name="_Toc196208225"/>
      <w:bookmarkStart w:id="30" w:name="_Toc18342"/>
      <w:bookmarkStart w:id="31" w:name="_Toc371511494"/>
      <w:r>
        <w:rPr>
          <w:rFonts w:hint="eastAsia" w:ascii="楷体" w:hAnsi="楷体" w:eastAsia="楷体" w:cs="楷体"/>
          <w:b w:val="0"/>
          <w:bCs w:val="0"/>
          <w:sz w:val="28"/>
          <w:szCs w:val="28"/>
        </w:rPr>
        <w:t>任务来源</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0549264">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8"/>
          <w:szCs w:val="28"/>
        </w:rPr>
        <w:t>该项目是对</w:t>
      </w:r>
      <w:r>
        <w:rPr>
          <w:rFonts w:hint="eastAsia" w:ascii="仿宋_GB2312" w:hAnsi="仿宋_GB2312" w:eastAsia="仿宋_GB2312" w:cs="仿宋_GB2312"/>
          <w:sz w:val="28"/>
          <w:szCs w:val="28"/>
          <w:lang w:val="en-US" w:eastAsia="zh-CN"/>
        </w:rPr>
        <w:t>SB/T 11102-2014</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菱镁装饰工艺品运输包装</w:t>
      </w:r>
      <w:r>
        <w:rPr>
          <w:rFonts w:hint="eastAsia" w:ascii="仿宋_GB2312" w:hAnsi="仿宋_GB2312" w:eastAsia="仿宋_GB2312" w:cs="仿宋_GB2312"/>
          <w:sz w:val="28"/>
          <w:szCs w:val="28"/>
        </w:rPr>
        <w:t>》行业标准的修订。2024年</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月，工业和信息化部</w:t>
      </w:r>
      <w:r>
        <w:rPr>
          <w:rFonts w:hint="eastAsia" w:ascii="仿宋_GB2312" w:hAnsi="仿宋_GB2312" w:eastAsia="仿宋_GB2312" w:cs="仿宋_GB2312"/>
          <w:sz w:val="28"/>
          <w:szCs w:val="28"/>
          <w:lang w:val="en-US" w:eastAsia="zh-CN"/>
        </w:rPr>
        <w:t>办公厅</w:t>
      </w:r>
      <w:r>
        <w:rPr>
          <w:rFonts w:hint="eastAsia" w:ascii="仿宋_GB2312" w:hAnsi="仿宋_GB2312" w:eastAsia="仿宋_GB2312" w:cs="仿宋_GB2312"/>
          <w:sz w:val="28"/>
          <w:szCs w:val="28"/>
        </w:rPr>
        <w:t>《关于印发</w:t>
      </w:r>
      <w:r>
        <w:rPr>
          <w:rFonts w:hint="eastAsia" w:ascii="仿宋_GB2312" w:hAnsi="仿宋_GB2312" w:eastAsia="仿宋_GB2312" w:cs="仿宋_GB2312"/>
          <w:sz w:val="28"/>
          <w:szCs w:val="28"/>
          <w:lang w:val="en-US" w:eastAsia="zh-CN"/>
        </w:rPr>
        <w:t>2024年第一批行业标准制修订计划的通知</w:t>
      </w:r>
      <w:r>
        <w:rPr>
          <w:rFonts w:hint="eastAsia" w:ascii="仿宋_GB2312" w:hAnsi="仿宋_GB2312" w:eastAsia="仿宋_GB2312" w:cs="仿宋_GB2312"/>
          <w:sz w:val="28"/>
          <w:szCs w:val="28"/>
        </w:rPr>
        <w:t>》（工</w:t>
      </w:r>
      <w:r>
        <w:rPr>
          <w:rFonts w:hint="eastAsia" w:ascii="仿宋_GB2312" w:hAnsi="仿宋_GB2312" w:eastAsia="仿宋_GB2312" w:cs="仿宋_GB2312"/>
          <w:sz w:val="28"/>
          <w:szCs w:val="28"/>
          <w:lang w:val="en-US" w:eastAsia="zh-CN"/>
        </w:rPr>
        <w:t>信厅</w:t>
      </w:r>
      <w:r>
        <w:rPr>
          <w:rFonts w:hint="eastAsia" w:ascii="仿宋_GB2312" w:hAnsi="仿宋_GB2312" w:eastAsia="仿宋_GB2312" w:cs="仿宋_GB2312"/>
          <w:sz w:val="28"/>
          <w:szCs w:val="28"/>
        </w:rPr>
        <w:t>科〔202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18</w:t>
      </w:r>
      <w:r>
        <w:rPr>
          <w:rFonts w:hint="eastAsia" w:ascii="仿宋_GB2312" w:hAnsi="仿宋_GB2312" w:eastAsia="仿宋_GB2312" w:cs="仿宋_GB2312"/>
          <w:sz w:val="28"/>
          <w:szCs w:val="28"/>
        </w:rPr>
        <w:t>号），行业标准《</w:t>
      </w:r>
      <w:r>
        <w:rPr>
          <w:rFonts w:hint="eastAsia" w:ascii="仿宋_GB2312" w:hAnsi="仿宋_GB2312" w:eastAsia="仿宋_GB2312" w:cs="仿宋_GB2312"/>
          <w:sz w:val="28"/>
          <w:szCs w:val="28"/>
          <w:lang w:val="en-US" w:eastAsia="zh-CN"/>
        </w:rPr>
        <w:t>镁质装饰材料运输包装</w:t>
      </w:r>
      <w:r>
        <w:rPr>
          <w:rFonts w:hint="eastAsia" w:ascii="仿宋_GB2312" w:hAnsi="仿宋_GB2312" w:eastAsia="仿宋_GB2312" w:cs="仿宋_GB2312"/>
          <w:sz w:val="28"/>
          <w:szCs w:val="28"/>
        </w:rPr>
        <w:t>》（计划编号：2024-</w:t>
      </w:r>
      <w:r>
        <w:rPr>
          <w:rFonts w:hint="eastAsia" w:ascii="仿宋_GB2312" w:hAnsi="仿宋_GB2312" w:eastAsia="仿宋_GB2312" w:cs="仿宋_GB2312"/>
          <w:sz w:val="28"/>
          <w:szCs w:val="28"/>
          <w:lang w:val="en-US" w:eastAsia="zh-CN"/>
        </w:rPr>
        <w:t>0412</w:t>
      </w:r>
      <w:r>
        <w:rPr>
          <w:rFonts w:hint="eastAsia" w:ascii="仿宋_GB2312" w:hAnsi="仿宋_GB2312" w:eastAsia="仿宋_GB2312" w:cs="仿宋_GB2312"/>
          <w:sz w:val="28"/>
          <w:szCs w:val="28"/>
        </w:rPr>
        <w:t>T-JC）正式列入编制计划，由</w:t>
      </w:r>
      <w:r>
        <w:rPr>
          <w:rFonts w:hint="eastAsia" w:ascii="仿宋_GB2312" w:hAnsi="仿宋_GB2312" w:eastAsia="仿宋_GB2312" w:cs="仿宋_GB2312"/>
          <w:sz w:val="28"/>
          <w:szCs w:val="28"/>
          <w:lang w:val="en-US" w:eastAsia="zh-CN"/>
        </w:rPr>
        <w:t>中国菱镁行业协会</w:t>
      </w:r>
      <w:r>
        <w:rPr>
          <w:rFonts w:hint="eastAsia" w:ascii="仿宋_GB2312" w:hAnsi="仿宋_GB2312" w:eastAsia="仿宋_GB2312" w:cs="仿宋_GB2312"/>
          <w:sz w:val="28"/>
          <w:szCs w:val="28"/>
        </w:rPr>
        <w:t>负责组织牵头起草。</w:t>
      </w:r>
    </w:p>
    <w:p w14:paraId="6780CBC9">
      <w:pPr>
        <w:pStyle w:val="35"/>
        <w:pageBreakBefore w:val="0"/>
        <w:numPr>
          <w:ilvl w:val="1"/>
          <w:numId w:val="2"/>
        </w:numPr>
        <w:kinsoku/>
        <w:wordWrap/>
        <w:overflowPunct/>
        <w:bidi w:val="0"/>
        <w:snapToGrid/>
        <w:spacing w:before="0" w:beforeLines="0" w:after="0" w:afterLines="0" w:line="560" w:lineRule="exact"/>
        <w:ind w:left="0" w:firstLine="560" w:firstLineChars="200"/>
        <w:textAlignment w:val="auto"/>
        <w:outlineLvl w:val="1"/>
        <w:rPr>
          <w:rFonts w:hint="eastAsia" w:ascii="楷体" w:hAnsi="楷体" w:eastAsia="楷体" w:cs="楷体"/>
          <w:b w:val="0"/>
          <w:bCs w:val="0"/>
          <w:sz w:val="28"/>
          <w:szCs w:val="28"/>
        </w:rPr>
      </w:pPr>
      <w:bookmarkStart w:id="32" w:name="_Toc702"/>
      <w:bookmarkStart w:id="33" w:name="_Toc6546"/>
      <w:bookmarkStart w:id="34" w:name="_Toc19427"/>
      <w:bookmarkStart w:id="35" w:name="_Toc20853"/>
      <w:bookmarkStart w:id="36" w:name="_Toc19815"/>
      <w:bookmarkStart w:id="37" w:name="_Toc19129"/>
      <w:bookmarkStart w:id="38" w:name="_Toc27908"/>
      <w:bookmarkStart w:id="39" w:name="_Toc4728"/>
      <w:bookmarkStart w:id="40" w:name="_Toc36132042"/>
      <w:bookmarkStart w:id="41" w:name="_Toc196208226"/>
      <w:bookmarkStart w:id="42" w:name="_Toc31941"/>
      <w:bookmarkStart w:id="43" w:name="_Toc3963"/>
      <w:bookmarkStart w:id="44" w:name="_Toc59059080"/>
      <w:r>
        <w:rPr>
          <w:rFonts w:hint="eastAsia" w:ascii="楷体" w:hAnsi="楷体" w:eastAsia="楷体" w:cs="楷体"/>
          <w:b w:val="0"/>
          <w:bCs w:val="0"/>
          <w:sz w:val="28"/>
          <w:szCs w:val="28"/>
        </w:rPr>
        <w:t>背景和意义</w:t>
      </w:r>
      <w:bookmarkEnd w:id="32"/>
      <w:bookmarkEnd w:id="33"/>
      <w:bookmarkEnd w:id="34"/>
      <w:bookmarkEnd w:id="35"/>
      <w:bookmarkEnd w:id="36"/>
      <w:bookmarkEnd w:id="37"/>
      <w:bookmarkEnd w:id="38"/>
      <w:bookmarkEnd w:id="39"/>
      <w:bookmarkEnd w:id="40"/>
      <w:bookmarkEnd w:id="41"/>
      <w:bookmarkEnd w:id="42"/>
      <w:bookmarkEnd w:id="43"/>
      <w:bookmarkEnd w:id="44"/>
    </w:p>
    <w:p w14:paraId="085E382B">
      <w:pPr>
        <w:pStyle w:val="72"/>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我国是最大的镁质装饰材料生产国、供应国和消费国，镁质装饰材料相关原料制备、制品生产、产品性能及质量、基础及技术研究等均处于世界领先地位。目前全国镁质装饰材料年产量20亿平方米，产值900亿元，出口额100亿元人民币。近年来，国务院以及工业和信息化部联合其他部门陆续发布了一系列支持镁质装饰材料发展的政策。《关于印发&lt;促进绿色建材生产和应用行动方案&gt;的通知》（工信部联原〔2015〕309号）提出“优先发展和使用生物质纤维增强的木塑、新型镁质建材等围护用和装饰装修用产品”，《关于促进建材工业稳增长调结构增效益的指导意见》（国办发〔2016〕34号）提出“发展镁质胶凝材料等新型胶凝材料、发展生物质纤维增强的木塑、镁质建材等产品”，硫氧镁板材被列入《建材工业鼓励推广应用的技术和产品目录（2018-2019年本）》，《关于加快推进绿色建材产品认证及生产应用的通知》（市监认证〔2020〕89号）将镁质装饰材料列入首批绿色建材产品分级认证目录，《建材行业稳增长工作方案》（工信部联原〔2023〕129号）提出支持重点地区加快推进菱镁等非金属矿高效利用项目建设。在国家一系列政策的支持下，我国镁质装饰材料品种逐渐丰富、产品质量稳定性、一致性、适用性稳步提升，镁质装饰材料的生产制造、消费使用和最终产品出口实现了快速发展。</w:t>
      </w:r>
    </w:p>
    <w:p w14:paraId="0F615C6B">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2"/>
          <w:sz w:val="28"/>
          <w:szCs w:val="28"/>
          <w:lang w:val="en-US" w:eastAsia="zh-CN" w:bidi="ar-SA"/>
        </w:rPr>
        <w:t>该标准已实施9年时间，标准部分内容已不符合国家新时代发展要求。《完善促进消费体制机制实施方案（2018-2020）》（国办发〔2018〕93号）和《关于加快建立绿色生产和消费法规政策体系的意见》（发改环资〔2020〕379号）提出“鼓励倡导流通环节减量包装和鼓励减少过度包装和一次性用品使用”，《中华人民共和国固体废物污染环境防治法（2020年修订）》和《关于进一步加强塑料污染治理的意见》（发改环资〔2020〕1146号）提出“鼓励和引导减少使用、积极回收塑料袋等一次性塑料制品，推广应用可循环、易回收、可降解的替代产品”，该标准没有对减量包装、过度包装和可降解包装进行约束；目前我国镁质装饰材料出口每年以20%的速度递增，镁质装饰材料除了板材以外，还有近20%为异型装饰材料，是各主题乐园、建筑及园林景观装饰美学重要组成部分，在国内流通和出口过程中，需要进行细致的运输和包装，所以，为巩固提升我国镁质装饰材料的国际领先地位，推动其向国际标准转化，修订本标准是非常急迫和有必要的。</w:t>
      </w:r>
    </w:p>
    <w:p w14:paraId="2FDDFA43">
      <w:pPr>
        <w:pStyle w:val="35"/>
        <w:pageBreakBefore w:val="0"/>
        <w:numPr>
          <w:ilvl w:val="0"/>
          <w:numId w:val="2"/>
        </w:numPr>
        <w:tabs>
          <w:tab w:val="left" w:pos="420"/>
          <w:tab w:val="clear" w:pos="0"/>
        </w:tabs>
        <w:kinsoku/>
        <w:wordWrap/>
        <w:overflowPunct/>
        <w:bidi w:val="0"/>
        <w:snapToGrid/>
        <w:spacing w:before="0" w:beforeLines="0" w:after="0" w:afterLines="0" w:line="560" w:lineRule="exact"/>
        <w:ind w:left="0" w:firstLine="560" w:firstLineChars="200"/>
        <w:textAlignment w:val="auto"/>
        <w:rPr>
          <w:rFonts w:hint="eastAsia" w:ascii="黑体" w:hAnsi="黑体" w:eastAsia="黑体" w:cs="黑体"/>
          <w:b w:val="0"/>
          <w:bCs w:val="0"/>
          <w:sz w:val="28"/>
          <w:szCs w:val="28"/>
        </w:rPr>
      </w:pPr>
      <w:bookmarkStart w:id="45" w:name="_Toc26710"/>
      <w:bookmarkStart w:id="46" w:name="_Toc22199"/>
      <w:bookmarkStart w:id="47" w:name="_Toc36132043"/>
      <w:bookmarkStart w:id="48" w:name="_Toc8779"/>
      <w:bookmarkStart w:id="49" w:name="_Toc22878"/>
      <w:bookmarkStart w:id="50" w:name="_Toc32683"/>
      <w:bookmarkStart w:id="51" w:name="_Toc15277"/>
      <w:bookmarkStart w:id="52" w:name="_Toc7251"/>
      <w:bookmarkStart w:id="53" w:name="_Toc15905"/>
      <w:bookmarkStart w:id="54" w:name="_Toc24728"/>
      <w:bookmarkStart w:id="55" w:name="_Toc22126"/>
      <w:bookmarkStart w:id="56" w:name="_Toc196208227"/>
      <w:bookmarkStart w:id="57" w:name="_Toc59059081"/>
      <w:r>
        <w:rPr>
          <w:rFonts w:hint="eastAsia" w:ascii="黑体" w:hAnsi="黑体" w:eastAsia="黑体" w:cs="黑体"/>
          <w:b w:val="0"/>
          <w:bCs w:val="0"/>
          <w:sz w:val="28"/>
          <w:szCs w:val="28"/>
        </w:rPr>
        <w:t>工作简况</w:t>
      </w:r>
      <w:bookmarkEnd w:id="45"/>
      <w:bookmarkEnd w:id="46"/>
      <w:bookmarkEnd w:id="47"/>
      <w:bookmarkEnd w:id="48"/>
      <w:bookmarkEnd w:id="49"/>
      <w:bookmarkEnd w:id="50"/>
      <w:bookmarkEnd w:id="51"/>
      <w:bookmarkEnd w:id="52"/>
      <w:bookmarkEnd w:id="53"/>
      <w:bookmarkEnd w:id="54"/>
      <w:bookmarkEnd w:id="55"/>
      <w:bookmarkEnd w:id="56"/>
      <w:bookmarkEnd w:id="57"/>
    </w:p>
    <w:p w14:paraId="54881AD9">
      <w:pPr>
        <w:pStyle w:val="35"/>
        <w:pageBreakBefore w:val="0"/>
        <w:numPr>
          <w:ilvl w:val="1"/>
          <w:numId w:val="2"/>
        </w:numPr>
        <w:kinsoku/>
        <w:wordWrap/>
        <w:overflowPunct/>
        <w:bidi w:val="0"/>
        <w:snapToGrid/>
        <w:spacing w:before="0" w:beforeLines="0" w:after="0" w:afterLines="0" w:line="560" w:lineRule="exact"/>
        <w:ind w:left="0" w:firstLine="560" w:firstLineChars="200"/>
        <w:textAlignment w:val="auto"/>
        <w:outlineLvl w:val="1"/>
        <w:rPr>
          <w:rFonts w:hint="eastAsia" w:ascii="楷体" w:hAnsi="楷体" w:eastAsia="楷体" w:cs="楷体"/>
          <w:b w:val="0"/>
          <w:bCs w:val="0"/>
          <w:sz w:val="28"/>
          <w:szCs w:val="28"/>
        </w:rPr>
      </w:pPr>
      <w:bookmarkStart w:id="58" w:name="_Toc19144"/>
      <w:bookmarkStart w:id="59" w:name="_Toc28377975"/>
      <w:bookmarkStart w:id="60" w:name="_Toc196208228"/>
      <w:r>
        <w:rPr>
          <w:rFonts w:hint="eastAsia" w:ascii="楷体" w:hAnsi="楷体" w:eastAsia="楷体" w:cs="楷体"/>
          <w:b w:val="0"/>
          <w:bCs w:val="0"/>
          <w:sz w:val="28"/>
          <w:szCs w:val="28"/>
        </w:rPr>
        <w:t>参编单位及任务分工</w:t>
      </w:r>
      <w:bookmarkEnd w:id="58"/>
      <w:bookmarkEnd w:id="59"/>
      <w:bookmarkEnd w:id="60"/>
    </w:p>
    <w:p w14:paraId="047ADE76">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本文件主要起草单位为中国菱镁行业协会牵头，联合千年舟新材料科技集团股份有限公司、成都理工大学及典型生产企业、科研院所、大专院校共同起草，具有广泛的代表性。</w:t>
      </w:r>
    </w:p>
    <w:p w14:paraId="183D8DAB">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起草人主要分工见表1。</w:t>
      </w:r>
    </w:p>
    <w:p w14:paraId="079F8279">
      <w:pPr>
        <w:pageBreakBefore w:val="0"/>
        <w:kinsoku/>
        <w:wordWrap/>
        <w:overflowPunct/>
        <w:topLinePunct/>
        <w:bidi w:val="0"/>
        <w:snapToGrid/>
        <w:spacing w:line="560" w:lineRule="exact"/>
        <w:ind w:left="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表1  工作组成员及分工</w:t>
      </w:r>
    </w:p>
    <w:tbl>
      <w:tblPr>
        <w:tblStyle w:val="25"/>
        <w:tblW w:w="501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08"/>
        <w:gridCol w:w="4095"/>
        <w:gridCol w:w="1390"/>
        <w:gridCol w:w="2353"/>
      </w:tblGrid>
      <w:tr w14:paraId="5F271A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414" w:type="pct"/>
            <w:noWrap w:val="0"/>
            <w:vAlign w:val="center"/>
          </w:tcPr>
          <w:p w14:paraId="2C9D371D">
            <w:pPr>
              <w:jc w:val="center"/>
              <w:rPr>
                <w:rFonts w:eastAsia="Songti SC Regular"/>
                <w:b w:val="0"/>
              </w:rPr>
            </w:pPr>
            <w:r>
              <w:rPr>
                <w:b w:val="0"/>
              </w:rPr>
              <w:t>序号</w:t>
            </w:r>
          </w:p>
        </w:tc>
        <w:tc>
          <w:tcPr>
            <w:tcW w:w="2395" w:type="pct"/>
            <w:noWrap w:val="0"/>
            <w:vAlign w:val="center"/>
          </w:tcPr>
          <w:p w14:paraId="514521AF">
            <w:pPr>
              <w:jc w:val="center"/>
              <w:rPr>
                <w:rFonts w:eastAsia="Songti SC Regular"/>
                <w:b w:val="0"/>
              </w:rPr>
            </w:pPr>
            <w:r>
              <w:rPr>
                <w:b w:val="0"/>
              </w:rPr>
              <w:t>单位名称</w:t>
            </w:r>
          </w:p>
        </w:tc>
        <w:tc>
          <w:tcPr>
            <w:tcW w:w="813" w:type="pct"/>
            <w:noWrap w:val="0"/>
            <w:vAlign w:val="center"/>
          </w:tcPr>
          <w:p w14:paraId="3B3B6B96">
            <w:pPr>
              <w:jc w:val="center"/>
              <w:rPr>
                <w:b w:val="0"/>
              </w:rPr>
            </w:pPr>
            <w:r>
              <w:rPr>
                <w:b w:val="0"/>
              </w:rPr>
              <w:t>参编人员</w:t>
            </w:r>
          </w:p>
        </w:tc>
        <w:tc>
          <w:tcPr>
            <w:tcW w:w="1376" w:type="pct"/>
            <w:noWrap w:val="0"/>
            <w:vAlign w:val="center"/>
          </w:tcPr>
          <w:p w14:paraId="609971C5">
            <w:pPr>
              <w:jc w:val="center"/>
              <w:rPr>
                <w:rFonts w:eastAsia="Songti SC Regular"/>
                <w:b w:val="0"/>
              </w:rPr>
            </w:pPr>
            <w:r>
              <w:rPr>
                <w:b w:val="0"/>
              </w:rPr>
              <w:t>工作任务</w:t>
            </w:r>
          </w:p>
        </w:tc>
      </w:tr>
      <w:tr w14:paraId="42F138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414" w:type="pct"/>
            <w:noWrap w:val="0"/>
            <w:vAlign w:val="center"/>
          </w:tcPr>
          <w:p w14:paraId="79A8B6A3">
            <w:pPr>
              <w:jc w:val="center"/>
              <w:rPr>
                <w:rFonts w:hAnsi="Calibri" w:cs="Times New Roman"/>
                <w:b w:val="0"/>
                <w:bCs w:val="0"/>
                <w:snapToGrid/>
                <w:szCs w:val="20"/>
                <w:lang w:val="zh-CN"/>
              </w:rPr>
            </w:pPr>
            <w:r>
              <w:rPr>
                <w:rFonts w:hAnsi="Calibri" w:cs="Times New Roman"/>
                <w:b w:val="0"/>
                <w:bCs w:val="0"/>
                <w:snapToGrid/>
                <w:szCs w:val="20"/>
                <w:lang w:val="zh-CN"/>
              </w:rPr>
              <w:t>1</w:t>
            </w:r>
          </w:p>
        </w:tc>
        <w:tc>
          <w:tcPr>
            <w:tcW w:w="2395" w:type="pct"/>
            <w:noWrap w:val="0"/>
            <w:vAlign w:val="center"/>
          </w:tcPr>
          <w:p w14:paraId="4DE6D01D">
            <w:pPr>
              <w:spacing w:line="276" w:lineRule="auto"/>
              <w:jc w:val="center"/>
              <w:rPr>
                <w:rFonts w:hint="default" w:hAnsi="Calibri" w:eastAsia="宋体" w:cs="Times New Roman"/>
                <w:b w:val="0"/>
                <w:bCs w:val="0"/>
                <w:snapToGrid/>
                <w:szCs w:val="20"/>
                <w:lang w:val="en-US" w:eastAsia="zh-CN"/>
              </w:rPr>
            </w:pPr>
            <w:r>
              <w:rPr>
                <w:rFonts w:hint="eastAsia" w:hAnsi="Calibri" w:cs="Times New Roman"/>
                <w:b w:val="0"/>
                <w:bCs w:val="0"/>
                <w:snapToGrid/>
                <w:szCs w:val="20"/>
                <w:lang w:val="en-US" w:eastAsia="zh-CN"/>
              </w:rPr>
              <w:t>中国菱镁行业协会</w:t>
            </w:r>
          </w:p>
        </w:tc>
        <w:tc>
          <w:tcPr>
            <w:tcW w:w="813" w:type="pct"/>
            <w:noWrap w:val="0"/>
            <w:vAlign w:val="center"/>
          </w:tcPr>
          <w:p w14:paraId="00C3DC03">
            <w:pPr>
              <w:jc w:val="center"/>
              <w:rPr>
                <w:rFonts w:hint="eastAsia" w:hAnsi="Calibri" w:eastAsia="宋体" w:cs="Times New Roman"/>
                <w:b w:val="0"/>
                <w:bCs w:val="0"/>
                <w:snapToGrid/>
                <w:szCs w:val="20"/>
                <w:lang w:val="zh-CN" w:eastAsia="zh-CN"/>
              </w:rPr>
            </w:pPr>
            <w:r>
              <w:rPr>
                <w:rFonts w:hint="eastAsia" w:hAnsi="Calibri" w:cs="Times New Roman"/>
                <w:b w:val="0"/>
                <w:bCs w:val="0"/>
                <w:snapToGrid/>
                <w:szCs w:val="20"/>
                <w:lang w:val="en-US" w:eastAsia="zh-CN"/>
              </w:rPr>
              <w:t>曹长坤</w:t>
            </w:r>
            <w:r>
              <w:rPr>
                <w:rFonts w:hint="eastAsia" w:hAnsi="Calibri" w:cs="Times New Roman"/>
                <w:b w:val="0"/>
                <w:bCs w:val="0"/>
                <w:snapToGrid/>
                <w:szCs w:val="20"/>
                <w:lang w:val="zh-CN"/>
              </w:rPr>
              <w:t>、</w:t>
            </w:r>
            <w:r>
              <w:rPr>
                <w:rFonts w:hint="eastAsia" w:hAnsi="Calibri" w:cs="Times New Roman"/>
                <w:b w:val="0"/>
                <w:bCs w:val="0"/>
                <w:snapToGrid/>
                <w:szCs w:val="20"/>
                <w:lang w:val="en-US" w:eastAsia="zh-CN"/>
              </w:rPr>
              <w:t>李孟强</w:t>
            </w:r>
          </w:p>
        </w:tc>
        <w:tc>
          <w:tcPr>
            <w:tcW w:w="1376" w:type="pct"/>
            <w:noWrap w:val="0"/>
            <w:vAlign w:val="center"/>
          </w:tcPr>
          <w:p w14:paraId="3A0BA331">
            <w:pPr>
              <w:jc w:val="center"/>
              <w:rPr>
                <w:rFonts w:hint="eastAsia" w:hAnsi="Calibri" w:eastAsia="宋体" w:cs="Times New Roman"/>
                <w:b w:val="0"/>
                <w:bCs w:val="0"/>
                <w:snapToGrid/>
                <w:szCs w:val="20"/>
                <w:lang w:val="en-US" w:eastAsia="zh-CN"/>
              </w:rPr>
            </w:pPr>
            <w:r>
              <w:rPr>
                <w:rFonts w:hAnsi="Calibri" w:cs="Times New Roman"/>
                <w:b w:val="0"/>
                <w:bCs w:val="0"/>
                <w:snapToGrid/>
                <w:szCs w:val="20"/>
                <w:lang w:val="zh-CN"/>
              </w:rPr>
              <w:t>组织、协调和主持标准编制</w:t>
            </w:r>
            <w:r>
              <w:rPr>
                <w:rFonts w:hint="eastAsia" w:hAnsi="Calibri" w:cs="Times New Roman"/>
                <w:b w:val="0"/>
                <w:bCs w:val="0"/>
                <w:snapToGrid/>
                <w:szCs w:val="20"/>
                <w:lang w:val="en-US" w:eastAsia="zh-CN"/>
              </w:rPr>
              <w:t>工作</w:t>
            </w:r>
          </w:p>
        </w:tc>
      </w:tr>
      <w:tr w14:paraId="15E0A9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414" w:type="pct"/>
            <w:noWrap w:val="0"/>
            <w:vAlign w:val="center"/>
          </w:tcPr>
          <w:p w14:paraId="210D02C1">
            <w:pPr>
              <w:jc w:val="center"/>
              <w:rPr>
                <w:rFonts w:hAnsi="Calibri" w:cs="Times New Roman"/>
                <w:b w:val="0"/>
                <w:bCs w:val="0"/>
                <w:snapToGrid/>
                <w:szCs w:val="20"/>
                <w:lang w:val="zh-CN"/>
              </w:rPr>
            </w:pPr>
            <w:r>
              <w:rPr>
                <w:rFonts w:hAnsi="Calibri" w:cs="Times New Roman"/>
                <w:b w:val="0"/>
                <w:bCs w:val="0"/>
                <w:snapToGrid/>
                <w:szCs w:val="20"/>
                <w:lang w:val="zh-CN"/>
              </w:rPr>
              <w:t>2</w:t>
            </w:r>
          </w:p>
          <w:p w14:paraId="4DA778F3">
            <w:pPr>
              <w:jc w:val="center"/>
              <w:rPr>
                <w:rFonts w:hAnsi="Calibri" w:cs="Times New Roman"/>
                <w:b w:val="0"/>
                <w:bCs w:val="0"/>
                <w:snapToGrid/>
                <w:szCs w:val="20"/>
                <w:lang w:val="zh-CN"/>
              </w:rPr>
            </w:pPr>
          </w:p>
        </w:tc>
        <w:tc>
          <w:tcPr>
            <w:tcW w:w="2395" w:type="pct"/>
            <w:noWrap w:val="0"/>
            <w:vAlign w:val="center"/>
          </w:tcPr>
          <w:p w14:paraId="4ED500FD">
            <w:pPr>
              <w:spacing w:line="276" w:lineRule="auto"/>
              <w:jc w:val="center"/>
              <w:rPr>
                <w:rFonts w:hint="eastAsia" w:hAnsi="Calibri" w:cs="Times New Roman"/>
                <w:b w:val="0"/>
                <w:bCs w:val="0"/>
                <w:snapToGrid/>
                <w:szCs w:val="20"/>
                <w:lang w:val="en-US" w:eastAsia="zh-CN"/>
              </w:rPr>
            </w:pPr>
            <w:r>
              <w:rPr>
                <w:rFonts w:hint="eastAsia" w:hAnsi="Calibri" w:cs="Times New Roman"/>
                <w:b w:val="0"/>
                <w:bCs w:val="0"/>
                <w:snapToGrid/>
                <w:szCs w:val="20"/>
                <w:lang w:val="en-US" w:eastAsia="zh-CN"/>
              </w:rPr>
              <w:t>千年舟新材料科技集团股份有限公司</w:t>
            </w:r>
          </w:p>
          <w:p w14:paraId="7DFDB8B3">
            <w:pPr>
              <w:spacing w:line="276" w:lineRule="auto"/>
              <w:jc w:val="center"/>
              <w:rPr>
                <w:rFonts w:hint="eastAsia" w:hAnsi="Calibri" w:cs="Times New Roman"/>
                <w:b w:val="0"/>
                <w:bCs w:val="0"/>
                <w:snapToGrid/>
                <w:szCs w:val="20"/>
                <w:lang w:val="en-US" w:eastAsia="zh-CN"/>
              </w:rPr>
            </w:pPr>
            <w:r>
              <w:rPr>
                <w:rFonts w:hint="eastAsia" w:hAnsi="Calibri" w:cs="Times New Roman"/>
                <w:b w:val="0"/>
                <w:bCs w:val="0"/>
                <w:snapToGrid/>
                <w:szCs w:val="20"/>
                <w:lang w:val="en-US" w:eastAsia="zh-CN"/>
              </w:rPr>
              <w:t>成都理工大学</w:t>
            </w:r>
          </w:p>
          <w:p w14:paraId="3484C760">
            <w:pPr>
              <w:spacing w:line="276" w:lineRule="auto"/>
              <w:jc w:val="center"/>
              <w:rPr>
                <w:rFonts w:hAnsi="Calibri" w:cs="Times New Roman"/>
                <w:b w:val="0"/>
                <w:bCs w:val="0"/>
                <w:snapToGrid/>
                <w:szCs w:val="20"/>
                <w:lang w:val="zh-CN"/>
              </w:rPr>
            </w:pPr>
          </w:p>
        </w:tc>
        <w:tc>
          <w:tcPr>
            <w:tcW w:w="813" w:type="pct"/>
            <w:noWrap w:val="0"/>
            <w:vAlign w:val="center"/>
          </w:tcPr>
          <w:p w14:paraId="0BE1953B">
            <w:pPr>
              <w:spacing w:line="276" w:lineRule="auto"/>
              <w:jc w:val="center"/>
              <w:rPr>
                <w:rFonts w:hint="default" w:hAnsi="Calibri" w:cs="Times New Roman"/>
                <w:b w:val="0"/>
                <w:bCs w:val="0"/>
                <w:snapToGrid/>
                <w:szCs w:val="20"/>
                <w:lang w:val="en-US"/>
              </w:rPr>
            </w:pPr>
            <w:r>
              <w:rPr>
                <w:rFonts w:hint="eastAsia" w:ascii="宋体" w:hAnsi="宋体" w:cs="宋体"/>
                <w:spacing w:val="-4"/>
                <w:sz w:val="21"/>
                <w:szCs w:val="21"/>
                <w:lang w:val="en-US" w:eastAsia="zh-CN"/>
              </w:rPr>
              <w:t>孙武</w:t>
            </w:r>
            <w:r>
              <w:rPr>
                <w:rFonts w:hint="eastAsia" w:ascii="宋体" w:hAnsi="宋体" w:eastAsia="宋体" w:cs="宋体"/>
                <w:spacing w:val="-4"/>
                <w:sz w:val="21"/>
                <w:szCs w:val="21"/>
                <w:lang w:val="en-US" w:eastAsia="zh-CN"/>
              </w:rPr>
              <w:t>、</w:t>
            </w:r>
            <w:r>
              <w:rPr>
                <w:rFonts w:hint="eastAsia" w:ascii="宋体" w:hAnsi="宋体" w:cs="宋体"/>
                <w:spacing w:val="-4"/>
                <w:sz w:val="21"/>
                <w:szCs w:val="21"/>
                <w:lang w:val="en-US" w:eastAsia="zh-CN"/>
              </w:rPr>
              <w:t>梁坚、</w:t>
            </w:r>
            <w:r>
              <w:rPr>
                <w:rFonts w:hint="eastAsia" w:ascii="宋体" w:hAnsi="宋体" w:eastAsia="宋体" w:cs="宋体"/>
                <w:spacing w:val="-4"/>
                <w:sz w:val="21"/>
                <w:szCs w:val="21"/>
                <w:lang w:val="en-US" w:eastAsia="zh-CN"/>
              </w:rPr>
              <w:t>周园、马路祥、贺欣</w:t>
            </w:r>
          </w:p>
        </w:tc>
        <w:tc>
          <w:tcPr>
            <w:tcW w:w="1376" w:type="pct"/>
            <w:noWrap w:val="0"/>
            <w:vAlign w:val="center"/>
          </w:tcPr>
          <w:p w14:paraId="46AF15F8">
            <w:pPr>
              <w:spacing w:line="276" w:lineRule="auto"/>
              <w:jc w:val="center"/>
              <w:rPr>
                <w:rFonts w:hAnsi="Calibri" w:cs="Times New Roman"/>
                <w:b w:val="0"/>
                <w:bCs w:val="0"/>
                <w:snapToGrid/>
                <w:szCs w:val="20"/>
                <w:lang w:val="zh-CN"/>
              </w:rPr>
            </w:pPr>
            <w:r>
              <w:rPr>
                <w:rFonts w:hAnsi="Calibri" w:cs="Times New Roman"/>
                <w:b w:val="0"/>
                <w:bCs w:val="0"/>
                <w:snapToGrid/>
                <w:szCs w:val="20"/>
                <w:lang w:val="zh-CN"/>
              </w:rPr>
              <w:t>参与标准编制和文本修改</w:t>
            </w:r>
            <w:r>
              <w:rPr>
                <w:rFonts w:hint="eastAsia" w:hAnsi="Calibri" w:cs="Times New Roman"/>
                <w:b w:val="0"/>
                <w:bCs w:val="0"/>
                <w:snapToGrid/>
                <w:szCs w:val="20"/>
                <w:lang w:val="en-US" w:eastAsia="zh-CN"/>
              </w:rPr>
              <w:t>工作</w:t>
            </w:r>
            <w:r>
              <w:rPr>
                <w:rFonts w:hAnsi="Calibri" w:cs="Times New Roman"/>
                <w:b w:val="0"/>
                <w:bCs w:val="0"/>
                <w:snapToGrid/>
                <w:szCs w:val="20"/>
                <w:lang w:val="zh-CN"/>
              </w:rPr>
              <w:t>。</w:t>
            </w:r>
          </w:p>
          <w:p w14:paraId="2E696237">
            <w:pPr>
              <w:spacing w:line="276" w:lineRule="auto"/>
              <w:jc w:val="center"/>
              <w:rPr>
                <w:rFonts w:hAnsi="Calibri" w:cs="Times New Roman"/>
                <w:b w:val="0"/>
                <w:bCs w:val="0"/>
                <w:snapToGrid/>
                <w:szCs w:val="20"/>
                <w:lang w:val="zh-CN"/>
              </w:rPr>
            </w:pPr>
          </w:p>
        </w:tc>
      </w:tr>
    </w:tbl>
    <w:p w14:paraId="78B5105B">
      <w:pPr>
        <w:pStyle w:val="35"/>
        <w:pageBreakBefore w:val="0"/>
        <w:numPr>
          <w:ilvl w:val="1"/>
          <w:numId w:val="2"/>
        </w:numPr>
        <w:kinsoku/>
        <w:wordWrap/>
        <w:overflowPunct/>
        <w:bidi w:val="0"/>
        <w:snapToGrid/>
        <w:spacing w:before="0" w:beforeLines="0" w:after="0" w:afterLines="0" w:line="560" w:lineRule="exact"/>
        <w:ind w:left="0" w:firstLine="560" w:firstLineChars="200"/>
        <w:textAlignment w:val="auto"/>
        <w:outlineLvl w:val="1"/>
        <w:rPr>
          <w:rFonts w:hint="eastAsia" w:ascii="楷体" w:hAnsi="楷体" w:eastAsia="楷体" w:cs="楷体"/>
          <w:b w:val="0"/>
          <w:bCs w:val="0"/>
          <w:sz w:val="28"/>
          <w:szCs w:val="28"/>
        </w:rPr>
      </w:pPr>
      <w:bookmarkStart w:id="61" w:name="_Toc196208229"/>
      <w:bookmarkStart w:id="62" w:name="_Toc4098"/>
      <w:r>
        <w:rPr>
          <w:rFonts w:hint="eastAsia" w:ascii="楷体" w:hAnsi="楷体" w:eastAsia="楷体" w:cs="楷体"/>
          <w:b w:val="0"/>
          <w:bCs w:val="0"/>
          <w:sz w:val="28"/>
          <w:szCs w:val="28"/>
        </w:rPr>
        <w:t>具体编制过程</w:t>
      </w:r>
      <w:bookmarkEnd w:id="61"/>
      <w:bookmarkEnd w:id="62"/>
    </w:p>
    <w:p w14:paraId="6059650D">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bookmarkStart w:id="63" w:name="_Toc351215567"/>
      <w:r>
        <w:rPr>
          <w:rFonts w:hint="eastAsia" w:ascii="仿宋_GB2312" w:hAnsi="仿宋_GB2312" w:eastAsia="仿宋_GB2312" w:cs="仿宋_GB2312"/>
          <w:sz w:val="28"/>
          <w:szCs w:val="28"/>
          <w:lang w:val="en-US" w:eastAsia="zh-CN"/>
        </w:rPr>
        <w:t>根据《工业和信息化部科技司关于印发2022年行业标准复审项目计划的通知》（工科函〔2022〕679号）要求，2023年4月20日，建材工业综合标准化技术委员会组织开展SB/T 11102-2014《菱镁装饰工艺品运输包装》行业标准的复审工作会。</w:t>
      </w:r>
    </w:p>
    <w:p w14:paraId="32D073C3">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月，工业和信息化部</w:t>
      </w:r>
      <w:r>
        <w:rPr>
          <w:rFonts w:hint="eastAsia" w:ascii="仿宋_GB2312" w:hAnsi="仿宋_GB2312" w:eastAsia="仿宋_GB2312" w:cs="仿宋_GB2312"/>
          <w:sz w:val="28"/>
          <w:szCs w:val="28"/>
          <w:lang w:val="en-US" w:eastAsia="zh-CN"/>
        </w:rPr>
        <w:t>办公厅</w:t>
      </w:r>
      <w:r>
        <w:rPr>
          <w:rFonts w:hint="eastAsia" w:ascii="仿宋_GB2312" w:hAnsi="仿宋_GB2312" w:eastAsia="仿宋_GB2312" w:cs="仿宋_GB2312"/>
          <w:sz w:val="28"/>
          <w:szCs w:val="28"/>
        </w:rPr>
        <w:t>《关于印发</w:t>
      </w:r>
      <w:r>
        <w:rPr>
          <w:rFonts w:hint="eastAsia" w:ascii="仿宋_GB2312" w:hAnsi="仿宋_GB2312" w:eastAsia="仿宋_GB2312" w:cs="仿宋_GB2312"/>
          <w:sz w:val="28"/>
          <w:szCs w:val="28"/>
          <w:lang w:val="en-US" w:eastAsia="zh-CN"/>
        </w:rPr>
        <w:t>2024年第一批行业标准制修订计划的通知</w:t>
      </w:r>
      <w:r>
        <w:rPr>
          <w:rFonts w:hint="eastAsia" w:ascii="仿宋_GB2312" w:hAnsi="仿宋_GB2312" w:eastAsia="仿宋_GB2312" w:cs="仿宋_GB2312"/>
          <w:sz w:val="28"/>
          <w:szCs w:val="28"/>
        </w:rPr>
        <w:t>》（工</w:t>
      </w:r>
      <w:r>
        <w:rPr>
          <w:rFonts w:hint="eastAsia" w:ascii="仿宋_GB2312" w:hAnsi="仿宋_GB2312" w:eastAsia="仿宋_GB2312" w:cs="仿宋_GB2312"/>
          <w:sz w:val="28"/>
          <w:szCs w:val="28"/>
          <w:lang w:val="en-US" w:eastAsia="zh-CN"/>
        </w:rPr>
        <w:t>信厅</w:t>
      </w:r>
      <w:r>
        <w:rPr>
          <w:rFonts w:hint="eastAsia" w:ascii="仿宋_GB2312" w:hAnsi="仿宋_GB2312" w:eastAsia="仿宋_GB2312" w:cs="仿宋_GB2312"/>
          <w:sz w:val="28"/>
          <w:szCs w:val="28"/>
        </w:rPr>
        <w:t>科〔202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18</w:t>
      </w:r>
      <w:r>
        <w:rPr>
          <w:rFonts w:hint="eastAsia" w:ascii="仿宋_GB2312" w:hAnsi="仿宋_GB2312" w:eastAsia="仿宋_GB2312" w:cs="仿宋_GB2312"/>
          <w:sz w:val="28"/>
          <w:szCs w:val="28"/>
        </w:rPr>
        <w:t>号），本</w:t>
      </w:r>
      <w:r>
        <w:rPr>
          <w:rFonts w:hint="eastAsia" w:ascii="仿宋_GB2312" w:hAnsi="仿宋_GB2312" w:eastAsia="仿宋_GB2312" w:cs="仿宋_GB2312"/>
          <w:sz w:val="28"/>
          <w:szCs w:val="28"/>
          <w:lang w:val="en-US" w:eastAsia="zh-CN"/>
        </w:rPr>
        <w:t>文件</w:t>
      </w:r>
      <w:r>
        <w:rPr>
          <w:rFonts w:hint="eastAsia" w:ascii="仿宋_GB2312" w:hAnsi="仿宋_GB2312" w:eastAsia="仿宋_GB2312" w:cs="仿宋_GB2312"/>
          <w:sz w:val="28"/>
          <w:szCs w:val="28"/>
        </w:rPr>
        <w:t>正式立项，标准名称确定为《</w:t>
      </w:r>
      <w:r>
        <w:rPr>
          <w:rFonts w:hint="eastAsia" w:ascii="仿宋_GB2312" w:hAnsi="仿宋_GB2312" w:eastAsia="仿宋_GB2312" w:cs="仿宋_GB2312"/>
          <w:sz w:val="28"/>
          <w:szCs w:val="28"/>
          <w:lang w:val="en-US" w:eastAsia="zh-CN"/>
        </w:rPr>
        <w:t>镁质装饰材料运输包装</w:t>
      </w:r>
      <w:r>
        <w:rPr>
          <w:rFonts w:hint="eastAsia" w:ascii="仿宋_GB2312" w:hAnsi="仿宋_GB2312" w:eastAsia="仿宋_GB2312" w:cs="仿宋_GB2312"/>
          <w:sz w:val="28"/>
          <w:szCs w:val="28"/>
        </w:rPr>
        <w:t>》，标准计划号为2024-</w:t>
      </w:r>
      <w:r>
        <w:rPr>
          <w:rFonts w:hint="eastAsia" w:ascii="仿宋_GB2312" w:hAnsi="仿宋_GB2312" w:eastAsia="仿宋_GB2312" w:cs="仿宋_GB2312"/>
          <w:sz w:val="28"/>
          <w:szCs w:val="28"/>
          <w:lang w:val="en-US" w:eastAsia="zh-CN"/>
        </w:rPr>
        <w:t>0412</w:t>
      </w:r>
      <w:r>
        <w:rPr>
          <w:rFonts w:hint="eastAsia" w:ascii="仿宋_GB2312" w:hAnsi="仿宋_GB2312" w:eastAsia="仿宋_GB2312" w:cs="仿宋_GB2312"/>
          <w:sz w:val="28"/>
          <w:szCs w:val="28"/>
        </w:rPr>
        <w:t>T-JC。</w:t>
      </w:r>
    </w:p>
    <w:p w14:paraId="01F5CEF8">
      <w:pPr>
        <w:pageBreakBefore w:val="0"/>
        <w:kinsoku/>
        <w:wordWrap/>
        <w:overflowPunct/>
        <w:topLinePunct/>
        <w:bidi w:val="0"/>
        <w:snapToGrid/>
        <w:spacing w:line="560" w:lineRule="exact"/>
        <w:ind w:left="0" w:firstLine="560" w:firstLineChars="200"/>
        <w:textAlignment w:val="auto"/>
        <w:rPr>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月至</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月，标准负责起草单位围绕</w:t>
      </w:r>
      <w:r>
        <w:rPr>
          <w:rFonts w:hint="eastAsia" w:ascii="仿宋_GB2312" w:hAnsi="仿宋_GB2312" w:eastAsia="仿宋_GB2312" w:cs="仿宋_GB2312"/>
          <w:sz w:val="28"/>
          <w:szCs w:val="28"/>
          <w:lang w:val="en-US" w:eastAsia="zh-CN"/>
        </w:rPr>
        <w:t>镁质装饰材料</w:t>
      </w:r>
      <w:r>
        <w:rPr>
          <w:rFonts w:hint="eastAsia" w:ascii="仿宋_GB2312" w:hAnsi="仿宋_GB2312" w:eastAsia="仿宋_GB2312" w:cs="仿宋_GB2312"/>
          <w:sz w:val="28"/>
          <w:szCs w:val="28"/>
        </w:rPr>
        <w:t>生产、应用、装备、检测等领域进行广泛</w:t>
      </w:r>
      <w:r>
        <w:rPr>
          <w:rFonts w:hint="eastAsia" w:ascii="仿宋_GB2312" w:hAnsi="仿宋_GB2312" w:eastAsia="仿宋_GB2312" w:cs="仿宋_GB2312"/>
          <w:sz w:val="28"/>
          <w:szCs w:val="28"/>
          <w:lang w:val="en-US" w:eastAsia="zh-CN"/>
        </w:rPr>
        <w:t>调研和考察</w:t>
      </w:r>
      <w:r>
        <w:rPr>
          <w:rFonts w:hint="eastAsia" w:ascii="仿宋_GB2312" w:hAnsi="仿宋_GB2312" w:eastAsia="仿宋_GB2312" w:cs="仿宋_GB2312"/>
          <w:sz w:val="28"/>
          <w:szCs w:val="28"/>
        </w:rPr>
        <w:t>，对国内外相关标准资料进行收集，并组建标准编制工作组，根据各编制单位经营领域和业务专长进行编制工作分工。</w:t>
      </w:r>
      <w:r>
        <w:rPr>
          <w:rFonts w:ascii="宋体" w:hAnsi="宋体" w:eastAsia="宋体" w:cs="宋体"/>
          <w:sz w:val="24"/>
          <w:szCs w:val="24"/>
        </w:rPr>
        <w:t xml:space="preserve"> </w:t>
      </w:r>
    </w:p>
    <w:p w14:paraId="01AB8AE4">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2025年</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-6月</w:t>
      </w:r>
      <w:r>
        <w:rPr>
          <w:rFonts w:hint="eastAsia" w:ascii="仿宋_GB2312" w:hAnsi="仿宋_GB2312" w:eastAsia="仿宋_GB2312" w:cs="仿宋_GB2312"/>
          <w:sz w:val="28"/>
          <w:szCs w:val="28"/>
        </w:rPr>
        <w:t>，编制组根据</w:t>
      </w:r>
      <w:r>
        <w:rPr>
          <w:rFonts w:hint="eastAsia" w:ascii="仿宋_GB2312" w:hAnsi="仿宋_GB2312" w:eastAsia="仿宋_GB2312" w:cs="仿宋_GB2312"/>
          <w:sz w:val="28"/>
          <w:szCs w:val="28"/>
          <w:lang w:val="en-US" w:eastAsia="zh-CN"/>
        </w:rPr>
        <w:t>调研实际情况</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开展对生产单位、使用单位、大专院校和科研院所征集质装饰材料的包装相关</w:t>
      </w:r>
      <w:r>
        <w:rPr>
          <w:rFonts w:hint="eastAsia" w:ascii="仿宋_GB2312" w:hAnsi="仿宋_GB2312" w:eastAsia="仿宋_GB2312" w:cs="仿宋_GB2312"/>
          <w:sz w:val="28"/>
          <w:szCs w:val="28"/>
        </w:rPr>
        <w:t>的种类、应用情况、存在的问题等，对</w:t>
      </w:r>
      <w:r>
        <w:rPr>
          <w:rFonts w:hint="eastAsia" w:ascii="仿宋_GB2312" w:hAnsi="仿宋_GB2312" w:eastAsia="仿宋_GB2312" w:cs="仿宋_GB2312"/>
          <w:sz w:val="28"/>
          <w:szCs w:val="28"/>
          <w:lang w:val="en-US" w:eastAsia="zh-CN"/>
        </w:rPr>
        <w:t>镁质装饰材料</w:t>
      </w:r>
      <w:r>
        <w:rPr>
          <w:rFonts w:hint="eastAsia" w:ascii="仿宋_GB2312" w:hAnsi="仿宋_GB2312" w:eastAsia="仿宋_GB2312" w:cs="仿宋_GB2312"/>
          <w:sz w:val="28"/>
          <w:szCs w:val="28"/>
        </w:rPr>
        <w:t>相关的</w:t>
      </w:r>
      <w:r>
        <w:rPr>
          <w:rFonts w:hint="eastAsia" w:ascii="仿宋_GB2312" w:hAnsi="仿宋_GB2312" w:eastAsia="仿宋_GB2312" w:cs="仿宋_GB2312"/>
          <w:sz w:val="28"/>
          <w:szCs w:val="28"/>
          <w:lang w:val="en-US" w:eastAsia="zh-CN"/>
        </w:rPr>
        <w:t>运输</w:t>
      </w:r>
      <w:r>
        <w:rPr>
          <w:rFonts w:hint="eastAsia" w:ascii="仿宋_GB2312" w:hAnsi="仿宋_GB2312" w:eastAsia="仿宋_GB2312" w:cs="仿宋_GB2312"/>
          <w:sz w:val="28"/>
          <w:szCs w:val="28"/>
        </w:rPr>
        <w:t>相关标准、行业状况等有了全面而深入的了解，为标准的编制提供了科学的依据。</w:t>
      </w:r>
      <w:r>
        <w:rPr>
          <w:rFonts w:ascii="宋体" w:hAnsi="宋体" w:eastAsia="宋体" w:cs="宋体"/>
          <w:sz w:val="24"/>
          <w:szCs w:val="24"/>
        </w:rPr>
        <w:t xml:space="preserve"> </w:t>
      </w:r>
    </w:p>
    <w:p w14:paraId="0EBFA1AD">
      <w:pPr>
        <w:pageBreakBefore w:val="0"/>
        <w:kinsoku/>
        <w:wordWrap/>
        <w:overflowPunct/>
        <w:topLinePunct/>
        <w:bidi w:val="0"/>
        <w:snapToGrid/>
        <w:spacing w:line="560" w:lineRule="exact"/>
        <w:ind w:left="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2025年8月19日，中国菱镁行业协会在济南召开标准工作会议，与会专家和企业代表对标准进行讨论与交流，进一步完善了标准的内容，形成标准征求意见稿。</w:t>
      </w:r>
    </w:p>
    <w:bookmarkEnd w:id="63"/>
    <w:p w14:paraId="4755892F">
      <w:pPr>
        <w:pStyle w:val="35"/>
        <w:pageBreakBefore w:val="0"/>
        <w:numPr>
          <w:ilvl w:val="0"/>
          <w:numId w:val="2"/>
        </w:numPr>
        <w:tabs>
          <w:tab w:val="left" w:pos="420"/>
          <w:tab w:val="clear" w:pos="0"/>
        </w:tabs>
        <w:kinsoku/>
        <w:wordWrap/>
        <w:overflowPunct/>
        <w:bidi w:val="0"/>
        <w:snapToGrid/>
        <w:spacing w:before="0" w:beforeLines="0" w:after="0" w:afterLines="0" w:line="560" w:lineRule="exact"/>
        <w:ind w:left="0" w:firstLine="560" w:firstLineChars="200"/>
        <w:textAlignment w:val="auto"/>
        <w:rPr>
          <w:rFonts w:hint="eastAsia" w:ascii="黑体" w:hAnsi="黑体" w:eastAsia="黑体" w:cs="黑体"/>
          <w:b w:val="0"/>
          <w:bCs w:val="0"/>
          <w:sz w:val="28"/>
          <w:szCs w:val="28"/>
        </w:rPr>
      </w:pPr>
      <w:bookmarkStart w:id="64" w:name="_Toc1061"/>
      <w:bookmarkStart w:id="65" w:name="_Toc59059082"/>
      <w:bookmarkStart w:id="66" w:name="_Toc25858"/>
      <w:bookmarkStart w:id="67" w:name="_Toc5003"/>
      <w:bookmarkStart w:id="68" w:name="_Toc28358"/>
      <w:bookmarkStart w:id="69" w:name="_Toc36132044"/>
      <w:bookmarkStart w:id="70" w:name="_Toc3860"/>
      <w:bookmarkStart w:id="71" w:name="_Toc196208230"/>
      <w:bookmarkStart w:id="72" w:name="_Toc11568"/>
      <w:bookmarkStart w:id="73" w:name="_Toc10924"/>
      <w:bookmarkStart w:id="74" w:name="_Toc13818"/>
      <w:bookmarkStart w:id="75" w:name="_Toc15020"/>
      <w:bookmarkStart w:id="76" w:name="_Toc23736"/>
      <w:bookmarkStart w:id="77" w:name="_Toc242585748"/>
      <w:bookmarkStart w:id="78" w:name="_Toc251577422"/>
      <w:bookmarkStart w:id="79" w:name="_Toc222553790"/>
      <w:r>
        <w:rPr>
          <w:rFonts w:hint="eastAsia" w:ascii="黑体" w:hAnsi="黑体" w:eastAsia="黑体" w:cs="黑体"/>
          <w:b w:val="0"/>
          <w:bCs w:val="0"/>
          <w:sz w:val="28"/>
          <w:szCs w:val="28"/>
        </w:rPr>
        <w:t>编制原则及标准的主要技术内容说明</w:t>
      </w:r>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黑体" w:hAnsi="黑体" w:eastAsia="黑体" w:cs="黑体"/>
          <w:b w:val="0"/>
          <w:bCs w:val="0"/>
          <w:sz w:val="28"/>
          <w:szCs w:val="28"/>
        </w:rPr>
        <w:t xml:space="preserve"> </w:t>
      </w:r>
    </w:p>
    <w:p w14:paraId="377C9B01">
      <w:pPr>
        <w:pStyle w:val="35"/>
        <w:pageBreakBefore w:val="0"/>
        <w:numPr>
          <w:ilvl w:val="0"/>
          <w:numId w:val="0"/>
        </w:numPr>
        <w:kinsoku/>
        <w:wordWrap/>
        <w:overflowPunct/>
        <w:bidi w:val="0"/>
        <w:snapToGrid/>
        <w:spacing w:before="0" w:beforeLines="0" w:after="0" w:afterLines="0" w:line="560" w:lineRule="exact"/>
        <w:ind w:leftChars="200"/>
        <w:textAlignment w:val="auto"/>
        <w:outlineLvl w:val="1"/>
        <w:rPr>
          <w:rFonts w:hint="eastAsia" w:ascii="楷体" w:hAnsi="楷体" w:eastAsia="楷体" w:cs="楷体"/>
          <w:b w:val="0"/>
          <w:bCs w:val="0"/>
          <w:sz w:val="28"/>
          <w:szCs w:val="28"/>
        </w:rPr>
      </w:pPr>
      <w:bookmarkStart w:id="80" w:name="_Toc22513"/>
      <w:bookmarkStart w:id="81" w:name="_Toc31104"/>
      <w:bookmarkStart w:id="82" w:name="_Toc1357"/>
      <w:bookmarkStart w:id="83" w:name="_Toc36132045"/>
      <w:bookmarkStart w:id="84" w:name="_Toc59059083"/>
      <w:bookmarkStart w:id="85" w:name="_Toc26526"/>
      <w:bookmarkStart w:id="86" w:name="_Toc31868"/>
      <w:bookmarkStart w:id="87" w:name="_Toc10475"/>
      <w:bookmarkStart w:id="88" w:name="_Toc25706"/>
      <w:bookmarkStart w:id="89" w:name="_Toc16478"/>
      <w:bookmarkStart w:id="90" w:name="_Toc9678"/>
      <w:bookmarkStart w:id="91" w:name="_Toc196208231"/>
      <w:bookmarkStart w:id="92" w:name="_Toc3842"/>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一</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本标准的编制原则</w:t>
      </w:r>
      <w:bookmarkEnd w:id="80"/>
      <w:bookmarkEnd w:id="81"/>
      <w:bookmarkEnd w:id="82"/>
      <w:bookmarkEnd w:id="83"/>
      <w:bookmarkEnd w:id="84"/>
      <w:bookmarkEnd w:id="85"/>
      <w:bookmarkEnd w:id="86"/>
      <w:bookmarkEnd w:id="87"/>
      <w:bookmarkEnd w:id="88"/>
      <w:bookmarkEnd w:id="89"/>
      <w:bookmarkEnd w:id="90"/>
      <w:bookmarkEnd w:id="91"/>
      <w:bookmarkEnd w:id="92"/>
    </w:p>
    <w:p w14:paraId="4253416A">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为保证标准的科学性和适用性，标准起草工作组在充分讨论和研究的基础上，明确了以下编制原则：</w:t>
      </w:r>
    </w:p>
    <w:p w14:paraId="0F01675D">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1.规范性原则。本文件按照GB/T 1.1—2020《标准化工作导则 第1部分：标准化文件的结构和起草规则》的要求和规定，编写本文件的内容。</w:t>
      </w:r>
    </w:p>
    <w:p w14:paraId="43E704D2">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2.适用性原则。本文件立足</w:t>
      </w:r>
      <w:r>
        <w:rPr>
          <w:rFonts w:hint="eastAsia" w:ascii="仿宋_GB2312" w:hAnsi="仿宋_GB2312" w:eastAsia="仿宋_GB2312" w:cs="仿宋_GB2312"/>
          <w:sz w:val="28"/>
          <w:szCs w:val="28"/>
          <w:lang w:val="en-US" w:eastAsia="zh-CN"/>
        </w:rPr>
        <w:t>镁质装饰材料包装的市场</w:t>
      </w:r>
      <w:r>
        <w:rPr>
          <w:rFonts w:hint="eastAsia" w:ascii="仿宋_GB2312" w:hAnsi="仿宋_GB2312" w:eastAsia="仿宋_GB2312" w:cs="仿宋_GB2312"/>
          <w:sz w:val="28"/>
          <w:szCs w:val="28"/>
        </w:rPr>
        <w:t>应用现状</w:t>
      </w:r>
      <w:r>
        <w:rPr>
          <w:rFonts w:hint="eastAsia" w:ascii="仿宋_GB2312" w:hAnsi="仿宋_GB2312" w:eastAsia="仿宋_GB2312" w:cs="仿宋_GB2312"/>
          <w:sz w:val="28"/>
          <w:szCs w:val="28"/>
          <w:lang w:val="en-US" w:eastAsia="zh-CN"/>
        </w:rPr>
        <w:t>和国家相关法律法规和政策引导</w:t>
      </w:r>
      <w:r>
        <w:rPr>
          <w:rFonts w:hint="eastAsia" w:ascii="仿宋_GB2312" w:hAnsi="仿宋_GB2312" w:eastAsia="仿宋_GB2312" w:cs="仿宋_GB2312"/>
          <w:sz w:val="28"/>
          <w:szCs w:val="28"/>
        </w:rPr>
        <w:t>，符合行业</w:t>
      </w:r>
      <w:r>
        <w:rPr>
          <w:rFonts w:hint="eastAsia" w:ascii="仿宋_GB2312" w:hAnsi="仿宋_GB2312" w:eastAsia="仿宋_GB2312" w:cs="仿宋_GB2312"/>
          <w:sz w:val="28"/>
          <w:szCs w:val="28"/>
          <w:lang w:val="en-US" w:eastAsia="zh-CN"/>
        </w:rPr>
        <w:t>产品</w:t>
      </w:r>
      <w:r>
        <w:rPr>
          <w:rFonts w:hint="eastAsia" w:ascii="仿宋_GB2312" w:hAnsi="仿宋_GB2312" w:eastAsia="仿宋_GB2312" w:cs="仿宋_GB2312"/>
          <w:sz w:val="28"/>
          <w:szCs w:val="28"/>
        </w:rPr>
        <w:t>特色，能够切实</w:t>
      </w:r>
      <w:r>
        <w:rPr>
          <w:rFonts w:hint="eastAsia" w:ascii="仿宋_GB2312" w:hAnsi="仿宋_GB2312" w:eastAsia="仿宋_GB2312" w:cs="仿宋_GB2312"/>
          <w:sz w:val="28"/>
          <w:szCs w:val="28"/>
          <w:lang w:val="en-US" w:eastAsia="zh-CN"/>
        </w:rPr>
        <w:t>帮助</w:t>
      </w:r>
      <w:r>
        <w:rPr>
          <w:rFonts w:hint="eastAsia" w:ascii="仿宋_GB2312" w:hAnsi="仿宋_GB2312" w:eastAsia="仿宋_GB2312" w:cs="仿宋_GB2312"/>
          <w:sz w:val="28"/>
          <w:szCs w:val="28"/>
        </w:rPr>
        <w:t>企业</w:t>
      </w:r>
      <w:r>
        <w:rPr>
          <w:rFonts w:hint="eastAsia" w:ascii="仿宋_GB2312" w:hAnsi="仿宋_GB2312" w:eastAsia="仿宋_GB2312" w:cs="仿宋_GB2312"/>
          <w:sz w:val="28"/>
          <w:szCs w:val="28"/>
          <w:lang w:val="en-US" w:eastAsia="zh-CN"/>
        </w:rPr>
        <w:t>精准把脉和指导引领</w:t>
      </w:r>
      <w:r>
        <w:rPr>
          <w:rFonts w:hint="eastAsia" w:ascii="仿宋_GB2312" w:hAnsi="仿宋_GB2312" w:eastAsia="仿宋_GB2312" w:cs="仿宋_GB2312"/>
          <w:sz w:val="28"/>
          <w:szCs w:val="28"/>
        </w:rPr>
        <w:t>，实现高质量发展。</w:t>
      </w:r>
    </w:p>
    <w:p w14:paraId="10B0C24F">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3.协调性原则。本文件的编制充分考虑与我国现行法律、法规和政策相符合，与现有</w:t>
      </w:r>
      <w:r>
        <w:rPr>
          <w:rFonts w:hint="eastAsia" w:ascii="仿宋_GB2312" w:hAnsi="仿宋_GB2312" w:eastAsia="仿宋_GB2312" w:cs="仿宋_GB2312"/>
          <w:sz w:val="28"/>
          <w:szCs w:val="28"/>
          <w:lang w:val="en-US" w:eastAsia="zh-CN"/>
        </w:rPr>
        <w:t>包装</w:t>
      </w:r>
      <w:r>
        <w:rPr>
          <w:rFonts w:hint="eastAsia" w:ascii="仿宋_GB2312" w:hAnsi="仿宋_GB2312" w:eastAsia="仿宋_GB2312" w:cs="仿宋_GB2312"/>
          <w:sz w:val="28"/>
          <w:szCs w:val="28"/>
        </w:rPr>
        <w:t>相关国家标准、行业标准等相互协调。</w:t>
      </w:r>
    </w:p>
    <w:p w14:paraId="681B1841">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4.开放性原则。本文件在研制推进过程中，广泛联合业界力量，曾多次召开标准</w:t>
      </w:r>
      <w:r>
        <w:rPr>
          <w:rFonts w:hint="eastAsia" w:ascii="仿宋_GB2312" w:hAnsi="仿宋_GB2312" w:eastAsia="仿宋_GB2312" w:cs="仿宋_GB2312"/>
          <w:sz w:val="28"/>
          <w:szCs w:val="28"/>
          <w:lang w:val="en-US" w:eastAsia="zh-CN"/>
        </w:rPr>
        <w:t>工作会议</w:t>
      </w:r>
      <w:r>
        <w:rPr>
          <w:rFonts w:hint="eastAsia" w:ascii="仿宋_GB2312" w:hAnsi="仿宋_GB2312" w:eastAsia="仿宋_GB2312" w:cs="仿宋_GB2312"/>
          <w:sz w:val="28"/>
          <w:szCs w:val="28"/>
        </w:rPr>
        <w:t>、专家研讨会，广泛听取并充分采纳业内专家、生产一线的意见建议，为标准的科学性和实用性提供了保障。</w:t>
      </w:r>
    </w:p>
    <w:p w14:paraId="727E615B">
      <w:pPr>
        <w:pageBreakBefore w:val="0"/>
        <w:kinsoku/>
        <w:wordWrap/>
        <w:overflowPunct/>
        <w:bidi w:val="0"/>
        <w:snapToGrid/>
        <w:spacing w:line="560" w:lineRule="exact"/>
        <w:ind w:left="0" w:firstLine="560" w:firstLineChars="200"/>
        <w:textAlignment w:val="auto"/>
      </w:pPr>
      <w:r>
        <w:rPr>
          <w:rFonts w:hint="eastAsia" w:ascii="仿宋_GB2312" w:hAnsi="仿宋_GB2312" w:eastAsia="仿宋_GB2312" w:cs="仿宋_GB2312"/>
          <w:sz w:val="28"/>
          <w:szCs w:val="28"/>
        </w:rPr>
        <w:t>本文件在编制过程中，牵头单位联合</w:t>
      </w:r>
      <w:r>
        <w:rPr>
          <w:rFonts w:hint="eastAsia" w:ascii="仿宋_GB2312" w:hAnsi="仿宋_GB2312" w:eastAsia="仿宋_GB2312" w:cs="仿宋_GB2312"/>
          <w:sz w:val="28"/>
          <w:szCs w:val="28"/>
          <w:lang w:val="en-US" w:eastAsia="zh-CN"/>
        </w:rPr>
        <w:t>生产</w:t>
      </w:r>
      <w:r>
        <w:rPr>
          <w:rFonts w:hint="eastAsia" w:ascii="仿宋_GB2312" w:hAnsi="仿宋_GB2312" w:eastAsia="仿宋_GB2312" w:cs="仿宋_GB2312"/>
          <w:sz w:val="28"/>
          <w:szCs w:val="28"/>
        </w:rPr>
        <w:t>企业、</w:t>
      </w:r>
      <w:r>
        <w:rPr>
          <w:rFonts w:hint="eastAsia" w:ascii="仿宋_GB2312" w:hAnsi="仿宋_GB2312" w:eastAsia="仿宋_GB2312" w:cs="仿宋_GB2312"/>
          <w:sz w:val="28"/>
          <w:szCs w:val="28"/>
          <w:lang w:val="en-US" w:eastAsia="zh-CN"/>
        </w:rPr>
        <w:t>科研</w:t>
      </w:r>
      <w:r>
        <w:rPr>
          <w:rFonts w:hint="eastAsia" w:ascii="仿宋_GB2312" w:hAnsi="仿宋_GB2312" w:eastAsia="仿宋_GB2312" w:cs="仿宋_GB2312"/>
          <w:sz w:val="28"/>
          <w:szCs w:val="28"/>
        </w:rPr>
        <w:t>机构</w:t>
      </w:r>
      <w:r>
        <w:rPr>
          <w:rFonts w:hint="eastAsia" w:ascii="仿宋_GB2312" w:hAnsi="仿宋_GB2312" w:eastAsia="仿宋_GB2312" w:cs="仿宋_GB2312"/>
          <w:sz w:val="28"/>
          <w:szCs w:val="28"/>
          <w:lang w:val="en-US" w:eastAsia="zh-CN"/>
        </w:rPr>
        <w:t>和大专院校</w:t>
      </w:r>
      <w:r>
        <w:rPr>
          <w:rFonts w:hint="eastAsia" w:ascii="仿宋_GB2312" w:hAnsi="仿宋_GB2312" w:eastAsia="仿宋_GB2312" w:cs="仿宋_GB2312"/>
          <w:sz w:val="28"/>
          <w:szCs w:val="28"/>
        </w:rPr>
        <w:t>等广大社会相关方不断完善标准内容，通过现场+线上的形式深入企业开展调研，保证了标准的准确与适用。</w:t>
      </w:r>
    </w:p>
    <w:p w14:paraId="7569E7E7">
      <w:pPr>
        <w:pStyle w:val="35"/>
        <w:pageBreakBefore w:val="0"/>
        <w:numPr>
          <w:ilvl w:val="0"/>
          <w:numId w:val="0"/>
        </w:numPr>
        <w:kinsoku/>
        <w:wordWrap/>
        <w:overflowPunct/>
        <w:bidi w:val="0"/>
        <w:snapToGrid/>
        <w:spacing w:before="0" w:beforeLines="0" w:after="0" w:afterLines="0" w:line="560" w:lineRule="exact"/>
        <w:ind w:leftChars="200"/>
        <w:textAlignment w:val="auto"/>
        <w:outlineLvl w:val="1"/>
        <w:rPr>
          <w:rFonts w:hint="eastAsia" w:ascii="楷体" w:hAnsi="楷体" w:eastAsia="楷体" w:cs="楷体"/>
          <w:b w:val="0"/>
          <w:bCs w:val="0"/>
          <w:sz w:val="28"/>
          <w:szCs w:val="28"/>
        </w:rPr>
      </w:pPr>
      <w:bookmarkStart w:id="93" w:name="_Toc1215"/>
      <w:bookmarkStart w:id="94" w:name="_Toc18901"/>
      <w:bookmarkStart w:id="95" w:name="_Toc59059084"/>
      <w:bookmarkStart w:id="96" w:name="_Toc196208232"/>
      <w:bookmarkStart w:id="97" w:name="_Toc30010"/>
      <w:bookmarkStart w:id="98" w:name="_Toc36132046"/>
      <w:bookmarkStart w:id="99" w:name="_Toc26861"/>
      <w:bookmarkStart w:id="100" w:name="_Toc4516"/>
      <w:bookmarkStart w:id="101" w:name="_Toc3769"/>
      <w:bookmarkStart w:id="102" w:name="_Toc25624"/>
      <w:bookmarkStart w:id="103" w:name="_Toc23302"/>
      <w:bookmarkStart w:id="104" w:name="_Toc32128"/>
      <w:bookmarkStart w:id="105" w:name="_Toc15789"/>
      <w:r>
        <w:rPr>
          <w:rFonts w:hint="eastAsia" w:ascii="楷体" w:hAnsi="楷体" w:eastAsia="楷体" w:cs="楷体"/>
          <w:b w:val="0"/>
          <w:bCs w:val="0"/>
          <w:sz w:val="28"/>
          <w:szCs w:val="28"/>
          <w:lang w:val="en-US" w:eastAsia="zh-CN"/>
        </w:rPr>
        <w:t>（二）</w:t>
      </w:r>
      <w:r>
        <w:rPr>
          <w:rFonts w:hint="eastAsia" w:ascii="楷体" w:hAnsi="楷体" w:eastAsia="楷体" w:cs="楷体"/>
          <w:b w:val="0"/>
          <w:bCs w:val="0"/>
          <w:sz w:val="28"/>
          <w:szCs w:val="28"/>
        </w:rPr>
        <w:t>标准的主要内容及说明</w:t>
      </w:r>
      <w:bookmarkEnd w:id="93"/>
      <w:bookmarkEnd w:id="94"/>
      <w:bookmarkEnd w:id="95"/>
      <w:bookmarkEnd w:id="96"/>
      <w:bookmarkEnd w:id="97"/>
      <w:bookmarkEnd w:id="98"/>
      <w:bookmarkEnd w:id="99"/>
      <w:bookmarkEnd w:id="100"/>
      <w:bookmarkEnd w:id="101"/>
      <w:bookmarkEnd w:id="102"/>
      <w:bookmarkEnd w:id="103"/>
      <w:bookmarkEnd w:id="104"/>
      <w:bookmarkEnd w:id="105"/>
    </w:p>
    <w:p w14:paraId="7AF26EE4">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rPr>
      </w:pPr>
      <w:bookmarkStart w:id="106" w:name="_Toc16559"/>
      <w:bookmarkStart w:id="107" w:name="_Toc23204"/>
      <w:bookmarkStart w:id="108" w:name="_Toc196208233"/>
      <w:bookmarkStart w:id="109" w:name="_Toc9772"/>
      <w:bookmarkStart w:id="110" w:name="_Toc12924"/>
      <w:bookmarkStart w:id="111" w:name="_Toc31589"/>
      <w:bookmarkStart w:id="112" w:name="_Toc12393"/>
      <w:bookmarkStart w:id="113" w:name="_Toc2186"/>
      <w:bookmarkStart w:id="114" w:name="_Toc59059085"/>
      <w:bookmarkStart w:id="115" w:name="_Toc28940"/>
      <w:bookmarkStart w:id="116" w:name="_Toc30311"/>
      <w:bookmarkStart w:id="117" w:name="_Toc23118"/>
      <w:r>
        <w:rPr>
          <w:rFonts w:hint="eastAsia" w:ascii="楷体" w:hAnsi="楷体" w:eastAsia="楷体" w:cs="楷体"/>
          <w:b w:val="0"/>
          <w:bCs w:val="0"/>
          <w:sz w:val="28"/>
          <w:szCs w:val="28"/>
          <w:lang w:val="en-US" w:eastAsia="zh-CN"/>
        </w:rPr>
        <w:t xml:space="preserve">1 </w:t>
      </w:r>
      <w:r>
        <w:rPr>
          <w:rFonts w:hint="eastAsia" w:ascii="楷体" w:hAnsi="楷体" w:eastAsia="楷体" w:cs="楷体"/>
          <w:b w:val="0"/>
          <w:bCs w:val="0"/>
          <w:sz w:val="28"/>
          <w:szCs w:val="28"/>
        </w:rPr>
        <w:t>范围</w:t>
      </w:r>
      <w:bookmarkEnd w:id="106"/>
      <w:bookmarkEnd w:id="107"/>
      <w:bookmarkEnd w:id="108"/>
      <w:bookmarkEnd w:id="109"/>
      <w:bookmarkEnd w:id="110"/>
      <w:bookmarkEnd w:id="111"/>
      <w:bookmarkEnd w:id="112"/>
      <w:bookmarkEnd w:id="113"/>
      <w:bookmarkEnd w:id="114"/>
      <w:bookmarkEnd w:id="115"/>
      <w:bookmarkEnd w:id="116"/>
      <w:bookmarkEnd w:id="117"/>
    </w:p>
    <w:p w14:paraId="34207940">
      <w:pPr>
        <w:pStyle w:val="32"/>
        <w:numPr>
          <w:ilvl w:val="1"/>
          <w:numId w:val="0"/>
        </w:numPr>
        <w:spacing w:before="0" w:beforeLines="0" w:after="0" w:afterLines="0"/>
        <w:ind w:leftChars="0" w:firstLine="560" w:firstLineChars="200"/>
        <w:rPr>
          <w:rFonts w:hint="eastAsia" w:ascii="仿宋_GB2312" w:hAnsi="仿宋_GB2312" w:eastAsia="仿宋_GB2312" w:cs="仿宋_GB2312"/>
          <w:kern w:val="2"/>
          <w:sz w:val="28"/>
          <w:szCs w:val="28"/>
          <w:lang w:val="en-US" w:eastAsia="zh-CN" w:bidi="ar-SA"/>
        </w:rPr>
      </w:pPr>
      <w:bookmarkStart w:id="118" w:name="_Toc196208234"/>
      <w:bookmarkStart w:id="119" w:name="_Toc20940"/>
      <w:bookmarkStart w:id="120" w:name="_Toc42087772"/>
      <w:bookmarkStart w:id="121" w:name="_Toc9638"/>
      <w:bookmarkStart w:id="122" w:name="_Toc16762"/>
      <w:bookmarkStart w:id="123" w:name="_Toc2233"/>
      <w:bookmarkStart w:id="124" w:name="_Toc13914"/>
      <w:bookmarkStart w:id="125" w:name="_Toc31069"/>
      <w:bookmarkStart w:id="126" w:name="_Toc12825"/>
      <w:bookmarkStart w:id="127" w:name="_Toc19894"/>
      <w:bookmarkStart w:id="128" w:name="_Toc59059086"/>
      <w:bookmarkStart w:id="129" w:name="_Toc31440"/>
      <w:bookmarkStart w:id="130" w:name="_Toc6220"/>
      <w:r>
        <w:rPr>
          <w:rFonts w:hint="eastAsia" w:ascii="仿宋_GB2312" w:hAnsi="仿宋_GB2312" w:eastAsia="仿宋_GB2312" w:cs="仿宋_GB2312"/>
          <w:kern w:val="2"/>
          <w:sz w:val="28"/>
          <w:szCs w:val="28"/>
          <w:lang w:val="en-US" w:eastAsia="zh-CN" w:bidi="ar-SA"/>
        </w:rPr>
        <w:t>本文件规定了镁质装饰材料运输包装的术语和定义、要求、检验。</w:t>
      </w:r>
    </w:p>
    <w:p w14:paraId="0FD2B3EB">
      <w:pPr>
        <w:pStyle w:val="32"/>
        <w:numPr>
          <w:ilvl w:val="1"/>
          <w:numId w:val="0"/>
        </w:numPr>
        <w:spacing w:before="0" w:beforeLines="0" w:after="0" w:afterLines="0"/>
        <w:ind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本文件适用于镁质装饰材料的运输包装。</w:t>
      </w:r>
    </w:p>
    <w:p w14:paraId="1C8AC400">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rPr>
      </w:pPr>
      <w:r>
        <w:rPr>
          <w:rFonts w:hint="eastAsia" w:ascii="楷体" w:hAnsi="楷体" w:eastAsia="楷体" w:cs="楷体"/>
          <w:b w:val="0"/>
          <w:bCs w:val="0"/>
          <w:sz w:val="28"/>
          <w:szCs w:val="28"/>
          <w:lang w:val="en-US" w:eastAsia="zh-CN"/>
        </w:rPr>
        <w:t xml:space="preserve">2 </w:t>
      </w:r>
      <w:r>
        <w:rPr>
          <w:rFonts w:hint="eastAsia" w:ascii="楷体" w:hAnsi="楷体" w:eastAsia="楷体" w:cs="楷体"/>
          <w:b w:val="0"/>
          <w:bCs w:val="0"/>
          <w:sz w:val="28"/>
          <w:szCs w:val="28"/>
        </w:rPr>
        <w:t>规范性引用文件</w:t>
      </w:r>
      <w:bookmarkEnd w:id="118"/>
      <w:bookmarkEnd w:id="119"/>
    </w:p>
    <w:p w14:paraId="71BD0B0B">
      <w:pPr>
        <w:pStyle w:val="35"/>
        <w:pageBreakBefore w:val="0"/>
        <w:numPr>
          <w:ilvl w:val="0"/>
          <w:numId w:val="0"/>
        </w:numPr>
        <w:kinsoku/>
        <w:wordWrap/>
        <w:overflowPunct/>
        <w:bidi w:val="0"/>
        <w:snapToGrid/>
        <w:spacing w:before="0" w:beforeLines="0" w:after="0" w:afterLines="0" w:line="560" w:lineRule="exact"/>
        <w:ind w:left="0" w:firstLine="560" w:firstLineChars="200"/>
        <w:textAlignment w:val="auto"/>
        <w:outlineLvl w:val="2"/>
        <w:rPr>
          <w:rFonts w:hint="eastAsia" w:ascii="仿宋_GB2312" w:hAnsi="仿宋_GB2312" w:eastAsia="仿宋_GB2312" w:cs="仿宋_GB2312"/>
          <w:b w:val="0"/>
          <w:bCs w:val="0"/>
          <w:kern w:val="2"/>
          <w:sz w:val="28"/>
          <w:szCs w:val="28"/>
          <w:lang w:val="en-US" w:eastAsia="zh-CN" w:bidi="ar-SA"/>
        </w:rPr>
      </w:pPr>
      <w:bookmarkStart w:id="131" w:name="_Toc26956"/>
      <w:bookmarkStart w:id="132" w:name="_Toc196208235"/>
      <w:r>
        <w:rPr>
          <w:rFonts w:hint="eastAsia" w:ascii="仿宋_GB2312" w:hAnsi="仿宋_GB2312" w:eastAsia="仿宋_GB2312" w:cs="仿宋_GB2312"/>
          <w:b w:val="0"/>
          <w:bCs w:val="0"/>
          <w:kern w:val="2"/>
          <w:sz w:val="28"/>
          <w:szCs w:val="28"/>
          <w:lang w:val="en-US" w:eastAsia="zh-CN" w:bidi="ar-SA"/>
        </w:rPr>
        <w:t>本文件在制定过程中主要引用和参考了以下标准：</w:t>
      </w:r>
    </w:p>
    <w:p w14:paraId="1F101B17">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（1）GB/T 191 包装储运图示标志</w:t>
      </w:r>
    </w:p>
    <w:p w14:paraId="3E110BE2">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（2）GB/T 2934 联运通用平托盘 主要尺寸及公差</w:t>
      </w:r>
    </w:p>
    <w:p w14:paraId="31C071C1">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（3）GB/T 4857.3 包装 运输包装件基本试验 第3部分：静载荷堆码试验方法</w:t>
      </w:r>
    </w:p>
    <w:p w14:paraId="7521F249">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（4）GB/T 4857.5 包装 运输包装件 跌落试验方法</w:t>
      </w:r>
    </w:p>
    <w:p w14:paraId="6ABB007D">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（5）GB/T 5048 防潮包装</w:t>
      </w:r>
    </w:p>
    <w:p w14:paraId="7EEBC957">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（6）GB/T 6543 运输包装用单瓦楞纸箱和双瓦楞纸箱</w:t>
      </w:r>
    </w:p>
    <w:p w14:paraId="423A7887">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（7）GB/T 9174 一般货物运输包装通用技术条件</w:t>
      </w:r>
    </w:p>
    <w:p w14:paraId="5D3D3907">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（8）GB/T 12123 包装设计通用要求</w:t>
      </w:r>
    </w:p>
    <w:p w14:paraId="2D64CD4D">
      <w:pPr>
        <w:pStyle w:val="32"/>
        <w:numPr>
          <w:ilvl w:val="0"/>
          <w:numId w:val="0"/>
        </w:numPr>
        <w:autoSpaceDE/>
        <w:autoSpaceDN/>
        <w:spacing w:before="0" w:beforeLines="0" w:after="0" w:afterLines="0"/>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（9）GB/T 19142 出口商品包装通则</w:t>
      </w:r>
    </w:p>
    <w:p w14:paraId="5C138B08">
      <w:pPr>
        <w:pageBreakBefore w:val="0"/>
        <w:kinsoku/>
        <w:wordWrap/>
        <w:overflowPunct/>
        <w:autoSpaceDE w:val="0"/>
        <w:autoSpaceDN w:val="0"/>
        <w:bidi w:val="0"/>
        <w:adjustRightInd w:val="0"/>
        <w:snapToGrid/>
        <w:spacing w:line="560" w:lineRule="exact"/>
        <w:ind w:left="0" w:firstLine="560" w:firstLineChars="200"/>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（10）GB/T 38727 全生物降解物流快递运输与投递用包装塑料膜、袋</w:t>
      </w:r>
    </w:p>
    <w:p w14:paraId="6CC75905">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3 术语和定义</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CFF47E1">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本文件在《包装术语 第1部分：基础</w:t>
      </w:r>
      <w:r>
        <w:rPr>
          <w:rFonts w:hint="eastAsia" w:ascii="仿宋_GB2312" w:hAnsi="仿宋_GB2312" w:eastAsia="仿宋_GB2312" w:cs="仿宋_GB2312"/>
          <w:kern w:val="2"/>
          <w:sz w:val="28"/>
          <w:szCs w:val="28"/>
          <w:lang w:val="en-US" w:eastAsia="zh-CN" w:bidi="ar-SA"/>
        </w:rPr>
        <w:t>》（GB/T 4122.1</w:t>
      </w:r>
      <w:r>
        <w:rPr>
          <w:rFonts w:hint="eastAsia" w:ascii="仿宋_GB2312" w:hAnsi="仿宋_GB2312" w:eastAsia="仿宋_GB2312" w:cs="仿宋_GB2312"/>
          <w:kern w:val="2"/>
          <w:sz w:val="28"/>
          <w:szCs w:val="28"/>
          <w:lang w:val="en-US" w:eastAsia="zh-CN" w:bidi="ar-SA"/>
        </w:rPr>
        <w:t>）基础上，充分考虑适应范围及技术条款，对镁质装饰材料关键术语作相关定义。使标准的使用者更为便捷的获取其含义。</w:t>
      </w:r>
    </w:p>
    <w:p w14:paraId="60027F8A">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4 要求</w:t>
      </w:r>
    </w:p>
    <w:p w14:paraId="76D83B9E">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4.1 设计</w:t>
      </w:r>
    </w:p>
    <w:p w14:paraId="1A194A2E">
      <w:pPr>
        <w:pageBreakBefore w:val="0"/>
        <w:kinsoku/>
        <w:wordWrap/>
        <w:overflowPunct/>
        <w:bidi w:val="0"/>
        <w:snapToGrid/>
        <w:spacing w:line="560" w:lineRule="exact"/>
        <w:ind w:left="0" w:firstLine="560" w:firstLineChars="200"/>
        <w:textAlignment w:val="auto"/>
        <w:rPr>
          <w:rFonts w:hint="default" w:ascii="仿宋_GB2312" w:hAnsi="仿宋_GB2312" w:cs="仿宋_GB2312" w:eastAsiaTheme="minorEastAsia"/>
          <w:kern w:val="2"/>
          <w:sz w:val="28"/>
          <w:szCs w:val="28"/>
          <w:lang w:val="en-US" w:eastAsia="zh-CN" w:bidi="ar-SA"/>
        </w:rPr>
      </w:pPr>
      <w:r>
        <w:rPr>
          <w:rFonts w:hint="eastAsia" w:ascii="仿宋_GB2312" w:hAnsi="仿宋_GB2312" w:eastAsia="仿宋_GB2312" w:cs="仿宋_GB2312"/>
          <w:kern w:val="2"/>
          <w:sz w:val="28"/>
          <w:szCs w:val="28"/>
          <w:lang w:val="en-US" w:eastAsia="zh-CN" w:bidi="ar-SA"/>
        </w:rPr>
        <w:t>根据市场的使用情况和企业的生产情况，镁质装饰材料的包装应符合《包装设计通用要求</w:t>
      </w:r>
      <w:r>
        <w:rPr>
          <w:rFonts w:hint="eastAsia" w:ascii="仿宋_GB2312" w:hAnsi="仿宋_GB2312" w:eastAsia="仿宋_GB2312" w:cs="仿宋_GB2312"/>
          <w:kern w:val="2"/>
          <w:sz w:val="28"/>
          <w:szCs w:val="28"/>
          <w:lang w:val="en-US" w:eastAsia="zh-CN" w:bidi="ar-SA"/>
        </w:rPr>
        <w:t>》（GB/T 12123</w:t>
      </w:r>
      <w:r>
        <w:rPr>
          <w:rFonts w:hint="eastAsia" w:ascii="仿宋_GB2312" w:hAnsi="仿宋_GB2312" w:eastAsia="仿宋_GB2312" w:cs="仿宋_GB2312"/>
          <w:kern w:val="2"/>
          <w:sz w:val="28"/>
          <w:szCs w:val="28"/>
          <w:lang w:val="en-US" w:eastAsia="zh-CN" w:bidi="ar-SA"/>
        </w:rPr>
        <w:t>）、《包装 消费者的需求</w:t>
      </w:r>
      <w:r>
        <w:rPr>
          <w:rFonts w:hint="eastAsia" w:ascii="仿宋_GB2312" w:hAnsi="仿宋_GB2312" w:eastAsia="仿宋_GB2312" w:cs="仿宋_GB2312"/>
          <w:kern w:val="2"/>
          <w:sz w:val="28"/>
          <w:szCs w:val="28"/>
          <w:lang w:val="en-US" w:eastAsia="zh-CN" w:bidi="ar-SA"/>
        </w:rPr>
        <w:t>》（GB/T 17306</w:t>
      </w:r>
      <w:r>
        <w:rPr>
          <w:rFonts w:hint="eastAsia" w:ascii="仿宋_GB2312" w:hAnsi="仿宋_GB2312" w:eastAsia="仿宋_GB2312" w:cs="仿宋_GB2312"/>
          <w:kern w:val="2"/>
          <w:sz w:val="28"/>
          <w:szCs w:val="28"/>
          <w:lang w:val="en-US" w:eastAsia="zh-CN" w:bidi="ar-SA"/>
        </w:rPr>
        <w:t>）、 《联运通用平托盘 主要尺寸及公差》（GB/T 4892）、 《硬质直方体运输包装尺寸系列》（GB/T 2934）的规定要求。</w:t>
      </w:r>
    </w:p>
    <w:p w14:paraId="12D7899C">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4.2 材料</w:t>
      </w:r>
    </w:p>
    <w:p w14:paraId="5155AA33">
      <w:pPr>
        <w:pageBreakBefore w:val="0"/>
        <w:kinsoku/>
        <w:wordWrap/>
        <w:overflowPunct/>
        <w:bidi w:val="0"/>
        <w:snapToGrid/>
        <w:spacing w:line="560" w:lineRule="exact"/>
        <w:ind w:left="0" w:firstLine="560" w:firstLineChars="200"/>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按照生产企业包装使用情况和国家政策对包装限制和功能性要求，根据《完善促进消费体制机制实施方案（2018-2020）》（国办发〔2018〕93号）和《关于加快建立绿色生产和消费法规政策体系的意见》（发改环资〔2020〕379号）提出“鼓励倡导流通环节减量包装和鼓励减少过度包装和一次性用品使用”，《中华人民共和国固体废物污染环境防治法（2020年修订）》和《关于进一步加强塑料污染治理的意见》（发改环资〔2020〕1146号）提出“鼓励和引导减少使用、积极回收塑料袋等一次性塑料制品，推广应用可循环、易回收、可降解的替代产品”，该标准没有对减量包装、过度包装和可降解包装进行约束。包装的相关应用材料应符合《运输包装用单瓦楞纸箱和双瓦楞纸箱</w:t>
      </w:r>
      <w:r>
        <w:rPr>
          <w:rFonts w:hint="eastAsia" w:ascii="仿宋_GB2312" w:hAnsi="仿宋_GB2312" w:eastAsia="仿宋_GB2312" w:cs="仿宋_GB2312"/>
          <w:kern w:val="2"/>
          <w:sz w:val="28"/>
          <w:szCs w:val="28"/>
          <w:lang w:val="en-US" w:eastAsia="zh-CN" w:bidi="ar-SA"/>
        </w:rPr>
        <w:t>》（GB/T 6543</w:t>
      </w:r>
      <w:r>
        <w:rPr>
          <w:rFonts w:hint="eastAsia" w:ascii="仿宋_GB2312" w:hAnsi="仿宋_GB2312" w:eastAsia="仿宋_GB2312" w:cs="仿宋_GB2312"/>
          <w:kern w:val="2"/>
          <w:sz w:val="28"/>
          <w:szCs w:val="28"/>
          <w:lang w:val="en-US" w:eastAsia="zh-CN" w:bidi="ar-SA"/>
        </w:rPr>
        <w:t>）、《普通木箱</w:t>
      </w:r>
      <w:r>
        <w:rPr>
          <w:rFonts w:hint="eastAsia" w:ascii="仿宋_GB2312" w:hAnsi="仿宋_GB2312" w:eastAsia="仿宋_GB2312" w:cs="仿宋_GB2312"/>
          <w:kern w:val="2"/>
          <w:sz w:val="28"/>
          <w:szCs w:val="28"/>
          <w:lang w:val="en-US" w:eastAsia="zh-CN" w:bidi="ar-SA"/>
        </w:rPr>
        <w:t>》（GB/T 12464</w:t>
      </w:r>
      <w:r>
        <w:rPr>
          <w:rFonts w:hint="eastAsia" w:ascii="仿宋_GB2312" w:hAnsi="仿宋_GB2312" w:eastAsia="仿宋_GB2312" w:cs="仿宋_GB2312"/>
          <w:kern w:val="2"/>
          <w:sz w:val="28"/>
          <w:szCs w:val="28"/>
          <w:lang w:val="en-US" w:eastAsia="zh-CN" w:bidi="ar-SA"/>
        </w:rPr>
        <w:t>）、《滑木箱</w:t>
      </w:r>
      <w:r>
        <w:rPr>
          <w:rFonts w:hint="eastAsia" w:ascii="仿宋_GB2312" w:hAnsi="仿宋_GB2312" w:eastAsia="仿宋_GB2312" w:cs="仿宋_GB2312"/>
          <w:kern w:val="2"/>
          <w:sz w:val="28"/>
          <w:szCs w:val="28"/>
          <w:lang w:val="en-US" w:eastAsia="zh-CN" w:bidi="ar-SA"/>
        </w:rPr>
        <w:t>》（GB/T 18925</w:t>
      </w:r>
      <w:r>
        <w:rPr>
          <w:rFonts w:hint="eastAsia" w:ascii="仿宋_GB2312" w:hAnsi="仿宋_GB2312" w:eastAsia="仿宋_GB2312" w:cs="仿宋_GB2312"/>
          <w:kern w:val="2"/>
          <w:sz w:val="28"/>
          <w:szCs w:val="28"/>
          <w:lang w:val="en-US" w:eastAsia="zh-CN" w:bidi="ar-SA"/>
        </w:rPr>
        <w:t>）、《包装容器 竹胶合板箱</w:t>
      </w:r>
      <w:r>
        <w:rPr>
          <w:rFonts w:hint="eastAsia" w:ascii="仿宋_GB2312" w:hAnsi="仿宋_GB2312" w:eastAsia="仿宋_GB2312" w:cs="仿宋_GB2312"/>
          <w:kern w:val="2"/>
          <w:sz w:val="28"/>
          <w:szCs w:val="28"/>
          <w:lang w:val="en-US" w:eastAsia="zh-CN" w:bidi="ar-SA"/>
        </w:rPr>
        <w:t>》（GB/T l3144</w:t>
      </w:r>
      <w:r>
        <w:rPr>
          <w:rFonts w:hint="eastAsia" w:ascii="仿宋_GB2312" w:hAnsi="仿宋_GB2312" w:eastAsia="仿宋_GB2312" w:cs="仿宋_GB2312"/>
          <w:kern w:val="2"/>
          <w:sz w:val="28"/>
          <w:szCs w:val="28"/>
          <w:lang w:val="en-US" w:eastAsia="zh-CN" w:bidi="ar-SA"/>
        </w:rPr>
        <w:t>）、《托盘单元货载</w:t>
      </w:r>
      <w:r>
        <w:rPr>
          <w:rFonts w:hint="eastAsia" w:ascii="仿宋_GB2312" w:hAnsi="仿宋_GB2312" w:eastAsia="仿宋_GB2312" w:cs="仿宋_GB2312"/>
          <w:kern w:val="2"/>
          <w:sz w:val="28"/>
          <w:szCs w:val="28"/>
          <w:lang w:val="en-US" w:eastAsia="zh-CN" w:bidi="ar-SA"/>
        </w:rPr>
        <w:t>》  （GB/T 16470）、《一般货物运输包装通用技术条件》（GB/T 9174）、《防护用内包装材料》（GB/T 12339）、《全生物降解物流快递运输与投递用包装塑料膜、袋》（GB/T 38727）的规定要求。</w:t>
      </w:r>
    </w:p>
    <w:p w14:paraId="286CF895">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4.3 </w:t>
      </w:r>
      <w:bookmarkStart w:id="133" w:name="_Toc196208241"/>
      <w:bookmarkStart w:id="134" w:name="_Toc4022"/>
      <w:bookmarkStart w:id="135" w:name="_Toc26164"/>
      <w:bookmarkStart w:id="136" w:name="_Toc30016"/>
      <w:bookmarkStart w:id="137" w:name="_Toc24862"/>
      <w:bookmarkStart w:id="138" w:name="_Toc8861"/>
      <w:bookmarkStart w:id="139" w:name="_Toc6273"/>
      <w:bookmarkStart w:id="140" w:name="_Toc59059103"/>
      <w:bookmarkStart w:id="141" w:name="_Toc23917"/>
      <w:bookmarkStart w:id="142" w:name="_Toc12754"/>
      <w:bookmarkStart w:id="143" w:name="_Toc2237"/>
      <w:bookmarkStart w:id="144" w:name="_Toc24193"/>
      <w:bookmarkStart w:id="145" w:name="_Toc36132047"/>
      <w:r>
        <w:rPr>
          <w:rFonts w:hint="eastAsia" w:ascii="仿宋_GB2312" w:hAnsi="仿宋_GB2312" w:eastAsia="仿宋_GB2312" w:cs="仿宋_GB2312"/>
          <w:kern w:val="2"/>
          <w:sz w:val="28"/>
          <w:szCs w:val="28"/>
          <w:lang w:val="en-US" w:eastAsia="zh-CN" w:bidi="ar-SA"/>
        </w:rPr>
        <w:t>装箱</w:t>
      </w:r>
    </w:p>
    <w:p w14:paraId="6FF4F41E">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镁质装饰材料装箱时，应使其重心位置居中靠下，重心偏高的应采用卧式包装，重心偏离中心较明显的应采取相应的平衡措施。</w:t>
      </w:r>
    </w:p>
    <w:p w14:paraId="3C8F2961">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镁质装饰材料中易拆卸的零部件，应根据其特点另行包装，做好标识，加以固定，并放置在同一箱内。</w:t>
      </w:r>
    </w:p>
    <w:p w14:paraId="7AE0D2AB">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镁质装饰材料(或内包装箱)应垫稳、卡紧、固定于外包装箱内。</w:t>
      </w:r>
    </w:p>
    <w:p w14:paraId="62B76495">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镁质装饰材料不应与外包装箱箱板直接接触。</w:t>
      </w:r>
    </w:p>
    <w:p w14:paraId="4EB0CE28">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镁质材料在装箱过程中还应符合《防潮包装</w:t>
      </w:r>
      <w:r>
        <w:rPr>
          <w:rFonts w:hint="eastAsia" w:ascii="仿宋_GB2312" w:hAnsi="仿宋_GB2312" w:eastAsia="仿宋_GB2312" w:cs="仿宋_GB2312"/>
          <w:kern w:val="2"/>
          <w:sz w:val="28"/>
          <w:szCs w:val="28"/>
          <w:lang w:val="en-US" w:eastAsia="zh-CN" w:bidi="ar-SA"/>
        </w:rPr>
        <w:t>》（GB/T 5048） 、《防水包装</w:t>
      </w:r>
      <w:r>
        <w:rPr>
          <w:rFonts w:hint="eastAsia" w:ascii="仿宋_GB2312" w:hAnsi="仿宋_GB2312" w:eastAsia="仿宋_GB2312" w:cs="仿宋_GB2312"/>
          <w:kern w:val="2"/>
          <w:sz w:val="28"/>
          <w:szCs w:val="28"/>
          <w:lang w:val="en-US" w:eastAsia="zh-CN" w:bidi="ar-SA"/>
        </w:rPr>
        <w:t>》（GB/T 7350）、《缓冲包装设计</w:t>
      </w:r>
      <w:r>
        <w:rPr>
          <w:rFonts w:hint="eastAsia" w:ascii="仿宋_GB2312" w:hAnsi="仿宋_GB2312" w:eastAsia="仿宋_GB2312" w:cs="仿宋_GB2312"/>
          <w:kern w:val="2"/>
          <w:sz w:val="28"/>
          <w:szCs w:val="28"/>
          <w:lang w:val="en-US" w:eastAsia="zh-CN" w:bidi="ar-SA"/>
        </w:rPr>
        <w:t>》（GB/T 8166）、《出口商品包装通则</w:t>
      </w:r>
      <w:r>
        <w:rPr>
          <w:rFonts w:hint="eastAsia" w:ascii="仿宋_GB2312" w:hAnsi="仿宋_GB2312" w:eastAsia="仿宋_GB2312" w:cs="仿宋_GB2312"/>
          <w:kern w:val="2"/>
          <w:sz w:val="28"/>
          <w:szCs w:val="28"/>
          <w:lang w:val="en-US" w:eastAsia="zh-CN" w:bidi="ar-SA"/>
        </w:rPr>
        <w:t>》（GB/T 19142）的规定要求。</w:t>
      </w:r>
    </w:p>
    <w:p w14:paraId="13D309CB">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4.4 加固</w:t>
      </w:r>
    </w:p>
    <w:p w14:paraId="2531F939">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包装箱宜使用塑料带或钢带捆扎紧固，同时采取相应措施避免其嵌入箱板而损坏包装箱。包装箱棱角处宜加护棱、护角。</w:t>
      </w:r>
    </w:p>
    <w:p w14:paraId="63A71CDE">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4.5 标志</w:t>
      </w:r>
    </w:p>
    <w:p w14:paraId="577BE81B">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镁质装饰材料分多箱包装时，箱号应采用分数表示，分子为箱号，分母为总箱数。</w:t>
      </w:r>
    </w:p>
    <w:p w14:paraId="4EC1ED0A">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包装储运图示标志应符合GB/T 191的要求。</w:t>
      </w:r>
    </w:p>
    <w:p w14:paraId="16D6E7E2">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运输包装的收发货标志应符合GB/T 6388的要求。</w:t>
      </w:r>
    </w:p>
    <w:p w14:paraId="731958E0">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包装条形码应符合GB/T 18127的要求。</w:t>
      </w:r>
    </w:p>
    <w:p w14:paraId="0FEE6DE9">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包装回收标志应符合GB/T 18455的要求。</w:t>
      </w:r>
    </w:p>
    <w:p w14:paraId="4ABDB869">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出口镁质装饰材料包装标志应符合GB/T 18131和GB/T 19142的要求。</w:t>
      </w:r>
    </w:p>
    <w:p w14:paraId="6C8FA149">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 检验</w:t>
      </w:r>
    </w:p>
    <w:p w14:paraId="47050592">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镁质装饰材料包装后应做堆码试验、跌落试验、起吊试验，堆码试验按GB/T 4857.3的规定进行，跌落试验按GB/T 4857.5的规定进行，起吊试验按GB/T 9174的规定进行。</w:t>
      </w:r>
    </w:p>
    <w:p w14:paraId="414DB970">
      <w:pPr>
        <w:pageBreakBefore w:val="0"/>
        <w:kinsoku/>
        <w:wordWrap/>
        <w:overflowPunct/>
        <w:bidi w:val="0"/>
        <w:snapToGrid/>
        <w:spacing w:line="560" w:lineRule="exact"/>
        <w:ind w:left="0" w:firstLine="560" w:firstLineChars="200"/>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其它检验应按合同的规定进行。</w:t>
      </w:r>
    </w:p>
    <w:p w14:paraId="3F657CA7">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四、</w:t>
      </w:r>
      <w:r>
        <w:rPr>
          <w:rFonts w:hint="eastAsia" w:ascii="黑体" w:hAnsi="黑体" w:eastAsia="黑体" w:cs="黑体"/>
          <w:b w:val="0"/>
          <w:bCs w:val="0"/>
          <w:sz w:val="28"/>
          <w:szCs w:val="28"/>
        </w:rPr>
        <w:t>标准中涉及专利情况</w:t>
      </w:r>
      <w:bookmarkEnd w:id="133"/>
      <w:bookmarkEnd w:id="134"/>
      <w:bookmarkEnd w:id="135"/>
      <w:bookmarkEnd w:id="136"/>
      <w:bookmarkEnd w:id="137"/>
      <w:bookmarkEnd w:id="138"/>
      <w:bookmarkEnd w:id="139"/>
      <w:bookmarkEnd w:id="140"/>
      <w:bookmarkEnd w:id="141"/>
      <w:bookmarkEnd w:id="142"/>
      <w:bookmarkEnd w:id="143"/>
      <w:bookmarkEnd w:id="144"/>
    </w:p>
    <w:p w14:paraId="4704A849">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黑体" w:hAnsi="黑体" w:eastAsia="黑体" w:cs="黑体"/>
          <w:b w:val="0"/>
          <w:bCs w:val="0"/>
          <w:sz w:val="28"/>
          <w:szCs w:val="28"/>
        </w:rPr>
      </w:pPr>
      <w:r>
        <w:rPr>
          <w:rFonts w:hint="eastAsia" w:ascii="仿宋_GB2312" w:hAnsi="仿宋_GB2312" w:eastAsia="仿宋_GB2312" w:cs="仿宋_GB2312"/>
          <w:kern w:val="2"/>
          <w:sz w:val="28"/>
          <w:szCs w:val="28"/>
          <w:lang w:val="en-US" w:eastAsia="zh-CN" w:bidi="ar-SA"/>
        </w:rPr>
        <w:t>本文件不涉及专利。</w:t>
      </w:r>
      <w:bookmarkStart w:id="146" w:name="_Toc27412"/>
      <w:bookmarkStart w:id="147" w:name="_Toc23318"/>
      <w:bookmarkStart w:id="148" w:name="_Toc28242"/>
      <w:bookmarkStart w:id="149" w:name="_Toc31560"/>
      <w:bookmarkStart w:id="150" w:name="_Toc59059104"/>
      <w:bookmarkStart w:id="151" w:name="_Toc13849"/>
      <w:bookmarkStart w:id="152" w:name="_Toc196208242"/>
      <w:bookmarkStart w:id="153" w:name="_Toc20263"/>
      <w:bookmarkStart w:id="154" w:name="_Toc176"/>
      <w:bookmarkStart w:id="155" w:name="_Toc14347"/>
      <w:bookmarkStart w:id="156" w:name="_Toc31978"/>
      <w:bookmarkStart w:id="157" w:name="_Toc6818"/>
    </w:p>
    <w:p w14:paraId="18F52B11">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五、</w:t>
      </w:r>
      <w:r>
        <w:rPr>
          <w:rFonts w:hint="eastAsia" w:ascii="黑体" w:hAnsi="黑体" w:eastAsia="黑体" w:cs="黑体"/>
          <w:b w:val="0"/>
          <w:bCs w:val="0"/>
          <w:sz w:val="28"/>
          <w:szCs w:val="28"/>
        </w:rPr>
        <w:t>标准实施后预期的经济和社会效益</w:t>
      </w:r>
      <w:bookmarkEnd w:id="77"/>
      <w:bookmarkEnd w:id="78"/>
      <w:bookmarkEnd w:id="79"/>
      <w:bookmarkEnd w:id="145"/>
      <w:bookmarkEnd w:id="146"/>
      <w:bookmarkEnd w:id="147"/>
      <w:bookmarkEnd w:id="148"/>
      <w:bookmarkEnd w:id="149"/>
      <w:bookmarkEnd w:id="150"/>
      <w:bookmarkEnd w:id="151"/>
      <w:bookmarkEnd w:id="152"/>
      <w:bookmarkEnd w:id="153"/>
      <w:bookmarkEnd w:id="154"/>
      <w:bookmarkEnd w:id="155"/>
      <w:bookmarkEnd w:id="156"/>
      <w:bookmarkEnd w:id="157"/>
    </w:p>
    <w:p w14:paraId="5F7694DD">
      <w:pPr>
        <w:pageBreakBefore w:val="0"/>
        <w:kinsoku/>
        <w:wordWrap/>
        <w:overflowPunct/>
        <w:autoSpaceDE w:val="0"/>
        <w:autoSpaceDN w:val="0"/>
        <w:bidi w:val="0"/>
        <w:adjustRightInd w:val="0"/>
        <w:snapToGrid/>
        <w:spacing w:line="240" w:lineRule="auto"/>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标准的制定将为镁质胶凝材料生产过程中指导企业进行包装提供指导和依据，为企业出厂检验、质量验收提供依据，规范和引导市场，为管理部门提供依据，最终推动镁质胶凝材料包装和流通健康、有序、快速发展。</w:t>
      </w:r>
      <w:bookmarkStart w:id="158" w:name="_Toc21778"/>
      <w:bookmarkStart w:id="159" w:name="_Toc3670"/>
      <w:bookmarkStart w:id="160" w:name="_Toc12983"/>
      <w:bookmarkStart w:id="161" w:name="_Toc4223"/>
      <w:bookmarkStart w:id="162" w:name="_Toc6883"/>
      <w:bookmarkStart w:id="163" w:name="_Toc196208243"/>
      <w:bookmarkStart w:id="164" w:name="_Toc12427"/>
      <w:bookmarkStart w:id="165" w:name="_Toc25514"/>
      <w:bookmarkStart w:id="166" w:name="_Toc24876"/>
      <w:bookmarkStart w:id="167" w:name="_Toc28729"/>
      <w:bookmarkStart w:id="168" w:name="_Toc1139492"/>
      <w:bookmarkStart w:id="169" w:name="_Toc17432"/>
      <w:bookmarkStart w:id="170" w:name="_Toc59059105"/>
      <w:bookmarkStart w:id="171" w:name="_Toc529605006"/>
    </w:p>
    <w:p w14:paraId="2D1373A5">
      <w:pPr>
        <w:keepNext w:val="0"/>
        <w:keepLines w:val="0"/>
        <w:pageBreakBefore w:val="0"/>
        <w:widowControl w:val="0"/>
        <w:kinsoku/>
        <w:wordWrap/>
        <w:overflowPunct/>
        <w:topLinePunct w:val="0"/>
        <w:autoSpaceDE w:val="0"/>
        <w:autoSpaceDN w:val="0"/>
        <w:bidi w:val="0"/>
        <w:adjustRightInd w:val="0"/>
        <w:snapToGrid/>
        <w:spacing w:line="400" w:lineRule="exact"/>
        <w:ind w:left="0"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六、</w:t>
      </w:r>
      <w:r>
        <w:rPr>
          <w:rFonts w:hint="eastAsia" w:ascii="黑体" w:hAnsi="黑体" w:eastAsia="黑体" w:cs="黑体"/>
          <w:b w:val="0"/>
          <w:bCs w:val="0"/>
          <w:sz w:val="28"/>
          <w:szCs w:val="28"/>
        </w:rPr>
        <w:t>采用国际标准和国外先进标准情况，与国际、国外同类标准水平的对比情况，国内外关键指标对比分析或与测试的国外样品、样机的相关数据对比情况</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E485BFA">
      <w:pPr>
        <w:pageBreakBefore w:val="0"/>
        <w:kinsoku/>
        <w:wordWrap/>
        <w:overflowPunct/>
        <w:autoSpaceDE w:val="0"/>
        <w:autoSpaceDN w:val="0"/>
        <w:bidi w:val="0"/>
        <w:adjustRightInd w:val="0"/>
        <w:snapToGrid/>
        <w:spacing w:line="240" w:lineRule="auto"/>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未采用国际标准和国外先进标准。</w:t>
      </w:r>
    </w:p>
    <w:p w14:paraId="18FD7A43">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172" w:name="_Toc13457"/>
      <w:bookmarkStart w:id="173" w:name="_Toc209"/>
      <w:bookmarkStart w:id="174" w:name="_Toc28134"/>
      <w:bookmarkStart w:id="175" w:name="_Toc7184"/>
      <w:bookmarkStart w:id="176" w:name="_Toc59059106"/>
      <w:bookmarkStart w:id="177" w:name="_Toc529605007"/>
      <w:bookmarkStart w:id="178" w:name="_Toc1139493"/>
      <w:bookmarkStart w:id="179" w:name="_Toc24771"/>
      <w:bookmarkStart w:id="180" w:name="_Toc17514"/>
      <w:bookmarkStart w:id="181" w:name="_Toc196208244"/>
      <w:bookmarkStart w:id="182" w:name="_Toc29125"/>
      <w:bookmarkStart w:id="183" w:name="_Toc29663"/>
      <w:bookmarkStart w:id="184" w:name="_Toc15410"/>
      <w:bookmarkStart w:id="185" w:name="_Toc24094"/>
      <w:r>
        <w:rPr>
          <w:rFonts w:hint="eastAsia" w:ascii="黑体" w:hAnsi="黑体" w:eastAsia="黑体" w:cs="黑体"/>
          <w:b w:val="0"/>
          <w:bCs w:val="0"/>
          <w:sz w:val="28"/>
          <w:szCs w:val="28"/>
          <w:lang w:val="en-US" w:eastAsia="zh-CN"/>
        </w:rPr>
        <w:t>七、</w:t>
      </w:r>
      <w:r>
        <w:rPr>
          <w:rFonts w:hint="eastAsia" w:ascii="黑体" w:hAnsi="黑体" w:eastAsia="黑体" w:cs="黑体"/>
          <w:b w:val="0"/>
          <w:bCs w:val="0"/>
          <w:sz w:val="28"/>
          <w:szCs w:val="28"/>
        </w:rPr>
        <w:t>与现行相关法律、法规、规章及相关标准，特别是强制性标准的协调性</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F481A28">
      <w:pPr>
        <w:pageBreakBefore w:val="0"/>
        <w:kinsoku/>
        <w:wordWrap/>
        <w:overflowPunct/>
        <w:autoSpaceDE w:val="0"/>
        <w:autoSpaceDN w:val="0"/>
        <w:bidi w:val="0"/>
        <w:adjustRightInd w:val="0"/>
        <w:snapToGrid/>
        <w:spacing w:line="240" w:lineRule="auto"/>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本文件与现行相关法律、法规、规章及相关标准协调一致。</w:t>
      </w:r>
    </w:p>
    <w:p w14:paraId="1C2044C1">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186" w:name="_Toc1486"/>
      <w:bookmarkStart w:id="187" w:name="_Toc10129"/>
      <w:bookmarkStart w:id="188" w:name="_Toc28313"/>
      <w:bookmarkStart w:id="189" w:name="_Toc6860"/>
      <w:bookmarkStart w:id="190" w:name="_Toc32174"/>
      <w:bookmarkStart w:id="191" w:name="_Toc18942"/>
      <w:bookmarkStart w:id="192" w:name="_Toc196208245"/>
      <w:bookmarkStart w:id="193" w:name="_Toc59059107"/>
      <w:bookmarkStart w:id="194" w:name="_Toc529605008"/>
      <w:bookmarkStart w:id="195" w:name="_Toc20550"/>
      <w:bookmarkStart w:id="196" w:name="_Toc1139494"/>
      <w:bookmarkStart w:id="197" w:name="_Toc30656"/>
      <w:bookmarkStart w:id="198" w:name="_Toc29201"/>
      <w:bookmarkStart w:id="199" w:name="_Toc24833"/>
      <w:r>
        <w:rPr>
          <w:rFonts w:hint="eastAsia" w:ascii="黑体" w:hAnsi="黑体" w:eastAsia="黑体" w:cs="黑体"/>
          <w:b w:val="0"/>
          <w:bCs w:val="0"/>
          <w:sz w:val="28"/>
          <w:szCs w:val="28"/>
          <w:lang w:val="en-US" w:eastAsia="zh-CN"/>
        </w:rPr>
        <w:t>八、</w:t>
      </w:r>
      <w:r>
        <w:rPr>
          <w:rFonts w:hint="eastAsia" w:ascii="黑体" w:hAnsi="黑体" w:eastAsia="黑体" w:cs="黑体"/>
          <w:b w:val="0"/>
          <w:bCs w:val="0"/>
          <w:sz w:val="28"/>
          <w:szCs w:val="28"/>
        </w:rPr>
        <w:t>重大分歧意见的处理经过和依据</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CFA59E3">
      <w:pPr>
        <w:pageBreakBefore w:val="0"/>
        <w:kinsoku/>
        <w:wordWrap/>
        <w:overflowPunct/>
        <w:autoSpaceDE w:val="0"/>
        <w:autoSpaceDN w:val="0"/>
        <w:bidi w:val="0"/>
        <w:adjustRightInd w:val="0"/>
        <w:snapToGrid/>
        <w:spacing w:line="240" w:lineRule="auto"/>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暂无重大意见分歧。</w:t>
      </w:r>
    </w:p>
    <w:p w14:paraId="4B570EAA">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200" w:name="_Toc529605009"/>
      <w:bookmarkStart w:id="201" w:name="_Toc196208246"/>
      <w:bookmarkStart w:id="202" w:name="_Toc59059108"/>
      <w:bookmarkStart w:id="203" w:name="_Toc4615"/>
      <w:bookmarkStart w:id="204" w:name="_Toc15340"/>
      <w:bookmarkStart w:id="205" w:name="_Toc29819"/>
      <w:bookmarkStart w:id="206" w:name="_Toc3833"/>
      <w:bookmarkStart w:id="207" w:name="_Toc9350"/>
      <w:bookmarkStart w:id="208" w:name="_Toc26263"/>
      <w:bookmarkStart w:id="209" w:name="_Toc28404"/>
      <w:bookmarkStart w:id="210" w:name="_Toc32301"/>
      <w:bookmarkStart w:id="211" w:name="_Toc11003"/>
      <w:bookmarkStart w:id="212" w:name="_Toc1139495"/>
      <w:bookmarkStart w:id="213" w:name="_Toc15732"/>
      <w:r>
        <w:rPr>
          <w:rFonts w:hint="eastAsia" w:ascii="黑体" w:hAnsi="黑体" w:eastAsia="黑体" w:cs="黑体"/>
          <w:b w:val="0"/>
          <w:bCs w:val="0"/>
          <w:sz w:val="28"/>
          <w:szCs w:val="28"/>
          <w:lang w:val="en-US" w:eastAsia="zh-CN"/>
        </w:rPr>
        <w:t>九、</w:t>
      </w:r>
      <w:r>
        <w:rPr>
          <w:rFonts w:hint="eastAsia" w:ascii="黑体" w:hAnsi="黑体" w:eastAsia="黑体" w:cs="黑体"/>
          <w:b w:val="0"/>
          <w:bCs w:val="0"/>
          <w:sz w:val="28"/>
          <w:szCs w:val="28"/>
        </w:rPr>
        <w:t>标准性质的建议说明</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5DA683F">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本文件首次制定，</w:t>
      </w:r>
      <w:r>
        <w:rPr>
          <w:rFonts w:hint="eastAsia" w:ascii="仿宋_GB2312" w:hAnsi="仿宋_GB2312" w:eastAsia="仿宋_GB2312" w:cs="仿宋_GB2312"/>
          <w:sz w:val="28"/>
          <w:szCs w:val="28"/>
        </w:rPr>
        <w:t>建议本文件作为行业推荐性标准发布。</w:t>
      </w:r>
    </w:p>
    <w:p w14:paraId="06DE2696">
      <w:pPr>
        <w:pStyle w:val="35"/>
        <w:keepNext/>
        <w:keepLines/>
        <w:pageBreakBefore w:val="0"/>
        <w:widowControl w:val="0"/>
        <w:numPr>
          <w:ilvl w:val="0"/>
          <w:numId w:val="0"/>
        </w:numPr>
        <w:tabs>
          <w:tab w:val="left" w:pos="420"/>
        </w:tabs>
        <w:kinsoku/>
        <w:wordWrap/>
        <w:overflowPunct/>
        <w:topLinePunct w:val="0"/>
        <w:autoSpaceDE/>
        <w:autoSpaceDN/>
        <w:bidi w:val="0"/>
        <w:adjustRightInd/>
        <w:snapToGrid/>
        <w:spacing w:before="0" w:beforeLines="0" w:after="0" w:afterLines="0" w:line="400" w:lineRule="exact"/>
        <w:ind w:firstLine="560" w:firstLineChars="200"/>
        <w:textAlignment w:val="auto"/>
        <w:rPr>
          <w:rFonts w:hint="eastAsia" w:ascii="黑体" w:hAnsi="黑体" w:eastAsia="黑体" w:cs="黑体"/>
          <w:b w:val="0"/>
          <w:bCs w:val="0"/>
          <w:sz w:val="28"/>
          <w:szCs w:val="28"/>
        </w:rPr>
      </w:pPr>
      <w:bookmarkStart w:id="214" w:name="_Toc31044"/>
      <w:bookmarkStart w:id="215" w:name="_Toc29623"/>
      <w:bookmarkStart w:id="216" w:name="_Toc9791"/>
      <w:bookmarkStart w:id="217" w:name="_Toc27864"/>
      <w:bookmarkStart w:id="218" w:name="_Toc196208247"/>
      <w:bookmarkStart w:id="219" w:name="_Toc32499"/>
      <w:bookmarkStart w:id="220" w:name="_Toc529605010"/>
      <w:bookmarkStart w:id="221" w:name="_Toc2777"/>
      <w:bookmarkStart w:id="222" w:name="_Toc27299"/>
      <w:bookmarkStart w:id="223" w:name="_Toc26964"/>
      <w:bookmarkStart w:id="224" w:name="_Toc1139496"/>
      <w:bookmarkStart w:id="225" w:name="_Toc59059109"/>
      <w:bookmarkStart w:id="226" w:name="_Toc1558"/>
      <w:bookmarkStart w:id="227" w:name="_Toc3649"/>
      <w:r>
        <w:rPr>
          <w:rFonts w:hint="eastAsia" w:ascii="黑体" w:hAnsi="黑体" w:eastAsia="黑体" w:cs="黑体"/>
          <w:b w:val="0"/>
          <w:bCs w:val="0"/>
          <w:sz w:val="28"/>
          <w:szCs w:val="28"/>
          <w:lang w:val="en-US" w:eastAsia="zh-CN"/>
        </w:rPr>
        <w:t>十、</w:t>
      </w:r>
      <w:r>
        <w:rPr>
          <w:rFonts w:hint="eastAsia" w:ascii="黑体" w:hAnsi="黑体" w:eastAsia="黑体" w:cs="黑体"/>
          <w:b w:val="0"/>
          <w:bCs w:val="0"/>
          <w:sz w:val="28"/>
          <w:szCs w:val="28"/>
        </w:rPr>
        <w:t>贯彻标准的要求和措施建议（包括组织措施、技术措施、过度办法、实施日期等）</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37AF8F9">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建议本文件发布后面向系统供应商、镁制品生产企业等标准使用者开展多场次、多层次的线上和线下宣贯和培训，使标准的使用者及时了解相关动态和要求等。落地实施后也要注意实施情况的反馈，逐步完善标准，确保其实施效果。</w:t>
      </w:r>
    </w:p>
    <w:p w14:paraId="6FAE2FF0">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228" w:name="_Toc529605011"/>
      <w:bookmarkStart w:id="229" w:name="_Toc13323"/>
      <w:bookmarkStart w:id="230" w:name="_Toc12699"/>
      <w:bookmarkStart w:id="231" w:name="_Toc59059110"/>
      <w:bookmarkStart w:id="232" w:name="_Toc4994"/>
      <w:bookmarkStart w:id="233" w:name="_Toc19030"/>
      <w:bookmarkStart w:id="234" w:name="_Toc4074"/>
      <w:bookmarkStart w:id="235" w:name="_Toc31455"/>
      <w:bookmarkStart w:id="236" w:name="_Toc11324"/>
      <w:bookmarkStart w:id="237" w:name="_Toc196208248"/>
      <w:bookmarkStart w:id="238" w:name="_Toc4267"/>
      <w:bookmarkStart w:id="239" w:name="_Toc29951"/>
      <w:bookmarkStart w:id="240" w:name="_Toc1139497"/>
      <w:bookmarkStart w:id="241" w:name="_Toc482"/>
      <w:r>
        <w:rPr>
          <w:rFonts w:hint="eastAsia" w:ascii="黑体" w:hAnsi="黑体" w:eastAsia="黑体" w:cs="黑体"/>
          <w:b w:val="0"/>
          <w:bCs w:val="0"/>
          <w:sz w:val="28"/>
          <w:szCs w:val="28"/>
          <w:lang w:val="en-US" w:eastAsia="zh-CN"/>
        </w:rPr>
        <w:t>十一、</w:t>
      </w:r>
      <w:r>
        <w:rPr>
          <w:rFonts w:hint="eastAsia" w:ascii="黑体" w:hAnsi="黑体" w:eastAsia="黑体" w:cs="黑体"/>
          <w:b w:val="0"/>
          <w:bCs w:val="0"/>
          <w:sz w:val="28"/>
          <w:szCs w:val="28"/>
        </w:rPr>
        <w:t>废止现行相关标准的建议</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871EEF8">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无。</w:t>
      </w:r>
    </w:p>
    <w:p w14:paraId="15E95F69">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242" w:name="_Toc21435"/>
      <w:bookmarkStart w:id="243" w:name="_Toc16876"/>
      <w:bookmarkStart w:id="244" w:name="_Toc529605012"/>
      <w:bookmarkStart w:id="245" w:name="_Toc59059111"/>
      <w:bookmarkStart w:id="246" w:name="_Toc13362"/>
      <w:bookmarkStart w:id="247" w:name="_Toc4500"/>
      <w:bookmarkStart w:id="248" w:name="_Toc9213"/>
      <w:bookmarkStart w:id="249" w:name="_Toc26395"/>
      <w:bookmarkStart w:id="250" w:name="_Toc21500"/>
      <w:bookmarkStart w:id="251" w:name="_Toc8421"/>
      <w:bookmarkStart w:id="252" w:name="_Toc1139498"/>
      <w:bookmarkStart w:id="253" w:name="_Toc196208249"/>
      <w:bookmarkStart w:id="254" w:name="_Toc28062"/>
      <w:bookmarkStart w:id="255" w:name="_Toc20669"/>
      <w:r>
        <w:rPr>
          <w:rFonts w:hint="eastAsia" w:ascii="黑体" w:hAnsi="黑体" w:eastAsia="黑体" w:cs="黑体"/>
          <w:b w:val="0"/>
          <w:bCs w:val="0"/>
          <w:sz w:val="28"/>
          <w:szCs w:val="28"/>
          <w:lang w:val="en-US" w:eastAsia="zh-CN"/>
        </w:rPr>
        <w:t>十二、</w:t>
      </w:r>
      <w:r>
        <w:rPr>
          <w:rFonts w:hint="eastAsia" w:ascii="黑体" w:hAnsi="黑体" w:eastAsia="黑体" w:cs="黑体"/>
          <w:b w:val="0"/>
          <w:bCs w:val="0"/>
          <w:sz w:val="28"/>
          <w:szCs w:val="28"/>
        </w:rPr>
        <w:t>其它应予说明的事项</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B25C42D">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无。</w:t>
      </w:r>
    </w:p>
    <w:sectPr>
      <w:footerReference r:id="rId7" w:type="default"/>
      <w:pgSz w:w="11906" w:h="16838"/>
      <w:pgMar w:top="1440" w:right="1800" w:bottom="1440" w:left="1800" w:header="737" w:footer="737"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Songti SC Regular">
    <w:altName w:val="SimSun-ExtB"/>
    <w:panose1 w:val="00000000000000000000"/>
    <w:charset w:val="50"/>
    <w:family w:val="auto"/>
    <w:pitch w:val="default"/>
    <w:sig w:usb0="00000000" w:usb1="00000000" w:usb2="00000010" w:usb3="00000000" w:csb0="0004009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AC915">
    <w:pPr>
      <w:pStyle w:val="36"/>
      <w:jc w:val="center"/>
      <w:rPr>
        <w:rFonts w:ascii="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320189"/>
    </w:sdtPr>
    <w:sdtContent>
      <w:p w14:paraId="19D6955F">
        <w:pPr>
          <w:pStyle w:val="15"/>
          <w:jc w:val="center"/>
        </w:pPr>
        <w:r>
          <w:t>-</w:t>
        </w:r>
        <w:r>
          <w:rPr>
            <w:w w:val="50"/>
          </w:rPr>
          <w:t xml:space="preserve"> </w:t>
        </w:r>
        <w:r>
          <w:fldChar w:fldCharType="begin"/>
        </w:r>
        <w:r>
          <w:instrText xml:space="preserve">PAGE   \* MERGEFORMAT</w:instrText>
        </w:r>
        <w:r>
          <w:fldChar w:fldCharType="separate"/>
        </w:r>
        <w:r>
          <w:rPr>
            <w:lang w:val="zh-CN"/>
          </w:rPr>
          <w:t>1</w:t>
        </w:r>
        <w:r>
          <w:fldChar w:fldCharType="end"/>
        </w:r>
        <w:r>
          <w:rPr>
            <w:w w:val="50"/>
          </w:rPr>
          <w:t xml:space="preserve"> </w:t>
        </w:r>
        <w: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900C6">
    <w:pPr>
      <w:pStyle w:val="36"/>
      <w:jc w:val="center"/>
      <w:rPr>
        <w:rFonts w:ascii="Times New Roman"/>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4CB413">
                          <w:pPr>
                            <w:pStyle w:val="36"/>
                            <w:jc w:val="center"/>
                          </w:pPr>
                          <w:r>
                            <w:rPr>
                              <w:rFonts w:ascii="Times New Roman"/>
                              <w:sz w:val="21"/>
                              <w:szCs w:val="21"/>
                            </w:rPr>
                            <w:fldChar w:fldCharType="begin"/>
                          </w:r>
                          <w:r>
                            <w:rPr>
                              <w:rFonts w:ascii="Times New Roman"/>
                              <w:sz w:val="21"/>
                              <w:szCs w:val="21"/>
                            </w:rPr>
                            <w:instrText xml:space="preserve"> PAGE  \* MERGEFORMAT </w:instrText>
                          </w:r>
                          <w:r>
                            <w:rPr>
                              <w:rFonts w:ascii="Times New Roman"/>
                              <w:sz w:val="21"/>
                              <w:szCs w:val="21"/>
                            </w:rPr>
                            <w:fldChar w:fldCharType="separate"/>
                          </w:r>
                          <w:r>
                            <w:rPr>
                              <w:rFonts w:ascii="Times New Roman"/>
                              <w:sz w:val="21"/>
                              <w:szCs w:val="21"/>
                            </w:rPr>
                            <w:t>4</w:t>
                          </w:r>
                          <w:r>
                            <w:rPr>
                              <w:rFonts w:ascii="Times New Roman"/>
                              <w:sz w:val="21"/>
                              <w:szCs w:val="21"/>
                            </w:rPr>
                            <w:fldChar w:fldCharType="end"/>
                          </w:r>
                        </w:p>
                      </w:txbxContent>
                    </wps:txbx>
                    <wps:bodyPr wrap="none" lIns="0" tIns="0" rIns="0" bIns="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WNB5FMQBAACQAwAADgAAAAAAAAABACAAAAAeAQAAZHJzL2Uyb0RvYy54bWxQ&#10;SwUGAAAAAAYABgBZAQAAVAUAAAAA&#10;">
              <v:fill on="f" focussize="0,0"/>
              <v:stroke on="f"/>
              <v:imagedata o:title=""/>
              <o:lock v:ext="edit" aspectratio="f"/>
              <v:textbox inset="0mm,0mm,0mm,0mm" style="mso-fit-shape-to-text:t;">
                <w:txbxContent>
                  <w:p w14:paraId="794CB413">
                    <w:pPr>
                      <w:pStyle w:val="36"/>
                      <w:jc w:val="center"/>
                    </w:pPr>
                    <w:r>
                      <w:rPr>
                        <w:rFonts w:ascii="Times New Roman"/>
                        <w:sz w:val="21"/>
                        <w:szCs w:val="21"/>
                      </w:rPr>
                      <w:fldChar w:fldCharType="begin"/>
                    </w:r>
                    <w:r>
                      <w:rPr>
                        <w:rFonts w:ascii="Times New Roman"/>
                        <w:sz w:val="21"/>
                        <w:szCs w:val="21"/>
                      </w:rPr>
                      <w:instrText xml:space="preserve"> PAGE  \* MERGEFORMAT </w:instrText>
                    </w:r>
                    <w:r>
                      <w:rPr>
                        <w:rFonts w:ascii="Times New Roman"/>
                        <w:sz w:val="21"/>
                        <w:szCs w:val="21"/>
                      </w:rPr>
                      <w:fldChar w:fldCharType="separate"/>
                    </w:r>
                    <w:r>
                      <w:rPr>
                        <w:rFonts w:ascii="Times New Roman"/>
                        <w:sz w:val="21"/>
                        <w:szCs w:val="21"/>
                      </w:rPr>
                      <w:t>4</w:t>
                    </w:r>
                    <w:r>
                      <w:rPr>
                        <w:rFonts w:ascii="Times New Roman"/>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3D8AC">
    <w:pPr>
      <w:pStyle w:val="1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65583">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42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4445D91"/>
    <w:multiLevelType w:val="multilevel"/>
    <w:tmpl w:val="54445D91"/>
    <w:lvl w:ilvl="0" w:tentative="0">
      <w:start w:val="1"/>
      <w:numFmt w:val="chineseCounting"/>
      <w:suff w:val="nothing"/>
      <w:lvlText w:val="%1、"/>
      <w:lvlJc w:val="left"/>
      <w:pPr>
        <w:tabs>
          <w:tab w:val="left" w:pos="0"/>
        </w:tabs>
        <w:ind w:left="425" w:hanging="425"/>
      </w:pPr>
      <w:rPr>
        <w:rFonts w:hint="eastAsia"/>
      </w:rPr>
    </w:lvl>
    <w:lvl w:ilvl="1" w:tentative="0">
      <w:start w:val="1"/>
      <w:numFmt w:val="decimal"/>
      <w:isLgl/>
      <w:lvlText w:val="%1.%2."/>
      <w:lvlJc w:val="left"/>
      <w:pPr>
        <w:tabs>
          <w:tab w:val="left" w:pos="420"/>
        </w:tabs>
        <w:ind w:left="567" w:hanging="567"/>
      </w:pPr>
      <w:rPr>
        <w:rFonts w:hint="eastAsia"/>
      </w:rPr>
    </w:lvl>
    <w:lvl w:ilvl="2" w:tentative="0">
      <w:start w:val="1"/>
      <w:numFmt w:val="decimal"/>
      <w:isLgl/>
      <w:lvlText w:val="%1.%2.%3."/>
      <w:lvlJc w:val="left"/>
      <w:pPr>
        <w:ind w:left="709" w:hanging="709"/>
      </w:pPr>
      <w:rPr>
        <w:rFonts w:hint="eastAsia"/>
      </w:rPr>
    </w:lvl>
    <w:lvl w:ilvl="3" w:tentative="0">
      <w:start w:val="1"/>
      <w:numFmt w:val="decimal"/>
      <w:isLgl/>
      <w:lvlText w:val="%1.%2.%3.%4."/>
      <w:lvlJc w:val="left"/>
      <w:pPr>
        <w:ind w:left="850" w:hanging="850"/>
      </w:pPr>
      <w:rPr>
        <w:rFonts w:hint="eastAsia"/>
      </w:rPr>
    </w:lvl>
    <w:lvl w:ilvl="4" w:tentative="0">
      <w:start w:val="1"/>
      <w:numFmt w:val="decimal"/>
      <w:isLgl/>
      <w:lvlText w:val="%1.%2.%3.%4.%5."/>
      <w:lvlJc w:val="left"/>
      <w:pPr>
        <w:ind w:left="991" w:hanging="991"/>
      </w:pPr>
      <w:rPr>
        <w:rFonts w:hint="eastAsia"/>
      </w:rPr>
    </w:lvl>
    <w:lvl w:ilvl="5" w:tentative="0">
      <w:start w:val="1"/>
      <w:numFmt w:val="decimal"/>
      <w:isLgl/>
      <w:lvlText w:val="%1.%2.%3.%4.%5.%6."/>
      <w:lvlJc w:val="left"/>
      <w:pPr>
        <w:ind w:left="1134" w:hanging="1134"/>
      </w:pPr>
      <w:rPr>
        <w:rFonts w:hint="eastAsia"/>
      </w:rPr>
    </w:lvl>
    <w:lvl w:ilvl="6" w:tentative="0">
      <w:start w:val="1"/>
      <w:numFmt w:val="decimal"/>
      <w:isLgl/>
      <w:lvlText w:val="%1.%2.%3.%4.%5.%6.%7."/>
      <w:lvlJc w:val="left"/>
      <w:pPr>
        <w:ind w:left="1275" w:hanging="1275"/>
      </w:pPr>
      <w:rPr>
        <w:rFonts w:hint="eastAsia"/>
      </w:rPr>
    </w:lvl>
    <w:lvl w:ilvl="7" w:tentative="0">
      <w:start w:val="1"/>
      <w:numFmt w:val="decimal"/>
      <w:isLgl/>
      <w:lvlText w:val="%1.%2.%3.%4.%5.%6.%7.%8."/>
      <w:lvlJc w:val="left"/>
      <w:pPr>
        <w:ind w:left="1418" w:hanging="1418"/>
      </w:pPr>
      <w:rPr>
        <w:rFonts w:hint="eastAsia"/>
      </w:rPr>
    </w:lvl>
    <w:lvl w:ilvl="8" w:tentative="0">
      <w:start w:val="1"/>
      <w:numFmt w:val="decimal"/>
      <w:isLgl/>
      <w:lvlText w:val="%1.%2.%3.%4.%5.%6.%7.%8.%9."/>
      <w:lvlJc w:val="left"/>
      <w:pPr>
        <w:ind w:left="1558" w:hanging="1558"/>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1YTQxNzg3MmVhMWYzNTI0NmRjODFmMDE2MGM3NTAifQ=="/>
  </w:docVars>
  <w:rsids>
    <w:rsidRoot w:val="009C30D0"/>
    <w:rsid w:val="000001EB"/>
    <w:rsid w:val="000011B9"/>
    <w:rsid w:val="00006873"/>
    <w:rsid w:val="00010727"/>
    <w:rsid w:val="00017685"/>
    <w:rsid w:val="00020FF4"/>
    <w:rsid w:val="00021776"/>
    <w:rsid w:val="00041BA3"/>
    <w:rsid w:val="00042E85"/>
    <w:rsid w:val="00046F34"/>
    <w:rsid w:val="00052AB3"/>
    <w:rsid w:val="0005319F"/>
    <w:rsid w:val="000534B2"/>
    <w:rsid w:val="00053E90"/>
    <w:rsid w:val="00054751"/>
    <w:rsid w:val="000575D3"/>
    <w:rsid w:val="00060C52"/>
    <w:rsid w:val="000620E9"/>
    <w:rsid w:val="00062543"/>
    <w:rsid w:val="00065023"/>
    <w:rsid w:val="00071818"/>
    <w:rsid w:val="00073121"/>
    <w:rsid w:val="000753E9"/>
    <w:rsid w:val="000778AC"/>
    <w:rsid w:val="00081032"/>
    <w:rsid w:val="0008392D"/>
    <w:rsid w:val="00083C87"/>
    <w:rsid w:val="000911CC"/>
    <w:rsid w:val="000B2142"/>
    <w:rsid w:val="000C6080"/>
    <w:rsid w:val="000C74CA"/>
    <w:rsid w:val="000E6C54"/>
    <w:rsid w:val="001013E1"/>
    <w:rsid w:val="00102A33"/>
    <w:rsid w:val="00102D8F"/>
    <w:rsid w:val="00104E4C"/>
    <w:rsid w:val="00105E72"/>
    <w:rsid w:val="00106511"/>
    <w:rsid w:val="00112A5F"/>
    <w:rsid w:val="00113A15"/>
    <w:rsid w:val="001146E4"/>
    <w:rsid w:val="00114E12"/>
    <w:rsid w:val="00116BD8"/>
    <w:rsid w:val="00122E58"/>
    <w:rsid w:val="001258F8"/>
    <w:rsid w:val="001323FF"/>
    <w:rsid w:val="001366A9"/>
    <w:rsid w:val="00137D72"/>
    <w:rsid w:val="00141106"/>
    <w:rsid w:val="00141330"/>
    <w:rsid w:val="00147CA6"/>
    <w:rsid w:val="001535C7"/>
    <w:rsid w:val="00153719"/>
    <w:rsid w:val="0015492B"/>
    <w:rsid w:val="00156F8E"/>
    <w:rsid w:val="00160666"/>
    <w:rsid w:val="001709F3"/>
    <w:rsid w:val="00183FF7"/>
    <w:rsid w:val="00185698"/>
    <w:rsid w:val="00185FCA"/>
    <w:rsid w:val="001A17B8"/>
    <w:rsid w:val="001A17F5"/>
    <w:rsid w:val="001A3F25"/>
    <w:rsid w:val="001B6084"/>
    <w:rsid w:val="001C0805"/>
    <w:rsid w:val="001C605F"/>
    <w:rsid w:val="001D16BE"/>
    <w:rsid w:val="001D426C"/>
    <w:rsid w:val="001D42E8"/>
    <w:rsid w:val="001D6A51"/>
    <w:rsid w:val="001E3404"/>
    <w:rsid w:val="001E6DDC"/>
    <w:rsid w:val="001F2252"/>
    <w:rsid w:val="001F59C5"/>
    <w:rsid w:val="002014AC"/>
    <w:rsid w:val="00204667"/>
    <w:rsid w:val="00205BA7"/>
    <w:rsid w:val="00210BFB"/>
    <w:rsid w:val="00225613"/>
    <w:rsid w:val="002318C6"/>
    <w:rsid w:val="00233615"/>
    <w:rsid w:val="0023377E"/>
    <w:rsid w:val="0023625C"/>
    <w:rsid w:val="00242B95"/>
    <w:rsid w:val="002465B3"/>
    <w:rsid w:val="00250B7E"/>
    <w:rsid w:val="0025336F"/>
    <w:rsid w:val="00262C6F"/>
    <w:rsid w:val="00262F94"/>
    <w:rsid w:val="0026711F"/>
    <w:rsid w:val="00272BB7"/>
    <w:rsid w:val="00274182"/>
    <w:rsid w:val="00275EB4"/>
    <w:rsid w:val="00276477"/>
    <w:rsid w:val="002779BC"/>
    <w:rsid w:val="002835AB"/>
    <w:rsid w:val="00283EDC"/>
    <w:rsid w:val="00287897"/>
    <w:rsid w:val="00297489"/>
    <w:rsid w:val="002A16D9"/>
    <w:rsid w:val="002A3CD3"/>
    <w:rsid w:val="002B7C1C"/>
    <w:rsid w:val="002C467F"/>
    <w:rsid w:val="002C5EFF"/>
    <w:rsid w:val="002C736F"/>
    <w:rsid w:val="002D00E8"/>
    <w:rsid w:val="002D40EE"/>
    <w:rsid w:val="002D6125"/>
    <w:rsid w:val="002D7D00"/>
    <w:rsid w:val="002E20C1"/>
    <w:rsid w:val="002F066E"/>
    <w:rsid w:val="002F079A"/>
    <w:rsid w:val="002F1468"/>
    <w:rsid w:val="002F5418"/>
    <w:rsid w:val="00302CB7"/>
    <w:rsid w:val="00303B7F"/>
    <w:rsid w:val="00304B7C"/>
    <w:rsid w:val="0030779F"/>
    <w:rsid w:val="00314902"/>
    <w:rsid w:val="003220AB"/>
    <w:rsid w:val="00333371"/>
    <w:rsid w:val="00337AC8"/>
    <w:rsid w:val="00340635"/>
    <w:rsid w:val="00341C16"/>
    <w:rsid w:val="00350908"/>
    <w:rsid w:val="0035107A"/>
    <w:rsid w:val="00352874"/>
    <w:rsid w:val="0035391B"/>
    <w:rsid w:val="00353F9F"/>
    <w:rsid w:val="00377272"/>
    <w:rsid w:val="00377334"/>
    <w:rsid w:val="00390E1F"/>
    <w:rsid w:val="00396B4F"/>
    <w:rsid w:val="003A0046"/>
    <w:rsid w:val="003A13F1"/>
    <w:rsid w:val="003B09B7"/>
    <w:rsid w:val="003B1C14"/>
    <w:rsid w:val="003B206F"/>
    <w:rsid w:val="003B4865"/>
    <w:rsid w:val="003C2DFE"/>
    <w:rsid w:val="003C3074"/>
    <w:rsid w:val="003C3550"/>
    <w:rsid w:val="003C4708"/>
    <w:rsid w:val="003C7EB4"/>
    <w:rsid w:val="003D01C6"/>
    <w:rsid w:val="003D568A"/>
    <w:rsid w:val="003D6107"/>
    <w:rsid w:val="003D7E41"/>
    <w:rsid w:val="003E01E7"/>
    <w:rsid w:val="003E2A9B"/>
    <w:rsid w:val="003E3D40"/>
    <w:rsid w:val="003E42C5"/>
    <w:rsid w:val="003E7441"/>
    <w:rsid w:val="003F346D"/>
    <w:rsid w:val="003F3584"/>
    <w:rsid w:val="003F562D"/>
    <w:rsid w:val="003F5F8B"/>
    <w:rsid w:val="004018EC"/>
    <w:rsid w:val="004070E7"/>
    <w:rsid w:val="004117CD"/>
    <w:rsid w:val="00413E41"/>
    <w:rsid w:val="00415C95"/>
    <w:rsid w:val="004342D4"/>
    <w:rsid w:val="00442065"/>
    <w:rsid w:val="00444CE9"/>
    <w:rsid w:val="004465B1"/>
    <w:rsid w:val="004544F3"/>
    <w:rsid w:val="00456729"/>
    <w:rsid w:val="00456B24"/>
    <w:rsid w:val="00460281"/>
    <w:rsid w:val="00461020"/>
    <w:rsid w:val="00461141"/>
    <w:rsid w:val="00462225"/>
    <w:rsid w:val="004655F7"/>
    <w:rsid w:val="00474EAD"/>
    <w:rsid w:val="00477778"/>
    <w:rsid w:val="00486EA7"/>
    <w:rsid w:val="00492AA2"/>
    <w:rsid w:val="004943E5"/>
    <w:rsid w:val="00494B49"/>
    <w:rsid w:val="00497099"/>
    <w:rsid w:val="004A2A7F"/>
    <w:rsid w:val="004A3A9F"/>
    <w:rsid w:val="004A434D"/>
    <w:rsid w:val="004A5162"/>
    <w:rsid w:val="004A72AD"/>
    <w:rsid w:val="004B0DDB"/>
    <w:rsid w:val="004B71BB"/>
    <w:rsid w:val="004B77A4"/>
    <w:rsid w:val="004C0857"/>
    <w:rsid w:val="004C4C85"/>
    <w:rsid w:val="004C7710"/>
    <w:rsid w:val="004D11BA"/>
    <w:rsid w:val="004D2585"/>
    <w:rsid w:val="004D3D72"/>
    <w:rsid w:val="004D434D"/>
    <w:rsid w:val="004D61B6"/>
    <w:rsid w:val="004D764E"/>
    <w:rsid w:val="004E3181"/>
    <w:rsid w:val="004E3EBF"/>
    <w:rsid w:val="004E7EC3"/>
    <w:rsid w:val="004F025C"/>
    <w:rsid w:val="004F0547"/>
    <w:rsid w:val="004F1E56"/>
    <w:rsid w:val="004F3C2D"/>
    <w:rsid w:val="004F3DA0"/>
    <w:rsid w:val="004F4658"/>
    <w:rsid w:val="004F6713"/>
    <w:rsid w:val="0050224F"/>
    <w:rsid w:val="00502513"/>
    <w:rsid w:val="00502D64"/>
    <w:rsid w:val="00502DEC"/>
    <w:rsid w:val="00504102"/>
    <w:rsid w:val="00506676"/>
    <w:rsid w:val="00513D33"/>
    <w:rsid w:val="005142D7"/>
    <w:rsid w:val="0052090D"/>
    <w:rsid w:val="005215E8"/>
    <w:rsid w:val="005302B2"/>
    <w:rsid w:val="00535357"/>
    <w:rsid w:val="005366DD"/>
    <w:rsid w:val="005419FE"/>
    <w:rsid w:val="00546BC3"/>
    <w:rsid w:val="00550664"/>
    <w:rsid w:val="00550FA2"/>
    <w:rsid w:val="005540FE"/>
    <w:rsid w:val="00564966"/>
    <w:rsid w:val="00566EF1"/>
    <w:rsid w:val="00566FAA"/>
    <w:rsid w:val="005709CF"/>
    <w:rsid w:val="00571A4D"/>
    <w:rsid w:val="005778D9"/>
    <w:rsid w:val="005779D0"/>
    <w:rsid w:val="00577E70"/>
    <w:rsid w:val="00583CEE"/>
    <w:rsid w:val="00583FD6"/>
    <w:rsid w:val="005A01F9"/>
    <w:rsid w:val="005A0C3F"/>
    <w:rsid w:val="005A1F83"/>
    <w:rsid w:val="005A3585"/>
    <w:rsid w:val="005A6780"/>
    <w:rsid w:val="005A731D"/>
    <w:rsid w:val="005A7941"/>
    <w:rsid w:val="005B12DC"/>
    <w:rsid w:val="005B3368"/>
    <w:rsid w:val="005B6DBC"/>
    <w:rsid w:val="005C00EE"/>
    <w:rsid w:val="005C179A"/>
    <w:rsid w:val="005C2C74"/>
    <w:rsid w:val="005D293F"/>
    <w:rsid w:val="005E235A"/>
    <w:rsid w:val="005E2DE0"/>
    <w:rsid w:val="005E36C5"/>
    <w:rsid w:val="005E6B3D"/>
    <w:rsid w:val="005F004E"/>
    <w:rsid w:val="005F1412"/>
    <w:rsid w:val="005F1D26"/>
    <w:rsid w:val="005F2270"/>
    <w:rsid w:val="005F3023"/>
    <w:rsid w:val="005F3266"/>
    <w:rsid w:val="005F45C9"/>
    <w:rsid w:val="005F6D75"/>
    <w:rsid w:val="00601FB6"/>
    <w:rsid w:val="006038B8"/>
    <w:rsid w:val="0061029A"/>
    <w:rsid w:val="00614C34"/>
    <w:rsid w:val="0061645B"/>
    <w:rsid w:val="00622CDD"/>
    <w:rsid w:val="006269AB"/>
    <w:rsid w:val="00634236"/>
    <w:rsid w:val="00634BB8"/>
    <w:rsid w:val="006429EA"/>
    <w:rsid w:val="006502D9"/>
    <w:rsid w:val="00650B6B"/>
    <w:rsid w:val="00651670"/>
    <w:rsid w:val="00652884"/>
    <w:rsid w:val="00653168"/>
    <w:rsid w:val="00653C45"/>
    <w:rsid w:val="00654B7A"/>
    <w:rsid w:val="006572C6"/>
    <w:rsid w:val="006573E1"/>
    <w:rsid w:val="00660047"/>
    <w:rsid w:val="00661DF9"/>
    <w:rsid w:val="00666496"/>
    <w:rsid w:val="00670ABC"/>
    <w:rsid w:val="0067424B"/>
    <w:rsid w:val="00683A08"/>
    <w:rsid w:val="006A1842"/>
    <w:rsid w:val="006A2E32"/>
    <w:rsid w:val="006A4DB6"/>
    <w:rsid w:val="006B0B3E"/>
    <w:rsid w:val="006B21A2"/>
    <w:rsid w:val="006B2CAF"/>
    <w:rsid w:val="006B7715"/>
    <w:rsid w:val="006C3774"/>
    <w:rsid w:val="006C6FF5"/>
    <w:rsid w:val="006D28D8"/>
    <w:rsid w:val="006D5BF8"/>
    <w:rsid w:val="006E683B"/>
    <w:rsid w:val="006E706A"/>
    <w:rsid w:val="006F01A3"/>
    <w:rsid w:val="006F35EC"/>
    <w:rsid w:val="006F4150"/>
    <w:rsid w:val="006F4855"/>
    <w:rsid w:val="006F65B2"/>
    <w:rsid w:val="006F7C2F"/>
    <w:rsid w:val="007010E1"/>
    <w:rsid w:val="00703333"/>
    <w:rsid w:val="00704655"/>
    <w:rsid w:val="007076AF"/>
    <w:rsid w:val="007115D2"/>
    <w:rsid w:val="00711668"/>
    <w:rsid w:val="00712C1F"/>
    <w:rsid w:val="00714359"/>
    <w:rsid w:val="00722962"/>
    <w:rsid w:val="007255E0"/>
    <w:rsid w:val="007270EB"/>
    <w:rsid w:val="00731ABE"/>
    <w:rsid w:val="007361CF"/>
    <w:rsid w:val="0074266D"/>
    <w:rsid w:val="00747B44"/>
    <w:rsid w:val="0075275F"/>
    <w:rsid w:val="00753514"/>
    <w:rsid w:val="00755AA0"/>
    <w:rsid w:val="00757492"/>
    <w:rsid w:val="007616A2"/>
    <w:rsid w:val="007631B1"/>
    <w:rsid w:val="0076506D"/>
    <w:rsid w:val="007655AC"/>
    <w:rsid w:val="00767A70"/>
    <w:rsid w:val="00774FAE"/>
    <w:rsid w:val="00775E0A"/>
    <w:rsid w:val="0077634B"/>
    <w:rsid w:val="00776372"/>
    <w:rsid w:val="00777679"/>
    <w:rsid w:val="00784095"/>
    <w:rsid w:val="00792CDC"/>
    <w:rsid w:val="00794463"/>
    <w:rsid w:val="0079652D"/>
    <w:rsid w:val="00796B91"/>
    <w:rsid w:val="007A0325"/>
    <w:rsid w:val="007A12DF"/>
    <w:rsid w:val="007A5AD3"/>
    <w:rsid w:val="007B1886"/>
    <w:rsid w:val="007B6D59"/>
    <w:rsid w:val="007C09EF"/>
    <w:rsid w:val="007C0AC6"/>
    <w:rsid w:val="007C11EE"/>
    <w:rsid w:val="007C215C"/>
    <w:rsid w:val="007C42B6"/>
    <w:rsid w:val="007C7356"/>
    <w:rsid w:val="007D0F98"/>
    <w:rsid w:val="007D253B"/>
    <w:rsid w:val="007E0CB1"/>
    <w:rsid w:val="007F28F4"/>
    <w:rsid w:val="007F3B58"/>
    <w:rsid w:val="007F7044"/>
    <w:rsid w:val="008079FE"/>
    <w:rsid w:val="00807FC9"/>
    <w:rsid w:val="00810383"/>
    <w:rsid w:val="00811E20"/>
    <w:rsid w:val="00812E52"/>
    <w:rsid w:val="00813515"/>
    <w:rsid w:val="00816F69"/>
    <w:rsid w:val="008170D8"/>
    <w:rsid w:val="008178F1"/>
    <w:rsid w:val="00817976"/>
    <w:rsid w:val="00817B9D"/>
    <w:rsid w:val="0082095C"/>
    <w:rsid w:val="008355D5"/>
    <w:rsid w:val="0083581F"/>
    <w:rsid w:val="008402B2"/>
    <w:rsid w:val="00842BB6"/>
    <w:rsid w:val="00844176"/>
    <w:rsid w:val="0084428B"/>
    <w:rsid w:val="00844647"/>
    <w:rsid w:val="008464C4"/>
    <w:rsid w:val="00853307"/>
    <w:rsid w:val="00860DE0"/>
    <w:rsid w:val="00867113"/>
    <w:rsid w:val="0087188C"/>
    <w:rsid w:val="0087759D"/>
    <w:rsid w:val="0088050F"/>
    <w:rsid w:val="00884EED"/>
    <w:rsid w:val="00890C58"/>
    <w:rsid w:val="00891CE2"/>
    <w:rsid w:val="00892285"/>
    <w:rsid w:val="0089496B"/>
    <w:rsid w:val="008954B9"/>
    <w:rsid w:val="00895DFE"/>
    <w:rsid w:val="00897660"/>
    <w:rsid w:val="008A142B"/>
    <w:rsid w:val="008A4236"/>
    <w:rsid w:val="008A4606"/>
    <w:rsid w:val="008A503D"/>
    <w:rsid w:val="008A52F4"/>
    <w:rsid w:val="008B19C7"/>
    <w:rsid w:val="008B3986"/>
    <w:rsid w:val="008B6021"/>
    <w:rsid w:val="008C0389"/>
    <w:rsid w:val="008C19FB"/>
    <w:rsid w:val="008C2388"/>
    <w:rsid w:val="008C4A2A"/>
    <w:rsid w:val="008C7ABD"/>
    <w:rsid w:val="008F2B4A"/>
    <w:rsid w:val="008F38D5"/>
    <w:rsid w:val="008F390F"/>
    <w:rsid w:val="008F64B4"/>
    <w:rsid w:val="0091204A"/>
    <w:rsid w:val="00914222"/>
    <w:rsid w:val="00921343"/>
    <w:rsid w:val="00921755"/>
    <w:rsid w:val="009233F4"/>
    <w:rsid w:val="009255F0"/>
    <w:rsid w:val="009262A2"/>
    <w:rsid w:val="0092680D"/>
    <w:rsid w:val="009273F6"/>
    <w:rsid w:val="00927E92"/>
    <w:rsid w:val="0093089A"/>
    <w:rsid w:val="00930B34"/>
    <w:rsid w:val="00931253"/>
    <w:rsid w:val="00931F8C"/>
    <w:rsid w:val="00936881"/>
    <w:rsid w:val="00941393"/>
    <w:rsid w:val="00955EFF"/>
    <w:rsid w:val="00956273"/>
    <w:rsid w:val="009573B3"/>
    <w:rsid w:val="0096371D"/>
    <w:rsid w:val="00970BD0"/>
    <w:rsid w:val="0097119A"/>
    <w:rsid w:val="00973E2D"/>
    <w:rsid w:val="0097522D"/>
    <w:rsid w:val="00983A68"/>
    <w:rsid w:val="00991055"/>
    <w:rsid w:val="009944EC"/>
    <w:rsid w:val="009A525D"/>
    <w:rsid w:val="009A6112"/>
    <w:rsid w:val="009A746B"/>
    <w:rsid w:val="009B14D1"/>
    <w:rsid w:val="009B1A23"/>
    <w:rsid w:val="009B2916"/>
    <w:rsid w:val="009C30D0"/>
    <w:rsid w:val="009C3886"/>
    <w:rsid w:val="009C5D0C"/>
    <w:rsid w:val="009D0C72"/>
    <w:rsid w:val="009E5BC1"/>
    <w:rsid w:val="009F1068"/>
    <w:rsid w:val="009F1850"/>
    <w:rsid w:val="009F28BA"/>
    <w:rsid w:val="009F3F71"/>
    <w:rsid w:val="00A0145D"/>
    <w:rsid w:val="00A029E2"/>
    <w:rsid w:val="00A02CD8"/>
    <w:rsid w:val="00A14B80"/>
    <w:rsid w:val="00A17CE0"/>
    <w:rsid w:val="00A20D16"/>
    <w:rsid w:val="00A35A9C"/>
    <w:rsid w:val="00A40889"/>
    <w:rsid w:val="00A40E46"/>
    <w:rsid w:val="00A47C93"/>
    <w:rsid w:val="00A50068"/>
    <w:rsid w:val="00A50490"/>
    <w:rsid w:val="00A55790"/>
    <w:rsid w:val="00A55802"/>
    <w:rsid w:val="00A571A5"/>
    <w:rsid w:val="00A65DD4"/>
    <w:rsid w:val="00A66EAC"/>
    <w:rsid w:val="00A67F9D"/>
    <w:rsid w:val="00A72A0A"/>
    <w:rsid w:val="00A738AE"/>
    <w:rsid w:val="00A75186"/>
    <w:rsid w:val="00A77331"/>
    <w:rsid w:val="00A803D2"/>
    <w:rsid w:val="00A866BF"/>
    <w:rsid w:val="00A93799"/>
    <w:rsid w:val="00A964EB"/>
    <w:rsid w:val="00A968D5"/>
    <w:rsid w:val="00AA016F"/>
    <w:rsid w:val="00AA1966"/>
    <w:rsid w:val="00AA2D6E"/>
    <w:rsid w:val="00AA6FE8"/>
    <w:rsid w:val="00AB1DE7"/>
    <w:rsid w:val="00AB2CD1"/>
    <w:rsid w:val="00AB7237"/>
    <w:rsid w:val="00AC0F9E"/>
    <w:rsid w:val="00AD3350"/>
    <w:rsid w:val="00AD3F2F"/>
    <w:rsid w:val="00AD50EA"/>
    <w:rsid w:val="00AD5531"/>
    <w:rsid w:val="00AE0784"/>
    <w:rsid w:val="00AF646E"/>
    <w:rsid w:val="00AF7762"/>
    <w:rsid w:val="00B0367D"/>
    <w:rsid w:val="00B0400C"/>
    <w:rsid w:val="00B10D21"/>
    <w:rsid w:val="00B11AD2"/>
    <w:rsid w:val="00B267D9"/>
    <w:rsid w:val="00B2790C"/>
    <w:rsid w:val="00B30155"/>
    <w:rsid w:val="00B3504B"/>
    <w:rsid w:val="00B4025E"/>
    <w:rsid w:val="00B4167D"/>
    <w:rsid w:val="00B41801"/>
    <w:rsid w:val="00B42CC4"/>
    <w:rsid w:val="00B4315C"/>
    <w:rsid w:val="00B43CE7"/>
    <w:rsid w:val="00B463F1"/>
    <w:rsid w:val="00B47469"/>
    <w:rsid w:val="00B534DC"/>
    <w:rsid w:val="00B62978"/>
    <w:rsid w:val="00B738E9"/>
    <w:rsid w:val="00B75A60"/>
    <w:rsid w:val="00B8232D"/>
    <w:rsid w:val="00B8443A"/>
    <w:rsid w:val="00BA03EC"/>
    <w:rsid w:val="00BA2421"/>
    <w:rsid w:val="00BA736F"/>
    <w:rsid w:val="00BC2CE2"/>
    <w:rsid w:val="00BC37A5"/>
    <w:rsid w:val="00BC60C3"/>
    <w:rsid w:val="00BD209F"/>
    <w:rsid w:val="00BD3C12"/>
    <w:rsid w:val="00BE2677"/>
    <w:rsid w:val="00BE5BE7"/>
    <w:rsid w:val="00BE7019"/>
    <w:rsid w:val="00BE7690"/>
    <w:rsid w:val="00BF49B7"/>
    <w:rsid w:val="00BF7A77"/>
    <w:rsid w:val="00C02C1A"/>
    <w:rsid w:val="00C03A20"/>
    <w:rsid w:val="00C10162"/>
    <w:rsid w:val="00C134AF"/>
    <w:rsid w:val="00C16688"/>
    <w:rsid w:val="00C16C9F"/>
    <w:rsid w:val="00C16FD3"/>
    <w:rsid w:val="00C17544"/>
    <w:rsid w:val="00C24436"/>
    <w:rsid w:val="00C244F0"/>
    <w:rsid w:val="00C26F35"/>
    <w:rsid w:val="00C30A88"/>
    <w:rsid w:val="00C3390D"/>
    <w:rsid w:val="00C41E07"/>
    <w:rsid w:val="00C41E80"/>
    <w:rsid w:val="00C47EE7"/>
    <w:rsid w:val="00C53088"/>
    <w:rsid w:val="00C5540E"/>
    <w:rsid w:val="00C60B8E"/>
    <w:rsid w:val="00C74229"/>
    <w:rsid w:val="00C80356"/>
    <w:rsid w:val="00C83DA6"/>
    <w:rsid w:val="00C9409B"/>
    <w:rsid w:val="00CA0DAB"/>
    <w:rsid w:val="00CA5A67"/>
    <w:rsid w:val="00CA7544"/>
    <w:rsid w:val="00CB246F"/>
    <w:rsid w:val="00CB53F2"/>
    <w:rsid w:val="00CC0433"/>
    <w:rsid w:val="00CC202C"/>
    <w:rsid w:val="00CC7E58"/>
    <w:rsid w:val="00CD2787"/>
    <w:rsid w:val="00CD428E"/>
    <w:rsid w:val="00CD4B66"/>
    <w:rsid w:val="00CD617A"/>
    <w:rsid w:val="00CD7E46"/>
    <w:rsid w:val="00CE11E8"/>
    <w:rsid w:val="00CE2FBF"/>
    <w:rsid w:val="00CE66E2"/>
    <w:rsid w:val="00CF2CC1"/>
    <w:rsid w:val="00CF34E8"/>
    <w:rsid w:val="00D03B3C"/>
    <w:rsid w:val="00D03BF8"/>
    <w:rsid w:val="00D047A7"/>
    <w:rsid w:val="00D1062F"/>
    <w:rsid w:val="00D1768B"/>
    <w:rsid w:val="00D2259B"/>
    <w:rsid w:val="00D27F11"/>
    <w:rsid w:val="00D30056"/>
    <w:rsid w:val="00D30402"/>
    <w:rsid w:val="00D31D1A"/>
    <w:rsid w:val="00D40A89"/>
    <w:rsid w:val="00D40AE4"/>
    <w:rsid w:val="00D4678B"/>
    <w:rsid w:val="00D47197"/>
    <w:rsid w:val="00D5269F"/>
    <w:rsid w:val="00D54D2C"/>
    <w:rsid w:val="00D56683"/>
    <w:rsid w:val="00D64ADD"/>
    <w:rsid w:val="00D650DD"/>
    <w:rsid w:val="00D67444"/>
    <w:rsid w:val="00D7007D"/>
    <w:rsid w:val="00D70119"/>
    <w:rsid w:val="00D7070D"/>
    <w:rsid w:val="00D74A15"/>
    <w:rsid w:val="00D81CFD"/>
    <w:rsid w:val="00D849BD"/>
    <w:rsid w:val="00D85299"/>
    <w:rsid w:val="00D86E9E"/>
    <w:rsid w:val="00D957B8"/>
    <w:rsid w:val="00D97D57"/>
    <w:rsid w:val="00DA5B77"/>
    <w:rsid w:val="00DA60A2"/>
    <w:rsid w:val="00DA6B6B"/>
    <w:rsid w:val="00DC02B1"/>
    <w:rsid w:val="00DC04B0"/>
    <w:rsid w:val="00DC1348"/>
    <w:rsid w:val="00DC2C8B"/>
    <w:rsid w:val="00DC3603"/>
    <w:rsid w:val="00DC5379"/>
    <w:rsid w:val="00DD406C"/>
    <w:rsid w:val="00DD7C02"/>
    <w:rsid w:val="00DE1DB2"/>
    <w:rsid w:val="00DE2742"/>
    <w:rsid w:val="00DE7E85"/>
    <w:rsid w:val="00DF118E"/>
    <w:rsid w:val="00DF1911"/>
    <w:rsid w:val="00DF1CA7"/>
    <w:rsid w:val="00DF293B"/>
    <w:rsid w:val="00DF5193"/>
    <w:rsid w:val="00DF77F0"/>
    <w:rsid w:val="00E1047A"/>
    <w:rsid w:val="00E13F34"/>
    <w:rsid w:val="00E150F9"/>
    <w:rsid w:val="00E20D5E"/>
    <w:rsid w:val="00E26849"/>
    <w:rsid w:val="00E34E2F"/>
    <w:rsid w:val="00E35E73"/>
    <w:rsid w:val="00E508B2"/>
    <w:rsid w:val="00E519A6"/>
    <w:rsid w:val="00E519D1"/>
    <w:rsid w:val="00E54254"/>
    <w:rsid w:val="00E62DE5"/>
    <w:rsid w:val="00E630FD"/>
    <w:rsid w:val="00E63B75"/>
    <w:rsid w:val="00E6620B"/>
    <w:rsid w:val="00E81388"/>
    <w:rsid w:val="00E828AD"/>
    <w:rsid w:val="00E82C1A"/>
    <w:rsid w:val="00E8625A"/>
    <w:rsid w:val="00E904E8"/>
    <w:rsid w:val="00EA12AA"/>
    <w:rsid w:val="00EA542E"/>
    <w:rsid w:val="00EA693C"/>
    <w:rsid w:val="00EC390E"/>
    <w:rsid w:val="00EC6AD8"/>
    <w:rsid w:val="00EC7214"/>
    <w:rsid w:val="00ED086E"/>
    <w:rsid w:val="00ED704D"/>
    <w:rsid w:val="00EE18E7"/>
    <w:rsid w:val="00EE4D8B"/>
    <w:rsid w:val="00EF15E9"/>
    <w:rsid w:val="00EF578E"/>
    <w:rsid w:val="00F02B0B"/>
    <w:rsid w:val="00F04409"/>
    <w:rsid w:val="00F049E1"/>
    <w:rsid w:val="00F07C7B"/>
    <w:rsid w:val="00F122E2"/>
    <w:rsid w:val="00F1575E"/>
    <w:rsid w:val="00F207D8"/>
    <w:rsid w:val="00F22BF2"/>
    <w:rsid w:val="00F27121"/>
    <w:rsid w:val="00F31984"/>
    <w:rsid w:val="00F32A18"/>
    <w:rsid w:val="00F366BB"/>
    <w:rsid w:val="00F37ADF"/>
    <w:rsid w:val="00F40061"/>
    <w:rsid w:val="00F47771"/>
    <w:rsid w:val="00F51D9A"/>
    <w:rsid w:val="00F530A7"/>
    <w:rsid w:val="00F53284"/>
    <w:rsid w:val="00F54692"/>
    <w:rsid w:val="00F57355"/>
    <w:rsid w:val="00F60F37"/>
    <w:rsid w:val="00F704BB"/>
    <w:rsid w:val="00F73809"/>
    <w:rsid w:val="00F80853"/>
    <w:rsid w:val="00F80AE0"/>
    <w:rsid w:val="00F81AB4"/>
    <w:rsid w:val="00F92177"/>
    <w:rsid w:val="00F9520E"/>
    <w:rsid w:val="00FA2DDA"/>
    <w:rsid w:val="00FA4521"/>
    <w:rsid w:val="00FA6349"/>
    <w:rsid w:val="00FA70F4"/>
    <w:rsid w:val="00FC19F2"/>
    <w:rsid w:val="00FC2ACF"/>
    <w:rsid w:val="00FD0E32"/>
    <w:rsid w:val="00FD239F"/>
    <w:rsid w:val="00FD7A0D"/>
    <w:rsid w:val="00FE0EE2"/>
    <w:rsid w:val="00FE2D41"/>
    <w:rsid w:val="00FE541A"/>
    <w:rsid w:val="00FE5F61"/>
    <w:rsid w:val="00FF0CBA"/>
    <w:rsid w:val="011375A8"/>
    <w:rsid w:val="01664743"/>
    <w:rsid w:val="01A5234F"/>
    <w:rsid w:val="023271FA"/>
    <w:rsid w:val="03224679"/>
    <w:rsid w:val="035D6DC5"/>
    <w:rsid w:val="036D26EF"/>
    <w:rsid w:val="03DE684E"/>
    <w:rsid w:val="03E72B61"/>
    <w:rsid w:val="03F914B2"/>
    <w:rsid w:val="0469394E"/>
    <w:rsid w:val="04C0433E"/>
    <w:rsid w:val="04E14131"/>
    <w:rsid w:val="051171FD"/>
    <w:rsid w:val="05647F6F"/>
    <w:rsid w:val="05887E07"/>
    <w:rsid w:val="05A20BFC"/>
    <w:rsid w:val="05F25272"/>
    <w:rsid w:val="0642431F"/>
    <w:rsid w:val="06F32700"/>
    <w:rsid w:val="07605CB6"/>
    <w:rsid w:val="07CB0EB6"/>
    <w:rsid w:val="07E15BD3"/>
    <w:rsid w:val="08102EC6"/>
    <w:rsid w:val="089A71E6"/>
    <w:rsid w:val="08E44987"/>
    <w:rsid w:val="08EE00FB"/>
    <w:rsid w:val="094402D8"/>
    <w:rsid w:val="09730E8F"/>
    <w:rsid w:val="0990755E"/>
    <w:rsid w:val="0A3D5E32"/>
    <w:rsid w:val="0A6F22B3"/>
    <w:rsid w:val="0A853850"/>
    <w:rsid w:val="0B024A9B"/>
    <w:rsid w:val="0BEC5972"/>
    <w:rsid w:val="0C8106BD"/>
    <w:rsid w:val="0CAA2B6E"/>
    <w:rsid w:val="0CE1722F"/>
    <w:rsid w:val="0D057662"/>
    <w:rsid w:val="0D7D1AE1"/>
    <w:rsid w:val="0D9642F0"/>
    <w:rsid w:val="0DBA5423"/>
    <w:rsid w:val="0DE26AAE"/>
    <w:rsid w:val="0E224D7D"/>
    <w:rsid w:val="0EF67916"/>
    <w:rsid w:val="0F423341"/>
    <w:rsid w:val="0F5C3B30"/>
    <w:rsid w:val="0F805160"/>
    <w:rsid w:val="1082242A"/>
    <w:rsid w:val="1088747A"/>
    <w:rsid w:val="114B682E"/>
    <w:rsid w:val="115349B0"/>
    <w:rsid w:val="119566BA"/>
    <w:rsid w:val="12492345"/>
    <w:rsid w:val="12492C39"/>
    <w:rsid w:val="12922E42"/>
    <w:rsid w:val="12D47F8E"/>
    <w:rsid w:val="130B063D"/>
    <w:rsid w:val="13572EFD"/>
    <w:rsid w:val="13B77439"/>
    <w:rsid w:val="13FA79FE"/>
    <w:rsid w:val="141B5141"/>
    <w:rsid w:val="14792401"/>
    <w:rsid w:val="15231D0C"/>
    <w:rsid w:val="15604438"/>
    <w:rsid w:val="161455EE"/>
    <w:rsid w:val="167969DD"/>
    <w:rsid w:val="17B9626F"/>
    <w:rsid w:val="1821268E"/>
    <w:rsid w:val="18615571"/>
    <w:rsid w:val="188877B0"/>
    <w:rsid w:val="19422A47"/>
    <w:rsid w:val="1964413C"/>
    <w:rsid w:val="19950F40"/>
    <w:rsid w:val="19DF6872"/>
    <w:rsid w:val="1A134FCE"/>
    <w:rsid w:val="1A5905CD"/>
    <w:rsid w:val="1B242B7B"/>
    <w:rsid w:val="1B6C2C88"/>
    <w:rsid w:val="1BA8182B"/>
    <w:rsid w:val="1C305101"/>
    <w:rsid w:val="1C88693A"/>
    <w:rsid w:val="1D0425A2"/>
    <w:rsid w:val="1D0460DA"/>
    <w:rsid w:val="1D867A74"/>
    <w:rsid w:val="1DC11BA0"/>
    <w:rsid w:val="1DF71875"/>
    <w:rsid w:val="1E142122"/>
    <w:rsid w:val="1E6058EF"/>
    <w:rsid w:val="1E9B4EC9"/>
    <w:rsid w:val="1F037161"/>
    <w:rsid w:val="1F3F1719"/>
    <w:rsid w:val="1FA55DB1"/>
    <w:rsid w:val="20182BD0"/>
    <w:rsid w:val="203B260C"/>
    <w:rsid w:val="204750FD"/>
    <w:rsid w:val="20C54BCB"/>
    <w:rsid w:val="210172EA"/>
    <w:rsid w:val="21186CA9"/>
    <w:rsid w:val="21C527A2"/>
    <w:rsid w:val="21D41512"/>
    <w:rsid w:val="221D6C29"/>
    <w:rsid w:val="226C12D2"/>
    <w:rsid w:val="22F80095"/>
    <w:rsid w:val="231A15C5"/>
    <w:rsid w:val="23533577"/>
    <w:rsid w:val="235D52BC"/>
    <w:rsid w:val="2415200F"/>
    <w:rsid w:val="24A54462"/>
    <w:rsid w:val="24D35C2C"/>
    <w:rsid w:val="259E35AA"/>
    <w:rsid w:val="25A2609B"/>
    <w:rsid w:val="25B21B8A"/>
    <w:rsid w:val="26696240"/>
    <w:rsid w:val="26E921BE"/>
    <w:rsid w:val="27042DFE"/>
    <w:rsid w:val="27956C21"/>
    <w:rsid w:val="27DD0CC3"/>
    <w:rsid w:val="280A391D"/>
    <w:rsid w:val="28214015"/>
    <w:rsid w:val="28752728"/>
    <w:rsid w:val="288B29E7"/>
    <w:rsid w:val="288C6249"/>
    <w:rsid w:val="29C33815"/>
    <w:rsid w:val="2A066E57"/>
    <w:rsid w:val="2A810C3D"/>
    <w:rsid w:val="2A9F0F97"/>
    <w:rsid w:val="2AD83BB6"/>
    <w:rsid w:val="2AE232B1"/>
    <w:rsid w:val="2B103AB4"/>
    <w:rsid w:val="2B991C74"/>
    <w:rsid w:val="2BB13721"/>
    <w:rsid w:val="2BFF522B"/>
    <w:rsid w:val="2C005C05"/>
    <w:rsid w:val="2C166504"/>
    <w:rsid w:val="2CBD0633"/>
    <w:rsid w:val="2D1C6606"/>
    <w:rsid w:val="2D763685"/>
    <w:rsid w:val="2D9F7247"/>
    <w:rsid w:val="2DC16C9C"/>
    <w:rsid w:val="2E0F16E3"/>
    <w:rsid w:val="2ED721EA"/>
    <w:rsid w:val="2F53021D"/>
    <w:rsid w:val="2F566308"/>
    <w:rsid w:val="2F5836E9"/>
    <w:rsid w:val="2FCE1F78"/>
    <w:rsid w:val="303D4EA7"/>
    <w:rsid w:val="307450F8"/>
    <w:rsid w:val="307A07CD"/>
    <w:rsid w:val="30954C40"/>
    <w:rsid w:val="30AB501E"/>
    <w:rsid w:val="30D07DE1"/>
    <w:rsid w:val="3108787F"/>
    <w:rsid w:val="310F3DA8"/>
    <w:rsid w:val="31593C23"/>
    <w:rsid w:val="317A7736"/>
    <w:rsid w:val="31D60AC4"/>
    <w:rsid w:val="328F0206"/>
    <w:rsid w:val="333D1567"/>
    <w:rsid w:val="339C6CC6"/>
    <w:rsid w:val="3409704A"/>
    <w:rsid w:val="345A624E"/>
    <w:rsid w:val="34CB716C"/>
    <w:rsid w:val="34DC1FAB"/>
    <w:rsid w:val="34DD3524"/>
    <w:rsid w:val="352E5399"/>
    <w:rsid w:val="35607FBA"/>
    <w:rsid w:val="35DE5B6F"/>
    <w:rsid w:val="36230175"/>
    <w:rsid w:val="36501E81"/>
    <w:rsid w:val="36AB59B5"/>
    <w:rsid w:val="36C418A2"/>
    <w:rsid w:val="37135C58"/>
    <w:rsid w:val="3729447F"/>
    <w:rsid w:val="37397DA9"/>
    <w:rsid w:val="37B07013"/>
    <w:rsid w:val="38A10B77"/>
    <w:rsid w:val="38A7447A"/>
    <w:rsid w:val="39030A9D"/>
    <w:rsid w:val="391136BA"/>
    <w:rsid w:val="39AD5700"/>
    <w:rsid w:val="39C600D4"/>
    <w:rsid w:val="39C731F8"/>
    <w:rsid w:val="3A1852C1"/>
    <w:rsid w:val="3A444AE5"/>
    <w:rsid w:val="3A5164BC"/>
    <w:rsid w:val="3A806CA2"/>
    <w:rsid w:val="3B6E0271"/>
    <w:rsid w:val="3B892174"/>
    <w:rsid w:val="3C98083D"/>
    <w:rsid w:val="3D87344A"/>
    <w:rsid w:val="3D8E20D4"/>
    <w:rsid w:val="3D9236A0"/>
    <w:rsid w:val="3DB33860"/>
    <w:rsid w:val="3DC47D28"/>
    <w:rsid w:val="3E6933F2"/>
    <w:rsid w:val="3E77440F"/>
    <w:rsid w:val="3ED8395B"/>
    <w:rsid w:val="3EE1552C"/>
    <w:rsid w:val="3EF50E21"/>
    <w:rsid w:val="3F90296F"/>
    <w:rsid w:val="3FA03438"/>
    <w:rsid w:val="40364CA5"/>
    <w:rsid w:val="40885F49"/>
    <w:rsid w:val="411022B6"/>
    <w:rsid w:val="41140064"/>
    <w:rsid w:val="41355441"/>
    <w:rsid w:val="4193668B"/>
    <w:rsid w:val="41CA09E3"/>
    <w:rsid w:val="41EF2D7C"/>
    <w:rsid w:val="42144B18"/>
    <w:rsid w:val="423931A7"/>
    <w:rsid w:val="42674891"/>
    <w:rsid w:val="42CC3CF1"/>
    <w:rsid w:val="42D14538"/>
    <w:rsid w:val="42E34DC3"/>
    <w:rsid w:val="42F21DF3"/>
    <w:rsid w:val="43547DFD"/>
    <w:rsid w:val="43610766"/>
    <w:rsid w:val="43650B67"/>
    <w:rsid w:val="447163AA"/>
    <w:rsid w:val="448939E8"/>
    <w:rsid w:val="448E07FB"/>
    <w:rsid w:val="4525645E"/>
    <w:rsid w:val="45597275"/>
    <w:rsid w:val="457B14E8"/>
    <w:rsid w:val="45941563"/>
    <w:rsid w:val="45BF71EC"/>
    <w:rsid w:val="45DA4898"/>
    <w:rsid w:val="45EC0586"/>
    <w:rsid w:val="45F27F58"/>
    <w:rsid w:val="46555C55"/>
    <w:rsid w:val="470F656B"/>
    <w:rsid w:val="47690CE9"/>
    <w:rsid w:val="478A0CA0"/>
    <w:rsid w:val="47C12D39"/>
    <w:rsid w:val="47DD35FA"/>
    <w:rsid w:val="47FA3E9F"/>
    <w:rsid w:val="484469FE"/>
    <w:rsid w:val="48FF3FE4"/>
    <w:rsid w:val="494F64C8"/>
    <w:rsid w:val="4A3F641B"/>
    <w:rsid w:val="4A7B31CD"/>
    <w:rsid w:val="4A916AB7"/>
    <w:rsid w:val="4AB2111F"/>
    <w:rsid w:val="4AE36E73"/>
    <w:rsid w:val="4AE41C19"/>
    <w:rsid w:val="4BC66911"/>
    <w:rsid w:val="4C052173"/>
    <w:rsid w:val="4C06606A"/>
    <w:rsid w:val="4C07281A"/>
    <w:rsid w:val="4C4B1734"/>
    <w:rsid w:val="4C515916"/>
    <w:rsid w:val="4C7042D7"/>
    <w:rsid w:val="4CF50EF4"/>
    <w:rsid w:val="4D963E19"/>
    <w:rsid w:val="4DF62F44"/>
    <w:rsid w:val="4E761D08"/>
    <w:rsid w:val="4E984750"/>
    <w:rsid w:val="4EBA2F55"/>
    <w:rsid w:val="4ED10696"/>
    <w:rsid w:val="4F1E35EF"/>
    <w:rsid w:val="4F404A65"/>
    <w:rsid w:val="4F814471"/>
    <w:rsid w:val="4FBA6CCD"/>
    <w:rsid w:val="503A5994"/>
    <w:rsid w:val="50650450"/>
    <w:rsid w:val="50AC11E4"/>
    <w:rsid w:val="510425AE"/>
    <w:rsid w:val="519A0650"/>
    <w:rsid w:val="520E5D83"/>
    <w:rsid w:val="52352B08"/>
    <w:rsid w:val="52413940"/>
    <w:rsid w:val="526D3D56"/>
    <w:rsid w:val="5344250C"/>
    <w:rsid w:val="53F975CD"/>
    <w:rsid w:val="544E58B1"/>
    <w:rsid w:val="54A23856"/>
    <w:rsid w:val="54F71DA5"/>
    <w:rsid w:val="552300AC"/>
    <w:rsid w:val="5525178C"/>
    <w:rsid w:val="553E4F3F"/>
    <w:rsid w:val="55A416BE"/>
    <w:rsid w:val="55B859B2"/>
    <w:rsid w:val="56341757"/>
    <w:rsid w:val="56614C8A"/>
    <w:rsid w:val="567A72D5"/>
    <w:rsid w:val="56D15287"/>
    <w:rsid w:val="56DE0AFD"/>
    <w:rsid w:val="56FD5506"/>
    <w:rsid w:val="57044CE4"/>
    <w:rsid w:val="57222B83"/>
    <w:rsid w:val="573828A1"/>
    <w:rsid w:val="57476390"/>
    <w:rsid w:val="576109DB"/>
    <w:rsid w:val="57675079"/>
    <w:rsid w:val="57E20EBB"/>
    <w:rsid w:val="586345C7"/>
    <w:rsid w:val="589E1D6D"/>
    <w:rsid w:val="58B63BA2"/>
    <w:rsid w:val="59215726"/>
    <w:rsid w:val="59957B00"/>
    <w:rsid w:val="599A3D2F"/>
    <w:rsid w:val="5A052B3B"/>
    <w:rsid w:val="5A2E22FE"/>
    <w:rsid w:val="5A83754C"/>
    <w:rsid w:val="5AAA42D2"/>
    <w:rsid w:val="5B1C738F"/>
    <w:rsid w:val="5B3062C7"/>
    <w:rsid w:val="5B4526F9"/>
    <w:rsid w:val="5C7559A0"/>
    <w:rsid w:val="5CEA65A2"/>
    <w:rsid w:val="5D120C2C"/>
    <w:rsid w:val="5D2814E8"/>
    <w:rsid w:val="5D900DEC"/>
    <w:rsid w:val="5D962247"/>
    <w:rsid w:val="5DF6174F"/>
    <w:rsid w:val="5E175D30"/>
    <w:rsid w:val="5E1D7B0C"/>
    <w:rsid w:val="5E2C14A2"/>
    <w:rsid w:val="5F870252"/>
    <w:rsid w:val="5F8A3178"/>
    <w:rsid w:val="5FA77E3C"/>
    <w:rsid w:val="604326ED"/>
    <w:rsid w:val="60570CCE"/>
    <w:rsid w:val="607C6FD9"/>
    <w:rsid w:val="60B91957"/>
    <w:rsid w:val="614D408B"/>
    <w:rsid w:val="61671270"/>
    <w:rsid w:val="6172174A"/>
    <w:rsid w:val="61A44D62"/>
    <w:rsid w:val="61F94C3C"/>
    <w:rsid w:val="62411979"/>
    <w:rsid w:val="62422518"/>
    <w:rsid w:val="627F6C32"/>
    <w:rsid w:val="62D96C3F"/>
    <w:rsid w:val="631D691D"/>
    <w:rsid w:val="63387548"/>
    <w:rsid w:val="637575FD"/>
    <w:rsid w:val="63825E0F"/>
    <w:rsid w:val="638F6480"/>
    <w:rsid w:val="63A979C1"/>
    <w:rsid w:val="63E46486"/>
    <w:rsid w:val="643716EA"/>
    <w:rsid w:val="64C64337"/>
    <w:rsid w:val="657F4273"/>
    <w:rsid w:val="659D2AED"/>
    <w:rsid w:val="65AA44C4"/>
    <w:rsid w:val="65DC0B09"/>
    <w:rsid w:val="662B2E29"/>
    <w:rsid w:val="66486475"/>
    <w:rsid w:val="66D82907"/>
    <w:rsid w:val="670A0C32"/>
    <w:rsid w:val="6714680B"/>
    <w:rsid w:val="671A2875"/>
    <w:rsid w:val="6754503C"/>
    <w:rsid w:val="676C7036"/>
    <w:rsid w:val="683C7E7F"/>
    <w:rsid w:val="68A7198D"/>
    <w:rsid w:val="68CB194B"/>
    <w:rsid w:val="68D70080"/>
    <w:rsid w:val="69264077"/>
    <w:rsid w:val="693D530D"/>
    <w:rsid w:val="6976772C"/>
    <w:rsid w:val="699F53F8"/>
    <w:rsid w:val="6A0B4BDE"/>
    <w:rsid w:val="6B1E70C6"/>
    <w:rsid w:val="6B393020"/>
    <w:rsid w:val="6B631EBD"/>
    <w:rsid w:val="6C447F32"/>
    <w:rsid w:val="6CAB36AD"/>
    <w:rsid w:val="6CD514A3"/>
    <w:rsid w:val="6CD52386"/>
    <w:rsid w:val="6CE30793"/>
    <w:rsid w:val="6CE764EC"/>
    <w:rsid w:val="6D582FC7"/>
    <w:rsid w:val="6D7F71AD"/>
    <w:rsid w:val="6D885538"/>
    <w:rsid w:val="6DE17C72"/>
    <w:rsid w:val="6DF777CB"/>
    <w:rsid w:val="6E262897"/>
    <w:rsid w:val="6E416C4A"/>
    <w:rsid w:val="6E50156F"/>
    <w:rsid w:val="6E743803"/>
    <w:rsid w:val="6E9F307A"/>
    <w:rsid w:val="6EAE6B68"/>
    <w:rsid w:val="6EB66DB8"/>
    <w:rsid w:val="6F0C35C3"/>
    <w:rsid w:val="6F901C8B"/>
    <w:rsid w:val="6F9821C1"/>
    <w:rsid w:val="6FB92EDC"/>
    <w:rsid w:val="6FBB5EA4"/>
    <w:rsid w:val="6FF21491"/>
    <w:rsid w:val="702A1CFF"/>
    <w:rsid w:val="702E23C7"/>
    <w:rsid w:val="70AE736D"/>
    <w:rsid w:val="70D85E3C"/>
    <w:rsid w:val="71091F9B"/>
    <w:rsid w:val="71B26AD7"/>
    <w:rsid w:val="72850298"/>
    <w:rsid w:val="72987BC6"/>
    <w:rsid w:val="733E463E"/>
    <w:rsid w:val="736B313E"/>
    <w:rsid w:val="73F3724A"/>
    <w:rsid w:val="7581454C"/>
    <w:rsid w:val="75982815"/>
    <w:rsid w:val="759929D8"/>
    <w:rsid w:val="76211766"/>
    <w:rsid w:val="762F1AAB"/>
    <w:rsid w:val="76304000"/>
    <w:rsid w:val="765006B2"/>
    <w:rsid w:val="773A0865"/>
    <w:rsid w:val="774730C2"/>
    <w:rsid w:val="77C222EA"/>
    <w:rsid w:val="77FC72FD"/>
    <w:rsid w:val="78141133"/>
    <w:rsid w:val="789711D5"/>
    <w:rsid w:val="78C83F3F"/>
    <w:rsid w:val="78E72E27"/>
    <w:rsid w:val="78F02F79"/>
    <w:rsid w:val="79440AEE"/>
    <w:rsid w:val="798B5F65"/>
    <w:rsid w:val="79A2762F"/>
    <w:rsid w:val="79F24BEB"/>
    <w:rsid w:val="7ADA1F82"/>
    <w:rsid w:val="7B3C3631"/>
    <w:rsid w:val="7B455260"/>
    <w:rsid w:val="7B840A4C"/>
    <w:rsid w:val="7B965B91"/>
    <w:rsid w:val="7BCB508C"/>
    <w:rsid w:val="7C280240"/>
    <w:rsid w:val="7C8810E5"/>
    <w:rsid w:val="7C9212DF"/>
    <w:rsid w:val="7D1E5AD5"/>
    <w:rsid w:val="7D21384E"/>
    <w:rsid w:val="7D955719"/>
    <w:rsid w:val="7DD54CAE"/>
    <w:rsid w:val="7DF438B1"/>
    <w:rsid w:val="7E6E4AB0"/>
    <w:rsid w:val="7E741677"/>
    <w:rsid w:val="7F63591A"/>
    <w:rsid w:val="7F9562A7"/>
    <w:rsid w:val="7FC83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7">
    <w:name w:val="caption"/>
    <w:basedOn w:val="1"/>
    <w:next w:val="1"/>
    <w:semiHidden/>
    <w:unhideWhenUsed/>
    <w:qFormat/>
    <w:uiPriority w:val="35"/>
    <w:rPr>
      <w:rFonts w:ascii="Arial" w:hAnsi="Arial" w:eastAsia="黑体"/>
      <w:sz w:val="20"/>
    </w:rPr>
  </w:style>
  <w:style w:type="paragraph" w:styleId="8">
    <w:name w:val="Document Map"/>
    <w:basedOn w:val="1"/>
    <w:link w:val="59"/>
    <w:semiHidden/>
    <w:unhideWhenUsed/>
    <w:qFormat/>
    <w:uiPriority w:val="99"/>
    <w:rPr>
      <w:rFonts w:ascii="宋体"/>
      <w:sz w:val="18"/>
      <w:szCs w:val="18"/>
    </w:rPr>
  </w:style>
  <w:style w:type="paragraph" w:styleId="9">
    <w:name w:val="annotation text"/>
    <w:basedOn w:val="1"/>
    <w:link w:val="50"/>
    <w:unhideWhenUsed/>
    <w:qFormat/>
    <w:uiPriority w:val="99"/>
    <w:pPr>
      <w:jc w:val="left"/>
    </w:pPr>
    <w:rPr>
      <w:rFonts w:asciiTheme="minorHAnsi" w:hAnsiTheme="minorHAnsi" w:eastAsiaTheme="minorEastAsia" w:cstheme="minorBidi"/>
      <w:szCs w:val="22"/>
    </w:rPr>
  </w:style>
  <w:style w:type="paragraph" w:styleId="10">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1">
    <w:name w:val="toc 3"/>
    <w:basedOn w:val="1"/>
    <w:next w:val="1"/>
    <w:unhideWhenUsed/>
    <w:qFormat/>
    <w:uiPriority w:val="39"/>
    <w:pPr>
      <w:tabs>
        <w:tab w:val="right" w:leader="dot" w:pos="8296"/>
      </w:tabs>
      <w:ind w:left="630" w:leftChars="300"/>
    </w:pPr>
  </w:style>
  <w:style w:type="paragraph" w:styleId="12">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3">
    <w:name w:val="Date"/>
    <w:basedOn w:val="1"/>
    <w:next w:val="1"/>
    <w:link w:val="55"/>
    <w:semiHidden/>
    <w:unhideWhenUsed/>
    <w:qFormat/>
    <w:uiPriority w:val="99"/>
    <w:pPr>
      <w:ind w:left="100" w:leftChars="2500"/>
    </w:pPr>
    <w:rPr>
      <w:rFonts w:asciiTheme="minorHAnsi" w:hAnsiTheme="minorHAnsi" w:eastAsiaTheme="minorEastAsia" w:cstheme="minorBidi"/>
      <w:szCs w:val="22"/>
    </w:rPr>
  </w:style>
  <w:style w:type="paragraph" w:styleId="14">
    <w:name w:val="Balloon Text"/>
    <w:basedOn w:val="1"/>
    <w:link w:val="57"/>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sz w:val="18"/>
      <w:szCs w:val="18"/>
    </w:rPr>
  </w:style>
  <w:style w:type="paragraph" w:styleId="16">
    <w:name w:val="header"/>
    <w:basedOn w:val="1"/>
    <w:link w:val="31"/>
    <w:qFormat/>
    <w:uiPriority w:val="0"/>
    <w:pPr>
      <w:snapToGrid w:val="0"/>
      <w:jc w:val="left"/>
    </w:pPr>
    <w:rPr>
      <w:sz w:val="18"/>
      <w:szCs w:val="18"/>
    </w:rPr>
  </w:style>
  <w:style w:type="paragraph" w:styleId="17">
    <w:name w:val="toc 1"/>
    <w:basedOn w:val="1"/>
    <w:next w:val="1"/>
    <w:qFormat/>
    <w:uiPriority w:val="39"/>
    <w:pPr>
      <w:tabs>
        <w:tab w:val="right" w:leader="dot" w:pos="9241"/>
      </w:tabs>
      <w:spacing w:beforeLines="25" w:afterLines="25"/>
      <w:jc w:val="left"/>
    </w:pPr>
    <w:rPr>
      <w:rFonts w:ascii="宋体"/>
      <w:szCs w:val="21"/>
    </w:rPr>
  </w:style>
  <w:style w:type="paragraph" w:styleId="18">
    <w:name w:val="toc 4"/>
    <w:basedOn w:val="1"/>
    <w:next w:val="1"/>
    <w:unhideWhenUsed/>
    <w:qFormat/>
    <w:uiPriority w:val="39"/>
    <w:pPr>
      <w:ind w:left="1260" w:leftChars="600"/>
    </w:pPr>
  </w:style>
  <w:style w:type="paragraph" w:styleId="19">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0">
    <w:name w:val="toc 2"/>
    <w:basedOn w:val="1"/>
    <w:next w:val="1"/>
    <w:qFormat/>
    <w:uiPriority w:val="39"/>
    <w:pPr>
      <w:tabs>
        <w:tab w:val="right" w:leader="dot" w:pos="9241"/>
      </w:tabs>
    </w:pPr>
    <w:rPr>
      <w:rFonts w:ascii="宋体"/>
      <w:szCs w:val="21"/>
    </w:rPr>
  </w:style>
  <w:style w:type="paragraph" w:styleId="21">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2">
    <w:name w:val="HTML Preformatted"/>
    <w:basedOn w:val="1"/>
    <w:link w:val="3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3">
    <w:name w:val="Normal (Web)"/>
    <w:basedOn w:val="1"/>
    <w:qFormat/>
    <w:uiPriority w:val="0"/>
    <w:pPr>
      <w:spacing w:beforeAutospacing="1" w:afterAutospacing="1"/>
      <w:jc w:val="left"/>
    </w:pPr>
    <w:rPr>
      <w:kern w:val="0"/>
      <w:sz w:val="24"/>
    </w:rPr>
  </w:style>
  <w:style w:type="paragraph" w:styleId="24">
    <w:name w:val="annotation subject"/>
    <w:basedOn w:val="9"/>
    <w:next w:val="9"/>
    <w:link w:val="53"/>
    <w:semiHidden/>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0"/>
    <w:rPr>
      <w:b/>
      <w:bCs/>
    </w:rPr>
  </w:style>
  <w:style w:type="character" w:styleId="29">
    <w:name w:val="Hyperlink"/>
    <w:qFormat/>
    <w:uiPriority w:val="99"/>
    <w:rPr>
      <w:color w:val="0000FF"/>
      <w:spacing w:val="0"/>
      <w:w w:val="100"/>
      <w:szCs w:val="21"/>
      <w:u w:val="single"/>
      <w:lang w:val="en-US" w:eastAsia="zh-CN"/>
    </w:rPr>
  </w:style>
  <w:style w:type="character" w:styleId="30">
    <w:name w:val="annotation reference"/>
    <w:basedOn w:val="27"/>
    <w:semiHidden/>
    <w:unhideWhenUsed/>
    <w:qFormat/>
    <w:uiPriority w:val="99"/>
    <w:rPr>
      <w:sz w:val="21"/>
      <w:szCs w:val="21"/>
    </w:rPr>
  </w:style>
  <w:style w:type="character" w:customStyle="1" w:styleId="31">
    <w:name w:val="页眉 字符"/>
    <w:basedOn w:val="27"/>
    <w:link w:val="16"/>
    <w:qFormat/>
    <w:uiPriority w:val="0"/>
    <w:rPr>
      <w:rFonts w:ascii="Times New Roman" w:hAnsi="Times New Roman" w:eastAsia="宋体" w:cs="Times New Roman"/>
      <w:sz w:val="18"/>
      <w:szCs w:val="18"/>
    </w:rPr>
  </w:style>
  <w:style w:type="paragraph" w:customStyle="1" w:styleId="32">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3">
    <w:name w:val="HTML 预设格式 字符"/>
    <w:basedOn w:val="27"/>
    <w:link w:val="22"/>
    <w:qFormat/>
    <w:uiPriority w:val="99"/>
    <w:rPr>
      <w:rFonts w:ascii="宋体" w:hAnsi="宋体" w:eastAsia="宋体" w:cs="宋体"/>
      <w:kern w:val="0"/>
      <w:sz w:val="24"/>
      <w:szCs w:val="24"/>
    </w:rPr>
  </w:style>
  <w:style w:type="character" w:customStyle="1" w:styleId="34">
    <w:name w:val="段 Char"/>
    <w:link w:val="32"/>
    <w:qFormat/>
    <w:uiPriority w:val="0"/>
    <w:rPr>
      <w:rFonts w:ascii="宋体" w:hAnsi="Times New Roman" w:eastAsia="宋体" w:cs="Times New Roman"/>
      <w:kern w:val="0"/>
      <w:szCs w:val="20"/>
    </w:rPr>
  </w:style>
  <w:style w:type="paragraph" w:customStyle="1" w:styleId="35">
    <w:name w:val="样式1"/>
    <w:basedOn w:val="2"/>
    <w:qFormat/>
    <w:uiPriority w:val="0"/>
    <w:pPr>
      <w:spacing w:beforeLines="50" w:afterLines="50" w:line="288" w:lineRule="auto"/>
    </w:pPr>
    <w:rPr>
      <w:sz w:val="24"/>
    </w:rPr>
  </w:style>
  <w:style w:type="paragraph" w:customStyle="1" w:styleId="3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7">
    <w:name w:val="样式2"/>
    <w:basedOn w:val="3"/>
    <w:link w:val="44"/>
    <w:qFormat/>
    <w:uiPriority w:val="0"/>
    <w:pPr>
      <w:spacing w:beforeLines="50" w:afterLines="50" w:line="288" w:lineRule="auto"/>
    </w:pPr>
    <w:rPr>
      <w:rFonts w:eastAsia="宋体"/>
      <w:sz w:val="21"/>
    </w:rPr>
  </w:style>
  <w:style w:type="paragraph" w:customStyle="1" w:styleId="38">
    <w:name w:val="大标题"/>
    <w:basedOn w:val="1"/>
    <w:qFormat/>
    <w:uiPriority w:val="99"/>
    <w:pPr>
      <w:tabs>
        <w:tab w:val="left" w:pos="5220"/>
      </w:tabs>
      <w:adjustRightInd w:val="0"/>
      <w:snapToGrid w:val="0"/>
      <w:spacing w:beforeLines="200" w:afterLines="200"/>
      <w:jc w:val="center"/>
      <w:textAlignment w:val="center"/>
    </w:pPr>
    <w:rPr>
      <w:rFonts w:ascii="Arial" w:hAnsi="Arial" w:eastAsia="黑体"/>
      <w:sz w:val="32"/>
      <w:szCs w:val="20"/>
    </w:rPr>
  </w:style>
  <w:style w:type="paragraph" w:customStyle="1" w:styleId="3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40">
    <w:name w:val="标题 1 字符"/>
    <w:basedOn w:val="27"/>
    <w:link w:val="2"/>
    <w:qFormat/>
    <w:uiPriority w:val="9"/>
    <w:rPr>
      <w:rFonts w:ascii="Times New Roman" w:hAnsi="Times New Roman" w:eastAsia="宋体" w:cs="Times New Roman"/>
      <w:b/>
      <w:bCs/>
      <w:kern w:val="44"/>
      <w:sz w:val="44"/>
      <w:szCs w:val="44"/>
    </w:rPr>
  </w:style>
  <w:style w:type="character" w:customStyle="1" w:styleId="41">
    <w:name w:val="标题 2 字符"/>
    <w:basedOn w:val="27"/>
    <w:link w:val="3"/>
    <w:qFormat/>
    <w:uiPriority w:val="9"/>
    <w:rPr>
      <w:rFonts w:asciiTheme="majorHAnsi" w:hAnsiTheme="majorHAnsi" w:eastAsiaTheme="majorEastAsia" w:cstheme="majorBidi"/>
      <w:b/>
      <w:bCs/>
      <w:sz w:val="32"/>
      <w:szCs w:val="32"/>
    </w:rPr>
  </w:style>
  <w:style w:type="paragraph" w:customStyle="1" w:styleId="42">
    <w:name w:val="样式3"/>
    <w:basedOn w:val="4"/>
    <w:next w:val="1"/>
    <w:link w:val="45"/>
    <w:qFormat/>
    <w:uiPriority w:val="0"/>
    <w:pPr>
      <w:spacing w:before="100" w:beforeAutospacing="1" w:after="100" w:afterAutospacing="1" w:line="415" w:lineRule="auto"/>
    </w:pPr>
    <w:rPr>
      <w:rFonts w:cstheme="minorBidi"/>
      <w:sz w:val="23"/>
      <w:szCs w:val="23"/>
    </w:rPr>
  </w:style>
  <w:style w:type="paragraph" w:customStyle="1" w:styleId="43">
    <w:name w:val="样式4"/>
    <w:basedOn w:val="5"/>
    <w:link w:val="48"/>
    <w:qFormat/>
    <w:uiPriority w:val="0"/>
    <w:pPr>
      <w:keepNext w:val="0"/>
      <w:spacing w:before="100" w:beforeAutospacing="1" w:after="100" w:afterAutospacing="1" w:line="360" w:lineRule="auto"/>
    </w:pPr>
    <w:rPr>
      <w:rFonts w:eastAsia="宋体"/>
      <w:sz w:val="23"/>
    </w:rPr>
  </w:style>
  <w:style w:type="character" w:customStyle="1" w:styleId="44">
    <w:name w:val="样式2 字符"/>
    <w:basedOn w:val="41"/>
    <w:link w:val="37"/>
    <w:qFormat/>
    <w:uiPriority w:val="0"/>
    <w:rPr>
      <w:rFonts w:eastAsia="宋体" w:asciiTheme="majorHAnsi" w:hAnsiTheme="majorHAnsi" w:cstheme="majorBidi"/>
      <w:sz w:val="32"/>
      <w:szCs w:val="32"/>
    </w:rPr>
  </w:style>
  <w:style w:type="character" w:customStyle="1" w:styleId="45">
    <w:name w:val="样式3 字符"/>
    <w:basedOn w:val="44"/>
    <w:link w:val="42"/>
    <w:qFormat/>
    <w:uiPriority w:val="0"/>
    <w:rPr>
      <w:rFonts w:ascii="Times New Roman" w:hAnsi="Times New Roman" w:eastAsia="宋体" w:cstheme="majorBidi"/>
      <w:sz w:val="23"/>
      <w:szCs w:val="23"/>
    </w:rPr>
  </w:style>
  <w:style w:type="character" w:customStyle="1" w:styleId="46">
    <w:name w:val="标题 3 字符"/>
    <w:basedOn w:val="27"/>
    <w:link w:val="4"/>
    <w:semiHidden/>
    <w:qFormat/>
    <w:uiPriority w:val="9"/>
    <w:rPr>
      <w:rFonts w:ascii="Times New Roman" w:hAnsi="Times New Roman" w:eastAsia="宋体" w:cs="Times New Roman"/>
      <w:b/>
      <w:bCs/>
      <w:sz w:val="32"/>
      <w:szCs w:val="32"/>
    </w:rPr>
  </w:style>
  <w:style w:type="character" w:customStyle="1" w:styleId="47">
    <w:name w:val="标题 4 字符"/>
    <w:basedOn w:val="27"/>
    <w:link w:val="5"/>
    <w:semiHidden/>
    <w:qFormat/>
    <w:uiPriority w:val="9"/>
    <w:rPr>
      <w:rFonts w:asciiTheme="majorHAnsi" w:hAnsiTheme="majorHAnsi" w:eastAsiaTheme="majorEastAsia" w:cstheme="majorBidi"/>
      <w:b/>
      <w:bCs/>
      <w:sz w:val="28"/>
      <w:szCs w:val="28"/>
    </w:rPr>
  </w:style>
  <w:style w:type="character" w:customStyle="1" w:styleId="48">
    <w:name w:val="样式4 字符"/>
    <w:basedOn w:val="47"/>
    <w:link w:val="43"/>
    <w:qFormat/>
    <w:uiPriority w:val="0"/>
    <w:rPr>
      <w:rFonts w:eastAsia="宋体" w:asciiTheme="majorHAnsi" w:hAnsiTheme="majorHAnsi" w:cstheme="majorBidi"/>
      <w:sz w:val="23"/>
      <w:szCs w:val="28"/>
    </w:rPr>
  </w:style>
  <w:style w:type="character" w:customStyle="1" w:styleId="49">
    <w:name w:val="页脚 字符"/>
    <w:basedOn w:val="27"/>
    <w:link w:val="15"/>
    <w:qFormat/>
    <w:uiPriority w:val="99"/>
    <w:rPr>
      <w:rFonts w:ascii="Times New Roman" w:hAnsi="Times New Roman" w:eastAsia="宋体" w:cs="Times New Roman"/>
      <w:sz w:val="18"/>
      <w:szCs w:val="18"/>
    </w:rPr>
  </w:style>
  <w:style w:type="character" w:customStyle="1" w:styleId="50">
    <w:name w:val="批注文字 字符"/>
    <w:basedOn w:val="27"/>
    <w:link w:val="9"/>
    <w:qFormat/>
    <w:uiPriority w:val="99"/>
  </w:style>
  <w:style w:type="paragraph" w:customStyle="1" w:styleId="51">
    <w:name w:val="二级条标题"/>
    <w:basedOn w:val="1"/>
    <w:next w:val="1"/>
    <w:qFormat/>
    <w:uiPriority w:val="0"/>
    <w:pPr>
      <w:widowControl/>
      <w:spacing w:beforeLines="50"/>
      <w:jc w:val="left"/>
      <w:outlineLvl w:val="3"/>
    </w:pPr>
    <w:rPr>
      <w:rFonts w:ascii="黑体" w:eastAsia="黑体"/>
      <w:kern w:val="0"/>
      <w:szCs w:val="21"/>
    </w:rPr>
  </w:style>
  <w:style w:type="paragraph" w:styleId="52">
    <w:name w:val="List Paragraph"/>
    <w:basedOn w:val="1"/>
    <w:qFormat/>
    <w:uiPriority w:val="34"/>
    <w:pPr>
      <w:ind w:firstLine="420" w:firstLineChars="200"/>
    </w:pPr>
  </w:style>
  <w:style w:type="character" w:customStyle="1" w:styleId="53">
    <w:name w:val="批注主题 字符"/>
    <w:basedOn w:val="50"/>
    <w:link w:val="24"/>
    <w:semiHidden/>
    <w:qFormat/>
    <w:uiPriority w:val="99"/>
    <w:rPr>
      <w:b/>
      <w:bCs/>
    </w:rPr>
  </w:style>
  <w:style w:type="paragraph" w:customStyle="1" w:styleId="54">
    <w:name w:val="标准表题"/>
    <w:basedOn w:val="1"/>
    <w:next w:val="32"/>
    <w:qFormat/>
    <w:uiPriority w:val="0"/>
    <w:pPr>
      <w:widowControl/>
      <w:jc w:val="center"/>
    </w:pPr>
    <w:rPr>
      <w:rFonts w:ascii="黑体" w:eastAsia="黑体"/>
      <w:kern w:val="21"/>
      <w:szCs w:val="20"/>
    </w:rPr>
  </w:style>
  <w:style w:type="character" w:customStyle="1" w:styleId="55">
    <w:name w:val="日期 字符"/>
    <w:basedOn w:val="27"/>
    <w:link w:val="13"/>
    <w:semiHidden/>
    <w:qFormat/>
    <w:uiPriority w:val="99"/>
  </w:style>
  <w:style w:type="paragraph" w:customStyle="1" w:styleId="5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7">
    <w:name w:val="批注框文本 字符"/>
    <w:basedOn w:val="27"/>
    <w:link w:val="14"/>
    <w:semiHidden/>
    <w:qFormat/>
    <w:uiPriority w:val="99"/>
    <w:rPr>
      <w:rFonts w:ascii="Times New Roman" w:hAnsi="Times New Roman" w:eastAsia="宋体" w:cs="Times New Roman"/>
      <w:sz w:val="18"/>
      <w:szCs w:val="18"/>
    </w:rPr>
  </w:style>
  <w:style w:type="character" w:customStyle="1" w:styleId="58">
    <w:name w:val="段 Char Char"/>
    <w:qFormat/>
    <w:locked/>
    <w:uiPriority w:val="99"/>
    <w:rPr>
      <w:rFonts w:ascii="宋体" w:hAnsi="Calibri" w:cs="宋体"/>
      <w:szCs w:val="21"/>
    </w:rPr>
  </w:style>
  <w:style w:type="character" w:customStyle="1" w:styleId="59">
    <w:name w:val="文档结构图 字符"/>
    <w:basedOn w:val="27"/>
    <w:link w:val="8"/>
    <w:semiHidden/>
    <w:qFormat/>
    <w:uiPriority w:val="99"/>
    <w:rPr>
      <w:rFonts w:ascii="宋体" w:hAnsi="Times New Roman" w:eastAsia="宋体" w:cs="Times New Roman"/>
      <w:sz w:val="18"/>
      <w:szCs w:val="18"/>
    </w:rPr>
  </w:style>
  <w:style w:type="character" w:customStyle="1" w:styleId="60">
    <w:name w:val="en-code1"/>
    <w:basedOn w:val="27"/>
    <w:qFormat/>
    <w:uiPriority w:val="0"/>
    <w:rPr>
      <w:b/>
      <w:bCs/>
      <w:color w:val="0A5CA8"/>
      <w:sz w:val="26"/>
      <w:szCs w:val="26"/>
    </w:rPr>
  </w:style>
  <w:style w:type="paragraph" w:customStyle="1" w:styleId="61">
    <w:name w:val="表 1"/>
    <w:basedOn w:val="1"/>
    <w:qFormat/>
    <w:uiPriority w:val="0"/>
    <w:pPr>
      <w:jc w:val="center"/>
    </w:pPr>
    <w:rPr>
      <w:sz w:val="20"/>
    </w:rPr>
  </w:style>
  <w:style w:type="character" w:customStyle="1" w:styleId="62">
    <w:name w:val="font41"/>
    <w:basedOn w:val="27"/>
    <w:qFormat/>
    <w:uiPriority w:val="0"/>
    <w:rPr>
      <w:rFonts w:hint="eastAsia" w:ascii="宋体" w:hAnsi="宋体" w:eastAsia="宋体" w:cs="宋体"/>
      <w:b/>
      <w:bCs/>
      <w:color w:val="000000"/>
      <w:sz w:val="20"/>
      <w:szCs w:val="20"/>
      <w:u w:val="none"/>
    </w:rPr>
  </w:style>
  <w:style w:type="character" w:customStyle="1" w:styleId="63">
    <w:name w:val="font51"/>
    <w:basedOn w:val="27"/>
    <w:qFormat/>
    <w:uiPriority w:val="0"/>
    <w:rPr>
      <w:rFonts w:hint="eastAsia" w:ascii="宋体" w:hAnsi="宋体" w:eastAsia="宋体" w:cs="宋体"/>
      <w:color w:val="000000"/>
      <w:sz w:val="20"/>
      <w:szCs w:val="20"/>
      <w:u w:val="none"/>
    </w:rPr>
  </w:style>
  <w:style w:type="character" w:customStyle="1" w:styleId="64">
    <w:name w:val="font31"/>
    <w:basedOn w:val="27"/>
    <w:qFormat/>
    <w:uiPriority w:val="0"/>
    <w:rPr>
      <w:rFonts w:hint="eastAsia" w:ascii="宋体" w:hAnsi="宋体" w:eastAsia="宋体" w:cs="宋体"/>
      <w:color w:val="000000"/>
      <w:sz w:val="20"/>
      <w:szCs w:val="20"/>
      <w:u w:val="none"/>
    </w:rPr>
  </w:style>
  <w:style w:type="character" w:customStyle="1" w:styleId="65">
    <w:name w:val="font81"/>
    <w:basedOn w:val="27"/>
    <w:qFormat/>
    <w:uiPriority w:val="0"/>
    <w:rPr>
      <w:rFonts w:hint="default" w:ascii="Times New Roman" w:hAnsi="Times New Roman" w:cs="Times New Roman"/>
      <w:color w:val="000000"/>
      <w:sz w:val="20"/>
      <w:szCs w:val="20"/>
      <w:u w:val="none"/>
    </w:rPr>
  </w:style>
  <w:style w:type="paragraph" w:customStyle="1" w:styleId="66">
    <w:name w:val="WPSOffice手动目录 1"/>
    <w:qFormat/>
    <w:uiPriority w:val="0"/>
    <w:rPr>
      <w:rFonts w:ascii="Times New Roman" w:hAnsi="Times New Roman" w:eastAsia="宋体" w:cs="Times New Roman"/>
      <w:lang w:val="en-US" w:eastAsia="zh-CN" w:bidi="ar-SA"/>
    </w:rPr>
  </w:style>
  <w:style w:type="character" w:customStyle="1" w:styleId="67">
    <w:name w:val="font01"/>
    <w:basedOn w:val="27"/>
    <w:qFormat/>
    <w:uiPriority w:val="0"/>
    <w:rPr>
      <w:rFonts w:hint="eastAsia" w:ascii="宋体" w:hAnsi="宋体" w:eastAsia="宋体" w:cs="宋体"/>
      <w:color w:val="000000"/>
      <w:sz w:val="22"/>
      <w:szCs w:val="22"/>
      <w:u w:val="none"/>
    </w:rPr>
  </w:style>
  <w:style w:type="character" w:customStyle="1" w:styleId="68">
    <w:name w:val="font11"/>
    <w:basedOn w:val="27"/>
    <w:qFormat/>
    <w:uiPriority w:val="0"/>
    <w:rPr>
      <w:rFonts w:hint="eastAsia" w:ascii="宋体" w:hAnsi="宋体" w:eastAsia="宋体" w:cs="宋体"/>
      <w:color w:val="FF0000"/>
      <w:sz w:val="22"/>
      <w:szCs w:val="22"/>
      <w:u w:val="none"/>
    </w:rPr>
  </w:style>
  <w:style w:type="paragraph" w:customStyle="1" w:styleId="69">
    <w:name w:val="0-正文内容"/>
    <w:link w:val="7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70">
    <w:name w:val="0-正文内容 字符"/>
    <w:link w:val="69"/>
    <w:autoRedefine/>
    <w:qFormat/>
    <w:uiPriority w:val="0"/>
    <w:rPr>
      <w:rFonts w:ascii="宋体"/>
      <w:sz w:val="21"/>
    </w:rPr>
  </w:style>
  <w:style w:type="paragraph" w:customStyle="1" w:styleId="7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72">
    <w:name w:val="Heading4"/>
    <w:basedOn w:val="1"/>
    <w:next w:val="1"/>
    <w:qFormat/>
    <w:uiPriority w:val="99"/>
    <w:pPr>
      <w:spacing w:line="400" w:lineRule="exact"/>
    </w:pPr>
    <w:rPr>
      <w:szCs w:val="28"/>
    </w:rPr>
  </w:style>
  <w:style w:type="character" w:customStyle="1" w:styleId="73">
    <w:name w:val="fontstyle01"/>
    <w:basedOn w:val="27"/>
    <w:qFormat/>
    <w:uiPriority w:val="0"/>
    <w:rPr>
      <w:rFonts w:ascii="宋体" w:hAnsi="宋体" w:eastAsia="宋体" w:cs="宋体"/>
      <w:color w:val="000000"/>
      <w:sz w:val="24"/>
      <w:szCs w:val="24"/>
    </w:rPr>
  </w:style>
  <w:style w:type="character" w:customStyle="1" w:styleId="74">
    <w:name w:val="fontstyle21"/>
    <w:basedOn w:val="27"/>
    <w:qFormat/>
    <w:uiPriority w:val="0"/>
    <w:rPr>
      <w:rFonts w:ascii="TimesNewRomanPSMT" w:hAnsi="TimesNewRomanPSMT" w:eastAsia="TimesNewRomanPSMT" w:cs="TimesNewRomanPSMT"/>
      <w:color w:val="000000"/>
      <w:sz w:val="24"/>
      <w:szCs w:val="24"/>
    </w:rPr>
  </w:style>
  <w:style w:type="character" w:customStyle="1" w:styleId="75">
    <w:name w:val="fontstyle31"/>
    <w:basedOn w:val="27"/>
    <w:qFormat/>
    <w:uiPriority w:val="0"/>
    <w:rPr>
      <w:rFonts w:ascii="宋体" w:hAnsi="宋体" w:eastAsia="宋体" w:cs="宋体"/>
      <w:color w:val="000000"/>
      <w:sz w:val="24"/>
      <w:szCs w:val="24"/>
    </w:rPr>
  </w:style>
  <w:style w:type="paragraph" w:customStyle="1" w:styleId="76">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FBFA3-B250-4D3F-9BFD-5C988FE5D3FB}">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6865</Words>
  <Characters>8419</Characters>
  <Lines>125</Lines>
  <Paragraphs>117</Paragraphs>
  <TotalTime>4</TotalTime>
  <ScaleCrop>false</ScaleCrop>
  <LinksUpToDate>false</LinksUpToDate>
  <CharactersWithSpaces>8665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2025-04-21T10:31:00Z</dcterms:created>
  <dc:creator>Hu Zhiying</dc:creator>
  <cp:lastModifiedBy>强</cp:lastModifiedBy>
  <cp:lastPrinted>2025-04-14T02:39:00Z</cp:lastPrinted>
  <dcterms:modified xsi:type="dcterms:W3CDTF">2025-09-11T09:02:45Z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6B8AC3188B5B4822AD3BA009ADF19479_13</vt:lpwstr>
  </property>
  <property fmtid="{D5CDD505-2E9C-101B-9397-08002B2CF9AE}" pid="4" name="KSOTemplateDocerSaveRecord">
    <vt:lpwstr>eyJoZGlkIjoiYzQ2NDM3YzExOGM5ZjgyODNmMmMwNGM5MzE0NTZlMDkiLCJ1c2VySWQiOiIyMzkzMDk0NTkifQ==</vt:lpwstr>
  </property>
</Properties>
</file>