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DA494">
      <w:pPr>
        <w:autoSpaceDE/>
        <w:autoSpaceDN/>
        <w:rPr>
          <w:rFonts w:hint="eastAsia"/>
        </w:rPr>
      </w:pPr>
    </w:p>
    <w:p w14:paraId="272FB2D6">
      <w:pPr>
        <w:autoSpaceDE/>
        <w:autoSpaceDN/>
        <w:rPr>
          <w:rFonts w:hint="eastAsia"/>
        </w:rPr>
      </w:pPr>
    </w:p>
    <w:p w14:paraId="6BEC72F6">
      <w:pPr>
        <w:autoSpaceDE/>
        <w:autoSpaceDN/>
        <w:rPr>
          <w:rFonts w:hint="eastAsia"/>
        </w:rPr>
      </w:pPr>
    </w:p>
    <w:p w14:paraId="6903428C">
      <w:pPr>
        <w:pStyle w:val="27"/>
        <w:framePr w:wrap="around"/>
      </w:pPr>
      <w:r>
        <w:rPr>
          <w:rFonts w:ascii="Times New Roman"/>
        </w:rPr>
        <w:t>ICS</w:t>
      </w:r>
      <w:r>
        <w:rPr>
          <w:rFonts w:hint="eastAsia" w:ascii="MS Gothic" w:hAnsi="MS Gothic" w:eastAsia="MS Gothic" w:cs="MS Gothic"/>
        </w:rPr>
        <w:t> </w:t>
      </w:r>
      <w:r>
        <w:rPr>
          <w:rFonts w:hint="eastAsia"/>
          <w:sz w:val="18"/>
        </w:rPr>
        <w:t>01.040.79</w:t>
      </w:r>
    </w:p>
    <w:p w14:paraId="3D1CE660">
      <w:pPr>
        <w:pStyle w:val="27"/>
        <w:framePr w:wrap="around"/>
      </w:pPr>
      <w:bookmarkStart w:id="0" w:name="WXFLH"/>
      <w:r>
        <w:t xml:space="preserve">CCS </w:t>
      </w:r>
      <w:bookmarkEnd w:id="0"/>
      <w:r>
        <w:rPr>
          <w:rFonts w:hint="eastAsia"/>
          <w:sz w:val="18"/>
        </w:rPr>
        <w:t>B71</w:t>
      </w:r>
    </w:p>
    <w:tbl>
      <w:tblPr>
        <w:tblStyle w:val="21"/>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6B84B3DD">
        <w:tc>
          <w:tcPr>
            <w:tcW w:w="9854" w:type="dxa"/>
            <w:tcBorders>
              <w:top w:val="nil"/>
              <w:left w:val="nil"/>
              <w:bottom w:val="nil"/>
              <w:right w:val="nil"/>
            </w:tcBorders>
          </w:tcPr>
          <w:p w14:paraId="18BED1D6">
            <w:pPr>
              <w:pStyle w:val="27"/>
              <w:framePr w:wrap="around"/>
            </w:pPr>
            <w:r>
              <w:rPr>
                <w:rFonts w:ascii="Times New Roman"/>
              </w:rPr>
              <w:t>备案号：</w:t>
            </w: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29FB236E">
                                  <w:pPr>
                                    <w:rPr>
                                      <w:rFonts w:hint="eastAsia"/>
                                    </w:rPr>
                                  </w:pPr>
                                </w:p>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29FB236E">
                            <w:pPr>
                              <w:rPr>
                                <w:rFonts w:hint="eastAsia"/>
                              </w:rPr>
                            </w:pPr>
                          </w:p>
                        </w:txbxContent>
                      </v:textbox>
                    </v:rect>
                  </w:pict>
                </mc:Fallback>
              </mc:AlternateContent>
            </w:r>
          </w:p>
        </w:tc>
      </w:tr>
    </w:tbl>
    <w:p w14:paraId="5CF51D2B">
      <w:pPr>
        <w:pStyle w:val="28"/>
        <w:framePr w:wrap="around"/>
        <w:rPr>
          <w:b w:val="0"/>
        </w:rPr>
      </w:pPr>
      <w:bookmarkStart w:id="1" w:name="c1"/>
      <w:r>
        <w:rPr>
          <w:b w:val="0"/>
        </w:rPr>
        <w:fldChar w:fldCharType="begin">
          <w:ffData>
            <w:name w:val="c1"/>
            <w:enabled/>
            <w:calcOnExit w:val="0"/>
            <w:entryMacro w:val="ShowHelp15"/>
            <w:textInput>
              <w:maxLength w:val="2"/>
            </w:textInput>
          </w:ffData>
        </w:fldChar>
      </w:r>
      <w:r>
        <w:rPr>
          <w:b w:val="0"/>
        </w:rPr>
        <w:instrText xml:space="preserve"> FORMTEXT </w:instrText>
      </w:r>
      <w:r>
        <w:rPr>
          <w:b w:val="0"/>
        </w:rPr>
        <w:fldChar w:fldCharType="separate"/>
      </w:r>
      <w:r>
        <w:rPr>
          <w:rFonts w:hint="eastAsia"/>
          <w:b w:val="0"/>
        </w:rPr>
        <w:t>JC</w:t>
      </w:r>
      <w:r>
        <w:rPr>
          <w:b w:val="0"/>
        </w:rPr>
        <w:fldChar w:fldCharType="end"/>
      </w:r>
      <w:bookmarkEnd w:id="1"/>
    </w:p>
    <w:p w14:paraId="426CEC70">
      <w:pPr>
        <w:pStyle w:val="29"/>
        <w:framePr w:wrap="around"/>
        <w:rPr>
          <w:rFonts w:hint="eastAsia"/>
        </w:rPr>
      </w:pPr>
      <w:r>
        <w:rPr>
          <w:rFonts w:hint="eastAsia"/>
        </w:rPr>
        <w:t>中华人民共和国</w:t>
      </w:r>
      <w:bookmarkStart w:id="2" w:name="c2"/>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bookmarkEnd w:id="2"/>
      <w:r>
        <w:rPr>
          <w:rFonts w:hint="eastAsia"/>
        </w:rPr>
        <w:t>行业标准</w:t>
      </w:r>
    </w:p>
    <w:p w14:paraId="67B75B27">
      <w:pPr>
        <w:pStyle w:val="30"/>
        <w:framePr w:wrap="around"/>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JC</w:t>
      </w:r>
      <w:r>
        <w:rPr>
          <w:rFonts w:ascii="Times New Roman"/>
        </w:rPr>
        <w:fldChar w:fldCharType="end"/>
      </w:r>
      <w:bookmarkEnd w:id="3"/>
      <w:r>
        <w:rPr>
          <w:rFonts w:ascii="Times New Roman"/>
        </w:rPr>
        <w:t xml:space="preserve">/T </w:t>
      </w:r>
      <w:bookmarkStart w:id="4"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4"/>
      <w:r>
        <w:t>—</w:t>
      </w:r>
      <w:bookmarkStart w:id="5"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5"/>
    </w:p>
    <w:tbl>
      <w:tblPr>
        <w:tblStyle w:val="21"/>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6CEFD2CA">
        <w:tc>
          <w:tcPr>
            <w:tcW w:w="9356" w:type="dxa"/>
            <w:tcBorders>
              <w:top w:val="nil"/>
              <w:left w:val="nil"/>
              <w:bottom w:val="nil"/>
              <w:right w:val="nil"/>
            </w:tcBorders>
          </w:tcPr>
          <w:p w14:paraId="0030D88A">
            <w:pPr>
              <w:pStyle w:val="31"/>
              <w:framePr w:wrap="around"/>
              <w:ind w:right="210"/>
            </w:pPr>
          </w:p>
        </w:tc>
      </w:tr>
    </w:tbl>
    <w:p w14:paraId="4776731D">
      <w:pPr>
        <w:pStyle w:val="30"/>
        <w:framePr w:wrap="around"/>
      </w:pPr>
    </w:p>
    <w:p w14:paraId="262AFEC5">
      <w:pPr>
        <w:pStyle w:val="30"/>
        <w:framePr w:wrap="around"/>
      </w:pPr>
    </w:p>
    <w:p w14:paraId="5A7CA03C">
      <w:pPr>
        <w:pStyle w:val="32"/>
        <w:framePr w:w="9293" w:wrap="around" w:x="1699"/>
      </w:pPr>
      <w:r>
        <w:rPr>
          <w:rFonts w:hint="eastAsia"/>
        </w:rPr>
        <w:t>加压法阻燃处理结构用木质材料</w:t>
      </w:r>
    </w:p>
    <w:p w14:paraId="7A1C0160">
      <w:pPr>
        <w:pStyle w:val="32"/>
        <w:framePr w:w="9293" w:wrap="around" w:x="1699"/>
      </w:pPr>
      <w:r>
        <w:rPr>
          <w:rFonts w:hint="eastAsia"/>
        </w:rPr>
        <w:t>（</w:t>
      </w:r>
      <w:r>
        <w:rPr>
          <w:rFonts w:hint="eastAsia"/>
          <w:lang w:val="en-US" w:eastAsia="zh-CN"/>
        </w:rPr>
        <w:t>征求意见稿</w:t>
      </w:r>
      <w:r>
        <w:rPr>
          <w:rFonts w:hint="eastAsia"/>
        </w:rPr>
        <w:t>）</w:t>
      </w:r>
    </w:p>
    <w:tbl>
      <w:tblPr>
        <w:tblStyle w:val="21"/>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4CFC18A4">
        <w:tc>
          <w:tcPr>
            <w:tcW w:w="9855" w:type="dxa"/>
            <w:tcBorders>
              <w:top w:val="nil"/>
              <w:left w:val="nil"/>
              <w:bottom w:val="nil"/>
              <w:right w:val="nil"/>
            </w:tcBorders>
          </w:tcPr>
          <w:p w14:paraId="1F6DA914">
            <w:pPr>
              <w:pStyle w:val="35"/>
              <w:framePr w:w="9293" w:wrap="around" w:x="1699"/>
              <w:rPr>
                <w:rFonts w:hint="eastAsia" w:ascii="微软雅黑" w:hAnsi="微软雅黑" w:eastAsia="微软雅黑"/>
                <w:color w:val="333333"/>
                <w:sz w:val="36"/>
                <w:szCs w:val="36"/>
              </w:rPr>
            </w:pPr>
            <w:r>
              <w:rPr>
                <w:rFonts w:hint="eastAsia" w:ascii="微软雅黑" w:hAnsi="微软雅黑" w:eastAsia="微软雅黑"/>
                <w:color w:val="333333"/>
                <w:sz w:val="36"/>
                <w:szCs w:val="36"/>
              </w:rPr>
              <w:t>Fire retardant wood for structural treatment by pressurization</w:t>
            </w:r>
            <w:r>
              <w:rPr>
                <w:rFonts w:hint="eastAsia" w:ascii="微软雅黑" w:hAnsi="微软雅黑" w:eastAsia="微软雅黑"/>
                <w:color w:val="333333"/>
                <w:sz w:val="36"/>
                <w:szCs w:val="36"/>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479452E4">
                                  <w:pPr>
                                    <w:rPr>
                                      <w:rFonts w:hint="eastAsia"/>
                                    </w:rPr>
                                  </w:pPr>
                                </w:p>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479452E4">
                            <w:pPr>
                              <w:rPr>
                                <w:rFonts w:hint="eastAsia"/>
                              </w:rPr>
                            </w:pPr>
                          </w:p>
                        </w:txbxContent>
                      </v:textbox>
                      <w10:anchorlock/>
                    </v:rect>
                  </w:pict>
                </mc:Fallback>
              </mc:AlternateContent>
            </w:r>
          </w:p>
        </w:tc>
      </w:tr>
      <w:tr w14:paraId="7D596DBD">
        <w:tc>
          <w:tcPr>
            <w:tcW w:w="9855" w:type="dxa"/>
            <w:tcBorders>
              <w:top w:val="nil"/>
              <w:left w:val="nil"/>
              <w:bottom w:val="nil"/>
              <w:right w:val="nil"/>
            </w:tcBorders>
          </w:tcPr>
          <w:p w14:paraId="7E4A2424">
            <w:pPr>
              <w:pStyle w:val="36"/>
              <w:framePr w:w="9293" w:wrap="around" w:x="1699"/>
            </w:pPr>
          </w:p>
        </w:tc>
      </w:tr>
    </w:tbl>
    <w:p w14:paraId="6AD3E4D1">
      <w:pPr>
        <w:pStyle w:val="37"/>
        <w:framePr w:wrap="around" w:hAnchor="page" w:x="1741" w:y="14041"/>
      </w:pPr>
      <w:bookmarkStart w:id="6"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5DFE1B30">
      <w:pPr>
        <w:pStyle w:val="39"/>
        <w:framePr w:wrap="around" w:hAnchor="page" w:x="7096" w:y="14176"/>
      </w:pPr>
      <w:bookmarkStart w:id="8"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7865E49D">
      <w:pPr>
        <w:pStyle w:val="41"/>
        <w:framePr w:wrap="around" w:x="2186" w:y="15211"/>
      </w:pPr>
      <w:bookmarkStart w:id="11" w:name="fm"/>
      <w: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58B73D72">
                            <w:pPr>
                              <w:rPr>
                                <w:rFonts w:hint="eastAsia"/>
                              </w:rPr>
                            </w:pPr>
                          </w:p>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58B73D72">
                      <w:pPr>
                        <w:rPr>
                          <w:rFonts w:hint="eastAsia"/>
                        </w:rPr>
                      </w:pPr>
                    </w:p>
                  </w:txbxContent>
                </v:textbox>
              </v:rect>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5B9CED29">
                            <w:pPr>
                              <w:rPr>
                                <w:rFonts w:hint="eastAsia"/>
                              </w:rPr>
                            </w:pPr>
                          </w:p>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5B9CED29">
                      <w:pPr>
                        <w:rPr>
                          <w:rFonts w:hint="eastAsia"/>
                        </w:rPr>
                      </w:pP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1"/>
      <w:r>
        <w:rPr>
          <w:rFonts w:hint="eastAsia"/>
        </w:rPr>
        <w:t xml:space="preserve"> </w:t>
      </w:r>
      <w:r>
        <w:rPr>
          <w:rStyle w:val="44"/>
          <w:rFonts w:hint="eastAsia"/>
        </w:rPr>
        <w:t>发布</w:t>
      </w:r>
    </w:p>
    <w:p w14:paraId="7800559D">
      <w:pPr>
        <w:autoSpaceDE/>
        <w:autoSpaceDN/>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3FE16E88">
      <w:pPr>
        <w:pStyle w:val="45"/>
        <w:tabs>
          <w:tab w:val="center" w:pos="4677"/>
          <w:tab w:val="left" w:pos="7092"/>
        </w:tabs>
        <w:jc w:val="left"/>
      </w:pPr>
      <w:r>
        <w:tab/>
      </w:r>
      <w:bookmarkStart w:id="12" w:name="_Toc65048765"/>
      <w:bookmarkStart w:id="13" w:name="_Toc103159534"/>
      <w:bookmarkStart w:id="14" w:name="_Toc65048651"/>
      <w:r>
        <w:rPr>
          <w:rFonts w:hint="eastAsia"/>
        </w:rPr>
        <w:t>前</w:t>
      </w:r>
      <w:bookmarkStart w:id="15" w:name="BKQY"/>
      <w:r>
        <w:rPr>
          <w:rFonts w:hAnsi="黑体"/>
        </w:rPr>
        <w:t>  </w:t>
      </w:r>
      <w:r>
        <w:rPr>
          <w:rFonts w:hint="eastAsia"/>
        </w:rPr>
        <w:t>言</w:t>
      </w:r>
      <w:bookmarkEnd w:id="12"/>
      <w:bookmarkEnd w:id="13"/>
      <w:bookmarkEnd w:id="14"/>
      <w:bookmarkEnd w:id="15"/>
      <w:r>
        <w:tab/>
      </w:r>
    </w:p>
    <w:p w14:paraId="465A330B">
      <w:pPr>
        <w:autoSpaceDE/>
        <w:autoSpaceDN/>
        <w:rPr>
          <w:rFonts w:hint="eastAsia"/>
        </w:rPr>
      </w:pPr>
      <w:r>
        <w:rPr>
          <w:rFonts w:hint="eastAsia"/>
        </w:rPr>
        <w:t>本文件按照GB/T</w:t>
      </w:r>
      <w:r>
        <w:t xml:space="preserve"> </w:t>
      </w:r>
      <w:r>
        <w:rPr>
          <w:rFonts w:hint="eastAsia"/>
        </w:rPr>
        <w:t>1.1-2020《标准化工作导则 第1部分：标准化文件的结构和起草规则》的规定起草。</w:t>
      </w:r>
    </w:p>
    <w:p w14:paraId="0D650C75">
      <w:pPr>
        <w:autoSpaceDE/>
        <w:autoSpaceDN/>
        <w:rPr>
          <w:rFonts w:hint="eastAsia"/>
        </w:rPr>
      </w:pPr>
      <w:r>
        <w:rPr>
          <w:rFonts w:hint="eastAsia"/>
        </w:rPr>
        <w:t>本文件替代SB/T 10896-2012 《结构木材 加压法阻燃处理》，与SB/T 10896-2012相比，除结构调整和编辑性改动外，主要技术变化如下：</w:t>
      </w:r>
    </w:p>
    <w:p w14:paraId="789BA7B6">
      <w:pPr>
        <w:autoSpaceDE/>
        <w:autoSpaceDN/>
        <w:rPr>
          <w:rFonts w:hint="eastAsia"/>
          <w:highlight w:val="yellow"/>
        </w:rPr>
      </w:pPr>
      <w:r>
        <w:rPr>
          <w:rFonts w:hint="eastAsia"/>
          <w:highlight w:val="yellow"/>
        </w:rPr>
        <w:t>——更改了术语和定义（第3章）；</w:t>
      </w:r>
    </w:p>
    <w:p w14:paraId="283B0CFD">
      <w:pPr>
        <w:autoSpaceDE/>
        <w:autoSpaceDN/>
        <w:rPr>
          <w:rFonts w:hint="eastAsia"/>
          <w:highlight w:val="yellow"/>
        </w:rPr>
      </w:pPr>
      <w:r>
        <w:rPr>
          <w:rFonts w:hint="eastAsia"/>
          <w:highlight w:val="yellow"/>
        </w:rPr>
        <w:t>——更改了质量要求（第5章）；</w:t>
      </w:r>
    </w:p>
    <w:p w14:paraId="7C6E1614">
      <w:pPr>
        <w:autoSpaceDE/>
        <w:autoSpaceDN/>
        <w:rPr>
          <w:rFonts w:hint="eastAsia"/>
          <w:highlight w:val="yellow"/>
        </w:rPr>
      </w:pPr>
      <w:r>
        <w:rPr>
          <w:rFonts w:hint="eastAsia"/>
          <w:highlight w:val="yellow"/>
        </w:rPr>
        <w:t>——更改了检验方法（第</w:t>
      </w:r>
      <w:r>
        <w:rPr>
          <w:rFonts w:hint="eastAsia"/>
          <w:highlight w:val="yellow"/>
          <w:lang w:val="en-US" w:eastAsia="zh-CN"/>
        </w:rPr>
        <w:t>7</w:t>
      </w:r>
      <w:r>
        <w:rPr>
          <w:rFonts w:hint="eastAsia"/>
          <w:highlight w:val="yellow"/>
        </w:rPr>
        <w:t>章）；</w:t>
      </w:r>
    </w:p>
    <w:p w14:paraId="7C51B485">
      <w:pPr>
        <w:autoSpaceDE/>
        <w:autoSpaceDN/>
        <w:rPr>
          <w:rFonts w:hint="default" w:eastAsiaTheme="minorEastAsia"/>
          <w:highlight w:val="yellow"/>
          <w:lang w:val="en-US" w:eastAsia="zh-CN"/>
        </w:rPr>
      </w:pPr>
      <w:r>
        <w:rPr>
          <w:rFonts w:hint="eastAsia"/>
          <w:highlight w:val="yellow"/>
          <w:lang w:eastAsia="zh-CN"/>
        </w:rPr>
        <w:t>——</w:t>
      </w:r>
      <w:r>
        <w:rPr>
          <w:rFonts w:hint="eastAsia"/>
          <w:highlight w:val="yellow"/>
          <w:lang w:val="en-US" w:eastAsia="zh-CN"/>
        </w:rPr>
        <w:t>增加了检验规则（第8章）</w:t>
      </w:r>
    </w:p>
    <w:p w14:paraId="26520B1B">
      <w:pPr>
        <w:autoSpaceDE/>
        <w:autoSpaceDN/>
        <w:rPr>
          <w:rFonts w:hint="eastAsia"/>
          <w:highlight w:val="yellow"/>
        </w:rPr>
      </w:pPr>
      <w:r>
        <w:rPr>
          <w:rFonts w:hint="eastAsia"/>
          <w:highlight w:val="yellow"/>
        </w:rPr>
        <w:t>——更改了包装、运输和储存的要求（第9章）。</w:t>
      </w:r>
    </w:p>
    <w:p w14:paraId="3480DECE">
      <w:pPr>
        <w:autoSpaceDE/>
        <w:autoSpaceDN/>
        <w:rPr>
          <w:rFonts w:hint="eastAsia"/>
        </w:rPr>
      </w:pPr>
      <w:r>
        <w:rPr>
          <w:rFonts w:hint="eastAsia"/>
        </w:rPr>
        <w:t>请注意本文件的某些内容可能涉及专利。本文件的发布机构不承担识别专利的责任。</w:t>
      </w:r>
    </w:p>
    <w:p w14:paraId="1077265B">
      <w:pPr>
        <w:autoSpaceDE/>
        <w:autoSpaceDN/>
        <w:rPr>
          <w:rFonts w:hint="eastAsia"/>
        </w:rPr>
      </w:pPr>
      <w:r>
        <w:rPr>
          <w:rFonts w:hint="eastAsia"/>
        </w:rPr>
        <w:t>本文件由中华人民共和国工业和信息化部提出</w:t>
      </w:r>
    </w:p>
    <w:p w14:paraId="4EF05010">
      <w:pPr>
        <w:autoSpaceDE/>
        <w:autoSpaceDN/>
        <w:ind w:left="420" w:hanging="420" w:hangingChars="200"/>
        <w:rPr>
          <w:rFonts w:hint="eastAsia"/>
        </w:rPr>
      </w:pPr>
      <w:r>
        <w:rPr>
          <w:rFonts w:hint="eastAsia"/>
          <w:lang w:val="en-US" w:eastAsia="zh-CN"/>
        </w:rPr>
        <w:t>本文件由建材工业综合标准化技术委员会</w:t>
      </w:r>
      <w:r>
        <w:rPr>
          <w:rFonts w:hint="eastAsia"/>
        </w:rPr>
        <w:t>归口。</w:t>
      </w:r>
    </w:p>
    <w:p w14:paraId="743C5DBC">
      <w:pPr>
        <w:autoSpaceDE/>
        <w:autoSpaceDN/>
        <w:rPr>
          <w:rFonts w:hint="eastAsia"/>
        </w:rPr>
      </w:pPr>
      <w:r>
        <w:rPr>
          <w:rFonts w:hint="eastAsia"/>
        </w:rPr>
        <w:t>本文件起草单位：木材节约发展中心、·······</w:t>
      </w:r>
    </w:p>
    <w:p w14:paraId="4AE4F307">
      <w:pPr>
        <w:autoSpaceDE/>
        <w:autoSpaceDN/>
        <w:rPr>
          <w:rFonts w:hint="eastAsia"/>
        </w:rPr>
      </w:pPr>
      <w:r>
        <w:rPr>
          <w:rFonts w:hint="eastAsia"/>
        </w:rPr>
        <w:t>本文件主要起草人：</w:t>
      </w:r>
    </w:p>
    <w:p w14:paraId="4C4C2597">
      <w:pPr>
        <w:autoSpaceDE/>
        <w:autoSpaceDN/>
        <w:rPr>
          <w:rFonts w:hint="eastAsia"/>
        </w:rPr>
      </w:pPr>
      <w:r>
        <w:rPr>
          <w:rFonts w:hint="eastAsia"/>
        </w:rPr>
        <w:t>本文件及其所替代文件的历次版本发布情况为：</w:t>
      </w:r>
    </w:p>
    <w:p w14:paraId="204AE7BA">
      <w:pPr>
        <w:autoSpaceDE/>
        <w:autoSpaceDN/>
        <w:rPr>
          <w:rFonts w:hint="eastAsia"/>
        </w:rPr>
      </w:pPr>
      <w:r>
        <w:rPr>
          <w:rFonts w:hint="eastAsia"/>
        </w:rPr>
        <w:t>——2012年首次发布为SB/T 10896-2012；</w:t>
      </w:r>
    </w:p>
    <w:p w14:paraId="74A88430">
      <w:pPr>
        <w:autoSpaceDE/>
        <w:autoSpaceDN/>
        <w:rPr>
          <w:rFonts w:hint="eastAsia"/>
        </w:rPr>
      </w:pPr>
      <w:r>
        <w:rPr>
          <w:rFonts w:hint="eastAsia"/>
        </w:rPr>
        <w:t>——本次为第一次修订。</w:t>
      </w:r>
    </w:p>
    <w:p w14:paraId="7FE4196C">
      <w:pPr>
        <w:autoSpaceDE/>
        <w:autoSpaceDN/>
        <w:rPr>
          <w:rFonts w:hint="eastAsia"/>
        </w:rPr>
      </w:pPr>
      <w:r>
        <w:br w:type="page"/>
      </w:r>
    </w:p>
    <w:p w14:paraId="6CB04B54">
      <w:pPr>
        <w:pStyle w:val="75"/>
        <w:rPr>
          <w:color w:val="auto"/>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p>
    <w:p w14:paraId="4246C289">
      <w:pPr>
        <w:pStyle w:val="18"/>
        <w:widowControl w:val="0"/>
        <w:tabs>
          <w:tab w:val="clear" w:pos="4201"/>
          <w:tab w:val="clear" w:pos="9298"/>
        </w:tabs>
        <w:autoSpaceDE/>
        <w:autoSpaceDN/>
        <w:ind w:firstLine="0" w:firstLineChars="0"/>
        <w:rPr>
          <w:rFonts w:hint="eastAsia" w:ascii="黑体" w:hAnsi="黑体" w:eastAsia="黑体"/>
          <w:b w:val="0"/>
          <w:kern w:val="2"/>
        </w:rPr>
      </w:pPr>
      <w:r>
        <w:rPr>
          <w:rFonts w:hint="eastAsia" w:ascii="黑体" w:hAnsi="黑体" w:eastAsia="黑体"/>
          <w:b w:val="0"/>
          <w:kern w:val="2"/>
        </w:rPr>
        <w:t>加压法阻燃处理结构用木质材料</w:t>
      </w:r>
    </w:p>
    <w:p w14:paraId="2FA1E6B3">
      <w:pPr>
        <w:pStyle w:val="47"/>
        <w:numPr>
          <w:ilvl w:val="0"/>
          <w:numId w:val="1"/>
        </w:numPr>
        <w:tabs>
          <w:tab w:val="clear" w:pos="0"/>
        </w:tabs>
        <w:spacing w:before="312" w:after="312" w:line="240" w:lineRule="auto"/>
      </w:pPr>
      <w:bookmarkStart w:id="16" w:name="_Toc78802403"/>
      <w:r>
        <w:rPr>
          <w:rFonts w:hint="eastAsia"/>
        </w:rPr>
        <w:t>范围</w:t>
      </w:r>
      <w:bookmarkEnd w:id="16"/>
    </w:p>
    <w:p w14:paraId="711C2E33">
      <w:pPr>
        <w:autoSpaceDE/>
        <w:autoSpaceDN/>
        <w:spacing w:line="240" w:lineRule="auto"/>
        <w:rPr>
          <w:rFonts w:hint="eastAsia"/>
        </w:rPr>
      </w:pPr>
      <w:r>
        <w:rPr>
          <w:rFonts w:hint="eastAsia"/>
        </w:rPr>
        <w:t>本文件规定了加压法阻燃处理的结构用木质材料的术语和定义、</w:t>
      </w:r>
      <w:r>
        <w:rPr>
          <w:rFonts w:hint="eastAsia"/>
          <w:lang w:val="en-US" w:eastAsia="zh-CN"/>
        </w:rPr>
        <w:t>材料要求、处理工艺、性能要求、检测方法、检验规则、标识</w:t>
      </w:r>
      <w:r>
        <w:rPr>
          <w:rFonts w:hint="eastAsia"/>
        </w:rPr>
        <w:t>、包装、运输</w:t>
      </w:r>
      <w:r>
        <w:rPr>
          <w:rFonts w:hint="eastAsia"/>
          <w:lang w:val="en-US" w:eastAsia="zh-CN"/>
        </w:rPr>
        <w:t>和贮存</w:t>
      </w:r>
      <w:r>
        <w:rPr>
          <w:rFonts w:hint="eastAsia"/>
        </w:rPr>
        <w:t>。</w:t>
      </w:r>
    </w:p>
    <w:p w14:paraId="61255E2D">
      <w:pPr>
        <w:autoSpaceDE/>
        <w:autoSpaceDN/>
        <w:spacing w:line="240" w:lineRule="auto"/>
        <w:rPr>
          <w:rFonts w:hint="eastAsia"/>
        </w:rPr>
      </w:pPr>
      <w:r>
        <w:rPr>
          <w:rFonts w:hint="eastAsia"/>
        </w:rPr>
        <w:t>本文件适用于加压法阻燃处理的结构用木质材料，用于建筑结构承重或非承重部位的木质材料，包括原木、锯材、工程木产品（如定向结构板、胶合木、层积材等）以及其他装饰装修木质（复合）材料。</w:t>
      </w:r>
    </w:p>
    <w:p w14:paraId="719AC3BB">
      <w:pPr>
        <w:pStyle w:val="47"/>
        <w:numPr>
          <w:ilvl w:val="0"/>
          <w:numId w:val="1"/>
        </w:numPr>
        <w:tabs>
          <w:tab w:val="clear" w:pos="0"/>
        </w:tabs>
        <w:spacing w:before="312" w:after="312" w:line="240" w:lineRule="auto"/>
      </w:pPr>
      <w:bookmarkStart w:id="17" w:name="_Toc103159536"/>
      <w:bookmarkStart w:id="18" w:name="_Toc78802404"/>
      <w:r>
        <w:rPr>
          <w:rFonts w:hint="eastAsia"/>
        </w:rPr>
        <w:t>规范性引用文件</w:t>
      </w:r>
      <w:bookmarkEnd w:id="17"/>
      <w:bookmarkEnd w:id="18"/>
    </w:p>
    <w:p w14:paraId="5953BF8A">
      <w:pPr>
        <w:pStyle w:val="43"/>
        <w:numPr>
          <w:ilvl w:val="0"/>
          <w:numId w:val="0"/>
        </w:numPr>
        <w:autoSpaceDE/>
        <w:autoSpaceDN/>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90A9652">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GBT 1927.4-2021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无疵小试样木材物理力学性质试验方法第4部分含水率测定</w:t>
      </w:r>
    </w:p>
    <w:p w14:paraId="19A89E08">
      <w:pPr>
        <w:pStyle w:val="43"/>
        <w:numPr>
          <w:ilvl w:val="0"/>
          <w:numId w:val="0"/>
        </w:numPr>
        <w:autoSpaceDE/>
        <w:autoSpaceDN/>
        <w:spacing w:line="240" w:lineRule="auto"/>
        <w:ind w:firstLine="424" w:firstLineChars="202"/>
        <w:rPr>
          <w:rFonts w:asciiTheme="minorEastAsia" w:hAnsiTheme="minorEastAsia" w:eastAsiaTheme="minorEastAsia"/>
        </w:rPr>
      </w:pPr>
      <w:r>
        <w:rPr>
          <w:rFonts w:hint="eastAsia" w:asciiTheme="minorEastAsia" w:hAnsiTheme="minorEastAsia" w:eastAsiaTheme="minorEastAsia"/>
        </w:rPr>
        <w:t>GB 8624   建筑材料及制品燃烧性能分级</w:t>
      </w:r>
    </w:p>
    <w:p w14:paraId="0595553F">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asciiTheme="minorEastAsia" w:hAnsiTheme="minorEastAsia" w:eastAsiaTheme="minorEastAsia"/>
        </w:rPr>
        <w:t>GB 18580</w:t>
      </w:r>
      <w:r>
        <w:rPr>
          <w:rFonts w:hint="eastAsia" w:asciiTheme="minorEastAsia" w:hAnsiTheme="minorEastAsia" w:eastAsiaTheme="minorEastAsia"/>
        </w:rPr>
        <w:t xml:space="preserve">  室内装饰装修材料  人造板及其制品中甲醛释放量</w:t>
      </w:r>
    </w:p>
    <w:p w14:paraId="743594BC">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 18584  家具中有害物质限量</w:t>
      </w:r>
    </w:p>
    <w:p w14:paraId="240778D8">
      <w:pPr>
        <w:pStyle w:val="43"/>
        <w:numPr>
          <w:ilvl w:val="0"/>
          <w:numId w:val="0"/>
        </w:numPr>
        <w:autoSpaceDE/>
        <w:autoSpaceDN/>
        <w:spacing w:line="240" w:lineRule="auto"/>
        <w:ind w:firstLine="424" w:firstLineChars="202"/>
        <w:rPr>
          <w:rFonts w:asciiTheme="minorEastAsia" w:hAnsiTheme="minorEastAsia" w:eastAsiaTheme="minorEastAsia"/>
        </w:rPr>
      </w:pPr>
      <w:r>
        <w:rPr>
          <w:rFonts w:hint="eastAsia" w:asciiTheme="minorEastAsia" w:hAnsiTheme="minorEastAsia" w:eastAsiaTheme="minorEastAsia"/>
        </w:rPr>
        <w:t>GB/T 17657   人造板及饰面人造板理化性能试验方法</w:t>
      </w:r>
    </w:p>
    <w:p w14:paraId="57AAD00B">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GB/T 20285   材料产烟毒性危险分级</w:t>
      </w:r>
    </w:p>
    <w:p w14:paraId="625682D8">
      <w:pPr>
        <w:pStyle w:val="43"/>
        <w:numPr>
          <w:ilvl w:val="0"/>
          <w:numId w:val="0"/>
        </w:numPr>
        <w:autoSpaceDE/>
        <w:autoSpaceDN/>
        <w:spacing w:line="240" w:lineRule="auto"/>
        <w:ind w:firstLine="424" w:firstLineChars="202"/>
        <w:rPr>
          <w:rFonts w:hint="eastAsia" w:asciiTheme="minorEastAsia" w:hAnsiTheme="minorEastAsia" w:eastAsiaTheme="minorEastAsia"/>
          <w:b/>
          <w:bCs/>
        </w:rPr>
      </w:pPr>
      <w:r>
        <w:rPr>
          <w:rFonts w:hint="eastAsia" w:asciiTheme="minorEastAsia" w:hAnsiTheme="minorEastAsia" w:eastAsiaTheme="minorEastAsia"/>
        </w:rPr>
        <w:t>GB/T 26899   结构用集成材</w:t>
      </w:r>
    </w:p>
    <w:p w14:paraId="2853C72F">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GB/T 28993   结构用木质定向刨花板</w:t>
      </w:r>
    </w:p>
    <w:p w14:paraId="49DEE230">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GB/T 29407   阻燃木材及其木质复合材料生产技术规范</w:t>
      </w:r>
    </w:p>
    <w:p w14:paraId="75492633">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 50005  木结构设计标准</w:t>
      </w:r>
    </w:p>
    <w:p w14:paraId="1C8CD2FE">
      <w:pPr>
        <w:pStyle w:val="43"/>
        <w:numPr>
          <w:ilvl w:val="0"/>
          <w:numId w:val="0"/>
        </w:numPr>
        <w:autoSpaceDE/>
        <w:autoSpaceDN/>
        <w:spacing w:line="240" w:lineRule="auto"/>
        <w:ind w:firstLine="424" w:firstLineChars="202"/>
        <w:rPr>
          <w:rFonts w:hint="eastAsia" w:asciiTheme="minorEastAsia" w:hAnsiTheme="minorEastAsia" w:eastAsiaTheme="minorEastAsia"/>
          <w:lang w:val="en-US" w:eastAsia="zh-CN"/>
        </w:rPr>
      </w:pPr>
      <w:r>
        <w:rPr>
          <w:rFonts w:hint="eastAsia" w:asciiTheme="minorEastAsia" w:hAnsiTheme="minorEastAsia" w:eastAsiaTheme="minorEastAsia"/>
        </w:rPr>
        <w:t>GB 50206</w:t>
      </w:r>
      <w:r>
        <w:rPr>
          <w:rFonts w:hint="eastAsia" w:asciiTheme="minorEastAsia" w:hAnsiTheme="minorEastAsia" w:eastAsiaTheme="minorEastAsia"/>
          <w:lang w:val="en-US" w:eastAsia="zh-CN"/>
        </w:rPr>
        <w:t xml:space="preserve"> 木结构工程施工质量验收规范</w:t>
      </w:r>
    </w:p>
    <w:p w14:paraId="677BC0A4">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 50222  建筑内部装修设计防火规范</w:t>
      </w:r>
    </w:p>
    <w:p w14:paraId="514CB9B5">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GB 55005  木结构通用规范</w:t>
      </w:r>
    </w:p>
    <w:p w14:paraId="5B9ED4F3">
      <w:pPr>
        <w:pStyle w:val="43"/>
        <w:numPr>
          <w:ilvl w:val="0"/>
          <w:numId w:val="0"/>
        </w:numPr>
        <w:autoSpaceDE/>
        <w:autoSpaceDN/>
        <w:spacing w:line="240" w:lineRule="auto"/>
        <w:ind w:firstLine="424" w:firstLineChars="202"/>
        <w:rPr>
          <w:rFonts w:hint="eastAsia" w:asciiTheme="minorEastAsia" w:hAnsiTheme="minorEastAsia" w:eastAsiaTheme="minorEastAsia"/>
        </w:rPr>
      </w:pPr>
    </w:p>
    <w:p w14:paraId="77A0FC63">
      <w:pPr>
        <w:pStyle w:val="47"/>
        <w:numPr>
          <w:ilvl w:val="0"/>
          <w:numId w:val="1"/>
        </w:numPr>
        <w:tabs>
          <w:tab w:val="clear" w:pos="0"/>
        </w:tabs>
        <w:spacing w:before="312" w:after="312" w:line="240" w:lineRule="auto"/>
      </w:pPr>
      <w:bookmarkStart w:id="19" w:name="_Toc103159537"/>
      <w:bookmarkStart w:id="20" w:name="_Toc78802405"/>
      <w:r>
        <w:rPr>
          <w:rFonts w:hint="eastAsia"/>
        </w:rPr>
        <w:t>术语和定义</w:t>
      </w:r>
      <w:bookmarkEnd w:id="19"/>
      <w:bookmarkEnd w:id="20"/>
    </w:p>
    <w:p w14:paraId="75FF532E">
      <w:pPr>
        <w:pStyle w:val="8"/>
        <w:autoSpaceDE/>
        <w:autoSpaceDN/>
        <w:spacing w:line="240" w:lineRule="auto"/>
      </w:pPr>
      <w:r>
        <w:rPr>
          <w:rFonts w:hint="eastAsia"/>
        </w:rPr>
        <w:t>下列术语和定义适用于本文件。</w:t>
      </w:r>
    </w:p>
    <w:p w14:paraId="5F26F73B">
      <w:pPr>
        <w:pStyle w:val="57"/>
        <w:spacing w:beforeLines="0" w:afterLines="0" w:line="240" w:lineRule="auto"/>
        <w:ind w:left="0"/>
        <w:outlineLvl w:val="9"/>
      </w:pPr>
      <w:r>
        <w:rPr>
          <w:rFonts w:hint="eastAsia"/>
        </w:rPr>
        <w:t>3.1加压法 pressure processes</w:t>
      </w:r>
    </w:p>
    <w:p w14:paraId="70F75FA5">
      <w:pPr>
        <w:pStyle w:val="43"/>
        <w:numPr>
          <w:ilvl w:val="0"/>
          <w:numId w:val="0"/>
        </w:numPr>
        <w:autoSpaceDE/>
        <w:autoSpaceDN/>
        <w:spacing w:line="240" w:lineRule="auto"/>
        <w:ind w:firstLine="424" w:firstLineChars="202"/>
        <w:rPr>
          <w:rFonts w:hint="eastAsia" w:asciiTheme="minorEastAsia" w:hAnsiTheme="minorEastAsia" w:eastAsiaTheme="minorEastAsia"/>
        </w:rPr>
      </w:pPr>
      <w:r>
        <w:rPr>
          <w:rFonts w:hint="eastAsia"/>
        </w:rPr>
        <w:tab/>
      </w:r>
      <w:r>
        <w:rPr>
          <w:rFonts w:hint="eastAsia" w:asciiTheme="minorEastAsia" w:hAnsiTheme="minorEastAsia" w:eastAsiaTheme="minorEastAsia"/>
        </w:rPr>
        <w:t>将结构用木质材料放入密闭的承压罐内，并向其中注入阻燃剂溶液，通过施加压力的方式使药液填充进木质材料内部的方法。通常情况下，根据木质材料的渗透性、规格尺寸等特点，选择使用满细胞法、空细胞法、循环浸注法等。</w:t>
      </w:r>
    </w:p>
    <w:p w14:paraId="5D1D393F">
      <w:pPr>
        <w:pStyle w:val="57"/>
        <w:spacing w:beforeLines="0" w:afterLines="0" w:line="240" w:lineRule="auto"/>
        <w:ind w:left="0"/>
        <w:outlineLvl w:val="9"/>
        <w:rPr>
          <w:rFonts w:ascii="Times New Roman"/>
        </w:rPr>
      </w:pPr>
      <w:r>
        <w:t>3.</w:t>
      </w:r>
      <w:r>
        <w:rPr>
          <w:rFonts w:hint="eastAsia"/>
        </w:rPr>
        <w:t>2结构用木质材料</w:t>
      </w:r>
      <w:r>
        <w:rPr>
          <w:rFonts w:ascii="Times New Roman"/>
        </w:rPr>
        <w:t xml:space="preserve"> structural wood</w:t>
      </w:r>
      <w:r>
        <w:rPr>
          <w:rFonts w:hint="eastAsia" w:ascii="Times New Roman"/>
        </w:rPr>
        <w:t xml:space="preserve"> </w:t>
      </w:r>
      <w:r>
        <w:rPr>
          <w:rFonts w:ascii="Times New Roman"/>
        </w:rPr>
        <w:t>product</w:t>
      </w:r>
    </w:p>
    <w:p w14:paraId="2A003A89">
      <w:pPr>
        <w:autoSpaceDE/>
        <w:autoSpaceDN/>
        <w:spacing w:line="240" w:lineRule="auto"/>
        <w:rPr>
          <w:rStyle w:val="26"/>
        </w:rPr>
      </w:pPr>
      <w:r>
        <w:rPr>
          <w:rFonts w:hint="eastAsia"/>
        </w:rPr>
        <w:t>用于建筑结构承重或非承重部位的木质材料，包括原木、锯材、工程木产品（如定向结构板、胶合木、层积材等）以及其他装饰装修木质（复合）材料。</w:t>
      </w:r>
    </w:p>
    <w:p w14:paraId="2DF6D12B">
      <w:pPr>
        <w:pStyle w:val="47"/>
        <w:numPr>
          <w:ilvl w:val="0"/>
          <w:numId w:val="1"/>
        </w:numPr>
        <w:tabs>
          <w:tab w:val="clear" w:pos="0"/>
        </w:tabs>
        <w:spacing w:before="312" w:after="312" w:line="240" w:lineRule="auto"/>
      </w:pPr>
      <w:r>
        <w:t>材料要求​</w:t>
      </w:r>
    </w:p>
    <w:p w14:paraId="70C33A1B">
      <w:pPr>
        <w:pStyle w:val="57"/>
        <w:spacing w:beforeLines="0" w:afterLines="0" w:line="240" w:lineRule="auto"/>
        <w:ind w:left="0"/>
        <w:outlineLvl w:val="9"/>
      </w:pPr>
      <w:r>
        <w:t>4.1 基材​</w:t>
      </w:r>
    </w:p>
    <w:p w14:paraId="0C9915B3">
      <w:pPr>
        <w:widowControl w:val="0"/>
        <w:spacing w:line="240" w:lineRule="auto"/>
        <w:rPr>
          <w:rFonts w:hint="eastAsia"/>
        </w:rPr>
      </w:pPr>
      <w:r>
        <w:t>4.1.1 结构用木质材料基材的树种、材质等级应符合GB 50005和GB/T 26899的规定</w:t>
      </w:r>
      <w:r>
        <w:rPr>
          <w:rFonts w:hint="eastAsia"/>
        </w:rPr>
        <w:t>，或满足供需双方商定的要求</w:t>
      </w:r>
      <w:r>
        <w:t>。​</w:t>
      </w:r>
    </w:p>
    <w:p w14:paraId="67E2191D">
      <w:pPr>
        <w:widowControl w:val="0"/>
        <w:spacing w:line="240" w:lineRule="auto"/>
        <w:rPr>
          <w:rFonts w:hint="eastAsia"/>
        </w:rPr>
      </w:pPr>
      <w:r>
        <w:t>4.1.2 基材的含水率应控制在8%-12%之间</w:t>
      </w:r>
      <w:bookmarkStart w:id="21" w:name="OLE_LINK5"/>
      <w:r>
        <w:rPr>
          <w:rFonts w:hint="eastAsia"/>
        </w:rPr>
        <w:t>，或满足供需双方商定的要求</w:t>
      </w:r>
      <w:bookmarkEnd w:id="21"/>
      <w:r>
        <w:t>。​</w:t>
      </w:r>
    </w:p>
    <w:p w14:paraId="67EA6A5D">
      <w:pPr>
        <w:widowControl w:val="0"/>
        <w:spacing w:line="240" w:lineRule="auto"/>
        <w:rPr>
          <w:rFonts w:hint="eastAsia"/>
        </w:rPr>
      </w:pPr>
      <w:r>
        <w:t>4.1.3 基材表面不应有腐朽、霉变、虫蛀等缺陷，不应有影响阻燃剂渗透的油脂、涂料等附着物。​</w:t>
      </w:r>
    </w:p>
    <w:p w14:paraId="26FF6327">
      <w:pPr>
        <w:pStyle w:val="57"/>
        <w:spacing w:beforeLines="0" w:afterLines="0" w:line="240" w:lineRule="auto"/>
        <w:ind w:left="0"/>
        <w:outlineLvl w:val="9"/>
      </w:pPr>
      <w:r>
        <w:t>4.2 阻燃剂​</w:t>
      </w:r>
    </w:p>
    <w:p w14:paraId="2E8BA231">
      <w:pPr>
        <w:widowControl w:val="0"/>
        <w:spacing w:line="240" w:lineRule="auto"/>
        <w:rPr>
          <w:rFonts w:hint="eastAsia"/>
        </w:rPr>
      </w:pPr>
      <w:r>
        <w:t>4.2.1 阻燃剂类型​</w:t>
      </w:r>
    </w:p>
    <w:p w14:paraId="3DD9EF2B">
      <w:pPr>
        <w:widowControl w:val="0"/>
        <w:spacing w:line="240" w:lineRule="auto"/>
        <w:rPr>
          <w:rFonts w:hint="eastAsia"/>
        </w:rPr>
      </w:pPr>
      <w:r>
        <w:t>应采用磷</w:t>
      </w:r>
      <w:r>
        <w:rPr>
          <w:rFonts w:hint="eastAsia"/>
        </w:rPr>
        <w:t>-</w:t>
      </w:r>
      <w:r>
        <w:t>氮</w:t>
      </w:r>
      <w:r>
        <w:rPr>
          <w:rFonts w:hint="eastAsia"/>
        </w:rPr>
        <w:t>-</w:t>
      </w:r>
      <w:r>
        <w:t>硼型等高效低毒</w:t>
      </w:r>
      <w:r>
        <w:rPr>
          <w:rFonts w:hint="eastAsia"/>
        </w:rPr>
        <w:t>、一剂多效的</w:t>
      </w:r>
      <w:r>
        <w:t>阻燃剂，不应使用含卤素（溴、氯）阻燃剂。阻燃剂中</w:t>
      </w:r>
      <w:bookmarkStart w:id="22" w:name="OLE_LINK4"/>
      <w:r>
        <w:t>溴和氯的含量应分别低于900ppm，总和低于1500ppm</w:t>
      </w:r>
      <w:bookmarkEnd w:id="22"/>
      <w:r>
        <w:t>。​</w:t>
      </w:r>
    </w:p>
    <w:p w14:paraId="6CB91564">
      <w:pPr>
        <w:widowControl w:val="0"/>
        <w:spacing w:line="240" w:lineRule="auto"/>
        <w:rPr>
          <w:rFonts w:hint="eastAsia"/>
        </w:rPr>
      </w:pPr>
      <w:r>
        <w:t>4.2.2 环保要求​</w:t>
      </w:r>
    </w:p>
    <w:p w14:paraId="13769631">
      <w:pPr>
        <w:widowControl w:val="0"/>
        <w:spacing w:line="240" w:lineRule="auto"/>
        <w:rPr>
          <w:rFonts w:hint="eastAsia"/>
        </w:rPr>
      </w:pPr>
      <w:r>
        <w:rPr>
          <w:rFonts w:hint="eastAsia"/>
        </w:rPr>
        <w:t>宜选用水性的、溶液可循环利用的、不产生对环境产生额外压力的、</w:t>
      </w:r>
      <w:r>
        <w:t>符合</w:t>
      </w:r>
      <w:r>
        <w:rPr>
          <w:rFonts w:hint="eastAsia"/>
        </w:rPr>
        <w:t>绿色发展理念的</w:t>
      </w:r>
      <w:r>
        <w:t>阻燃剂。</w:t>
      </w:r>
    </w:p>
    <w:p w14:paraId="476C88D4">
      <w:pPr>
        <w:widowControl w:val="0"/>
        <w:spacing w:line="240" w:lineRule="auto"/>
        <w:rPr>
          <w:rFonts w:hint="eastAsia"/>
        </w:rPr>
      </w:pPr>
      <w:r>
        <w:t>4.2.3 性能要求​</w:t>
      </w:r>
    </w:p>
    <w:p w14:paraId="44B84547">
      <w:pPr>
        <w:widowControl w:val="0"/>
        <w:spacing w:line="240" w:lineRule="auto"/>
        <w:rPr>
          <w:rFonts w:hint="eastAsia"/>
        </w:rPr>
      </w:pPr>
      <w:r>
        <w:t>应具有较低的吸</w:t>
      </w:r>
      <w:r>
        <w:rPr>
          <w:rFonts w:hint="eastAsia"/>
        </w:rPr>
        <w:t>湿</w:t>
      </w:r>
      <w:r>
        <w:t>性，</w:t>
      </w:r>
      <w:r>
        <w:rPr>
          <w:rFonts w:hint="eastAsia"/>
        </w:rPr>
        <w:t>使</w:t>
      </w:r>
      <w:r>
        <w:t>处理后的木质材料</w:t>
      </w:r>
      <w:r>
        <w:rPr>
          <w:rFonts w:hint="eastAsia"/>
        </w:rPr>
        <w:t>质量符合GB/T 29407的规定。</w:t>
      </w:r>
      <w:r>
        <w:t>​</w:t>
      </w:r>
    </w:p>
    <w:p w14:paraId="6C4680C5">
      <w:pPr>
        <w:pStyle w:val="47"/>
        <w:numPr>
          <w:ilvl w:val="0"/>
          <w:numId w:val="1"/>
        </w:numPr>
        <w:tabs>
          <w:tab w:val="clear" w:pos="0"/>
        </w:tabs>
        <w:spacing w:before="312" w:after="312" w:line="240" w:lineRule="auto"/>
      </w:pPr>
      <w:r>
        <w:t>处理工艺​</w:t>
      </w:r>
    </w:p>
    <w:p w14:paraId="67C6E672">
      <w:pPr>
        <w:pStyle w:val="57"/>
        <w:spacing w:beforeLines="0" w:afterLines="0" w:line="240" w:lineRule="auto"/>
        <w:ind w:left="0"/>
        <w:outlineLvl w:val="9"/>
      </w:pPr>
      <w:r>
        <w:t>5.1 预处理​</w:t>
      </w:r>
    </w:p>
    <w:p w14:paraId="54839E5F">
      <w:pPr>
        <w:widowControl w:val="0"/>
        <w:spacing w:line="240" w:lineRule="auto"/>
        <w:rPr>
          <w:rFonts w:hint="eastAsia"/>
        </w:rPr>
      </w:pPr>
      <w:r>
        <w:t>5.1.1 基材应进行表面清理，去除杂质和附着物。​</w:t>
      </w:r>
    </w:p>
    <w:p w14:paraId="585F7F1F">
      <w:pPr>
        <w:widowControl w:val="0"/>
        <w:spacing w:line="240" w:lineRule="auto"/>
        <w:rPr>
          <w:rFonts w:hint="eastAsia"/>
        </w:rPr>
      </w:pPr>
      <w:r>
        <w:t>5.1.2 根据需要对基材进行机械加工，如钻孔、开槽等，以提高阻燃剂的渗透效果。​</w:t>
      </w:r>
    </w:p>
    <w:p w14:paraId="629CB595">
      <w:pPr>
        <w:pStyle w:val="57"/>
        <w:spacing w:beforeLines="0" w:afterLines="0" w:line="240" w:lineRule="auto"/>
        <w:ind w:left="0"/>
        <w:outlineLvl w:val="9"/>
      </w:pPr>
      <w:r>
        <w:t>5.2 加压处理工艺​</w:t>
      </w:r>
    </w:p>
    <w:p w14:paraId="30EEEF7E">
      <w:pPr>
        <w:widowControl w:val="0"/>
        <w:spacing w:line="240" w:lineRule="auto"/>
        <w:rPr>
          <w:rFonts w:hint="eastAsia"/>
        </w:rPr>
      </w:pPr>
      <w:r>
        <w:t>5.2.1 原木</w:t>
      </w:r>
      <w:r>
        <w:rPr>
          <w:rFonts w:hint="eastAsia"/>
        </w:rPr>
        <w:t>、</w:t>
      </w:r>
      <w:r>
        <w:t>锯材</w:t>
      </w:r>
      <w:r>
        <w:rPr>
          <w:rFonts w:hint="eastAsia"/>
        </w:rPr>
        <w:t>的处理</w:t>
      </w:r>
    </w:p>
    <w:p w14:paraId="2307D7DE">
      <w:pPr>
        <w:widowControl w:val="0"/>
        <w:tabs>
          <w:tab w:val="clear" w:pos="4201"/>
          <w:tab w:val="clear" w:pos="9298"/>
        </w:tabs>
        <w:autoSpaceDE/>
        <w:autoSpaceDN/>
        <w:spacing w:line="240" w:lineRule="auto"/>
        <w:ind w:firstLineChars="0"/>
        <w:rPr>
          <w:rFonts w:hint="eastAsia"/>
        </w:rPr>
      </w:pPr>
      <w:r>
        <w:t>根据木材</w:t>
      </w:r>
      <w:r>
        <w:rPr>
          <w:rFonts w:hint="eastAsia"/>
        </w:rPr>
        <w:t>的种类、尺寸规格和用户需求阻燃等级等，常温条件下，</w:t>
      </w:r>
      <w:r>
        <w:t>压力</w:t>
      </w:r>
      <w:r>
        <w:rPr>
          <w:rFonts w:hint="eastAsia"/>
        </w:rPr>
        <w:t>一般选择</w:t>
      </w:r>
      <w:r>
        <w:t>1.</w:t>
      </w:r>
      <w:r>
        <w:rPr>
          <w:rFonts w:hint="eastAsia"/>
        </w:rPr>
        <w:t>0</w:t>
      </w:r>
      <w:r>
        <w:t>-1.5MPa</w:t>
      </w:r>
      <w:r>
        <w:rPr>
          <w:rFonts w:ascii="Times New Roman" w:hAnsi="Times New Roman"/>
        </w:rPr>
        <w:t>​</w:t>
      </w:r>
      <w:r>
        <w:rPr>
          <w:rFonts w:hint="eastAsia"/>
        </w:rPr>
        <w:t>，</w:t>
      </w:r>
      <w:r>
        <w:t>处理时间一般为 90-120min​</w:t>
      </w:r>
      <w:r>
        <w:rPr>
          <w:rFonts w:hint="eastAsia"/>
        </w:rPr>
        <w:t>。</w:t>
      </w:r>
    </w:p>
    <w:p w14:paraId="7EF112BF">
      <w:pPr>
        <w:widowControl w:val="0"/>
        <w:spacing w:line="240" w:lineRule="auto"/>
      </w:pPr>
      <w:r>
        <w:t xml:space="preserve">5.2.2 </w:t>
      </w:r>
      <w:r>
        <w:rPr>
          <w:rFonts w:hint="eastAsia"/>
        </w:rPr>
        <w:t>工程木产品</w:t>
      </w:r>
      <w:r>
        <w:t>​</w:t>
      </w:r>
    </w:p>
    <w:p w14:paraId="0093EA8C">
      <w:pPr>
        <w:widowControl w:val="0"/>
        <w:spacing w:line="240" w:lineRule="auto"/>
        <w:rPr>
          <w:rFonts w:hint="eastAsia"/>
        </w:rPr>
      </w:pPr>
      <w:r>
        <w:rPr>
          <w:rFonts w:hint="eastAsia"/>
        </w:rPr>
        <w:t>根据其生产工艺特点和用户需求，在保证其结构功能属性的前提下，选择合适的加压阻燃处理方式。</w:t>
      </w:r>
    </w:p>
    <w:p w14:paraId="2CC23E78">
      <w:pPr>
        <w:pStyle w:val="57"/>
        <w:spacing w:beforeLines="0" w:afterLines="0" w:line="240" w:lineRule="auto"/>
        <w:ind w:left="0"/>
        <w:outlineLvl w:val="9"/>
      </w:pPr>
      <w:r>
        <w:t>5.3 后处理​</w:t>
      </w:r>
    </w:p>
    <w:p w14:paraId="55F2B19C">
      <w:pPr>
        <w:widowControl w:val="0"/>
        <w:spacing w:line="240" w:lineRule="auto"/>
        <w:rPr>
          <w:rFonts w:hint="eastAsia"/>
        </w:rPr>
      </w:pPr>
      <w:r>
        <w:t>处理后的</w:t>
      </w:r>
      <w:r>
        <w:rPr>
          <w:rFonts w:hint="eastAsia"/>
        </w:rPr>
        <w:t>木质</w:t>
      </w:r>
      <w:r>
        <w:t>材料应在通风良好的环境中自然干燥</w:t>
      </w:r>
      <w:r>
        <w:rPr>
          <w:rFonts w:hint="eastAsia"/>
        </w:rPr>
        <w:t>，</w:t>
      </w:r>
      <w:r>
        <w:t>或低温烘干，避免高温导致阻燃剂分解。​​</w:t>
      </w:r>
    </w:p>
    <w:p w14:paraId="5A948C61">
      <w:pPr>
        <w:pStyle w:val="57"/>
        <w:spacing w:beforeLines="0" w:afterLines="0" w:line="240" w:lineRule="auto"/>
        <w:ind w:left="0"/>
        <w:outlineLvl w:val="9"/>
      </w:pPr>
      <w:r>
        <w:t>5.4 工艺控制​</w:t>
      </w:r>
    </w:p>
    <w:p w14:paraId="0FDA55DC">
      <w:pPr>
        <w:widowControl w:val="0"/>
        <w:spacing w:line="240" w:lineRule="auto"/>
        <w:rPr>
          <w:rFonts w:hint="eastAsia"/>
        </w:rPr>
      </w:pPr>
      <w:r>
        <w:t>5.4.1 应定期检测阻燃剂溶液浓度，确保其在规定范围内。​</w:t>
      </w:r>
    </w:p>
    <w:p w14:paraId="461C8C9F">
      <w:pPr>
        <w:widowControl w:val="0"/>
        <w:spacing w:line="240" w:lineRule="auto"/>
        <w:rPr>
          <w:rFonts w:hint="eastAsia"/>
        </w:rPr>
      </w:pPr>
      <w:r>
        <w:t>5.4.2 加压设备应定期校准，确保压力控制精度。​</w:t>
      </w:r>
    </w:p>
    <w:p w14:paraId="504B9656">
      <w:pPr>
        <w:widowControl w:val="0"/>
        <w:spacing w:line="240" w:lineRule="auto"/>
        <w:rPr>
          <w:rFonts w:hint="eastAsia"/>
        </w:rPr>
      </w:pPr>
      <w:r>
        <w:t>5.4.3 应记录每次</w:t>
      </w:r>
      <w:r>
        <w:rPr>
          <w:rFonts w:hint="eastAsia"/>
        </w:rPr>
        <w:t>加压</w:t>
      </w:r>
      <w:r>
        <w:t>处理的工艺参数，包括压力、温度、时间、阻燃剂浓度等，形成质量追溯记录。​</w:t>
      </w:r>
    </w:p>
    <w:p w14:paraId="7ED354A1">
      <w:pPr>
        <w:pStyle w:val="47"/>
        <w:numPr>
          <w:ilvl w:val="0"/>
          <w:numId w:val="1"/>
        </w:numPr>
        <w:tabs>
          <w:tab w:val="clear" w:pos="0"/>
        </w:tabs>
        <w:spacing w:before="312" w:after="312" w:line="240" w:lineRule="auto"/>
        <w:rPr>
          <w:rFonts w:hint="eastAsia"/>
        </w:rPr>
      </w:pPr>
      <w:r>
        <w:t>性能要求​</w:t>
      </w:r>
    </w:p>
    <w:p w14:paraId="0C629A34">
      <w:pPr>
        <w:pStyle w:val="57"/>
        <w:spacing w:beforeLines="0" w:afterLines="0" w:line="240" w:lineRule="auto"/>
        <w:ind w:left="0"/>
        <w:outlineLvl w:val="9"/>
      </w:pPr>
      <w:bookmarkStart w:id="23" w:name="_Hlk208899869"/>
      <w:r>
        <w:t>6.1 燃烧性能​</w:t>
      </w:r>
    </w:p>
    <w:p w14:paraId="3DC27E27">
      <w:pPr>
        <w:widowControl w:val="0"/>
        <w:spacing w:line="240" w:lineRule="auto"/>
        <w:rPr>
          <w:rFonts w:hint="eastAsia"/>
        </w:rPr>
      </w:pPr>
      <w:r>
        <w:t>6.1.1 经</w:t>
      </w:r>
      <w:r>
        <w:rPr>
          <w:rFonts w:hint="eastAsia"/>
        </w:rPr>
        <w:t>加压</w:t>
      </w:r>
      <w:r>
        <w:t>阻燃处理后的结构用木质材料</w:t>
      </w:r>
      <w:r>
        <w:rPr>
          <w:rFonts w:hint="eastAsia"/>
        </w:rPr>
        <w:t>的</w:t>
      </w:r>
      <w:r>
        <w:t>燃烧性能</w:t>
      </w:r>
      <w:r>
        <w:rPr>
          <w:rFonts w:hint="eastAsia"/>
        </w:rPr>
        <w:t>，</w:t>
      </w:r>
      <w:r>
        <w:t>应</w:t>
      </w:r>
      <w:r>
        <w:rPr>
          <w:rFonts w:hint="eastAsia"/>
        </w:rPr>
        <w:t>根据其作为建筑构件种类</w:t>
      </w:r>
      <w:r>
        <w:t>达到</w:t>
      </w:r>
      <w:r>
        <w:rPr>
          <w:rFonts w:hint="eastAsia"/>
        </w:rPr>
        <w:t>相应的防火等级，符合GB 50005、GB 50222、GB 55005等的防火要求</w:t>
      </w:r>
      <w:r>
        <w:t>。​</w:t>
      </w:r>
    </w:p>
    <w:p w14:paraId="696E8006">
      <w:pPr>
        <w:widowControl w:val="0"/>
        <w:spacing w:line="240" w:lineRule="auto"/>
        <w:rPr>
          <w:rFonts w:hint="eastAsia"/>
        </w:rPr>
      </w:pPr>
      <w:r>
        <w:t>6.1.2 烟气毒性等级应达到GB 8624中规定的t1级要求。​</w:t>
      </w:r>
    </w:p>
    <w:p w14:paraId="4F32488F">
      <w:pPr>
        <w:pStyle w:val="57"/>
        <w:spacing w:beforeLines="0" w:afterLines="0" w:line="240" w:lineRule="auto"/>
        <w:ind w:left="0"/>
        <w:outlineLvl w:val="9"/>
      </w:pPr>
      <w:r>
        <w:t>6.2 力学性能​</w:t>
      </w:r>
    </w:p>
    <w:p w14:paraId="1C471AD1">
      <w:pPr>
        <w:widowControl w:val="0"/>
        <w:spacing w:line="240" w:lineRule="auto"/>
        <w:rPr>
          <w:rFonts w:hint="eastAsia"/>
        </w:rPr>
      </w:pPr>
      <w:r>
        <w:rPr>
          <w:rFonts w:hint="eastAsia"/>
        </w:rPr>
        <w:t>经加压阻燃处理后的结构用木质材料的力学性能应符合结构设计文件或供需双方合同的规定。</w:t>
      </w:r>
    </w:p>
    <w:p w14:paraId="6EDC7DD8">
      <w:pPr>
        <w:pStyle w:val="57"/>
        <w:spacing w:beforeLines="0" w:afterLines="0" w:line="240" w:lineRule="auto"/>
        <w:ind w:left="0"/>
        <w:outlineLvl w:val="9"/>
      </w:pPr>
      <w:r>
        <w:t xml:space="preserve">6.3 </w:t>
      </w:r>
      <w:r>
        <w:rPr>
          <w:rFonts w:hint="eastAsia"/>
        </w:rPr>
        <w:t>含水率</w:t>
      </w:r>
      <w:r>
        <w:t>​</w:t>
      </w:r>
    </w:p>
    <w:p w14:paraId="4995EA57">
      <w:pPr>
        <w:widowControl w:val="0"/>
        <w:spacing w:line="240" w:lineRule="auto"/>
        <w:rPr>
          <w:rFonts w:hint="eastAsia"/>
        </w:rPr>
      </w:pPr>
      <w:r>
        <w:rPr>
          <w:rFonts w:hint="eastAsia"/>
        </w:rPr>
        <w:t>干燥后的木质材料含水率应满足产品使用环境的要求，尽量避免产生含水率梯度而影响后期使用效果。</w:t>
      </w:r>
      <w:r>
        <w:t>​</w:t>
      </w:r>
    </w:p>
    <w:p w14:paraId="5CCB1B85">
      <w:pPr>
        <w:pStyle w:val="57"/>
        <w:spacing w:beforeLines="0" w:afterLines="0" w:line="240" w:lineRule="auto"/>
        <w:ind w:left="0"/>
        <w:outlineLvl w:val="9"/>
      </w:pPr>
      <w:r>
        <w:t>6.4 环保性能​</w:t>
      </w:r>
    </w:p>
    <w:p w14:paraId="76EBB413">
      <w:pPr>
        <w:widowControl w:val="0"/>
        <w:spacing w:line="240" w:lineRule="auto"/>
        <w:rPr>
          <w:rFonts w:hint="eastAsia"/>
        </w:rPr>
      </w:pPr>
      <w:r>
        <w:t>6.</w:t>
      </w:r>
      <w:r>
        <w:rPr>
          <w:rFonts w:hint="eastAsia"/>
          <w:lang w:val="en-US" w:eastAsia="zh-CN"/>
        </w:rPr>
        <w:t>4</w:t>
      </w:r>
      <w:r>
        <w:t>.1 甲醛释放量：采用 1m³ 气候箱法检测，甲醛释放量不应超过0.124mg/m³（E1 级），优选达到ENF级（≤0.025mg/m³）。​</w:t>
      </w:r>
    </w:p>
    <w:p w14:paraId="5ACBD43E">
      <w:pPr>
        <w:autoSpaceDE/>
        <w:autoSpaceDN/>
        <w:spacing w:line="240" w:lineRule="auto"/>
      </w:pPr>
      <w:r>
        <w:t>6.</w:t>
      </w:r>
      <w:r>
        <w:rPr>
          <w:rFonts w:hint="eastAsia"/>
          <w:lang w:val="en-US" w:eastAsia="zh-CN"/>
        </w:rPr>
        <w:t>4</w:t>
      </w:r>
      <w:r>
        <w:t>.2 TVOC释放率：72 小时释放率不应超过 0.50mg/m³（室内型）或 0.20mg/m³（环保型）。</w:t>
      </w:r>
    </w:p>
    <w:bookmarkEnd w:id="23"/>
    <w:p w14:paraId="2E4B7664">
      <w:pPr>
        <w:pStyle w:val="47"/>
        <w:numPr>
          <w:ilvl w:val="0"/>
          <w:numId w:val="1"/>
        </w:numPr>
        <w:tabs>
          <w:tab w:val="clear" w:pos="0"/>
        </w:tabs>
        <w:spacing w:before="312" w:after="312" w:line="240" w:lineRule="auto"/>
      </w:pPr>
      <w:r>
        <w:t>检测方法​</w:t>
      </w:r>
    </w:p>
    <w:p w14:paraId="629C3E5E">
      <w:pPr>
        <w:autoSpaceDE/>
        <w:autoSpaceDN/>
        <w:spacing w:line="240" w:lineRule="auto"/>
      </w:pPr>
      <w:r>
        <w:rPr>
          <w:rFonts w:hint="eastAsia"/>
        </w:rPr>
        <w:t>除另有规定外，以下测试应在温度为（23±2）℃，相对湿度（50±5）%的环境中进行。</w:t>
      </w:r>
    </w:p>
    <w:p w14:paraId="2009A2A3">
      <w:pPr>
        <w:pStyle w:val="57"/>
        <w:spacing w:beforeLines="0" w:afterLines="0" w:line="240" w:lineRule="auto"/>
        <w:ind w:left="0"/>
        <w:outlineLvl w:val="9"/>
      </w:pPr>
      <w:r>
        <w:t>7.1 燃烧性能检测​</w:t>
      </w:r>
    </w:p>
    <w:p w14:paraId="2CB1058F">
      <w:pPr>
        <w:spacing w:line="240" w:lineRule="auto"/>
      </w:pPr>
      <w:r>
        <w:t>7.1.1 燃烧性能等级按照 GB 8624</w:t>
      </w:r>
      <w:r>
        <w:rPr>
          <w:rFonts w:hint="eastAsia"/>
        </w:rPr>
        <w:t xml:space="preserve"> </w:t>
      </w:r>
      <w:r>
        <w:t>规定</w:t>
      </w:r>
      <w:bookmarkStart w:id="24" w:name="OLE_LINK1"/>
      <w:r>
        <w:rPr>
          <w:rFonts w:hint="eastAsia"/>
        </w:rPr>
        <w:t>相应等级对应</w:t>
      </w:r>
      <w:bookmarkEnd w:id="24"/>
      <w:r>
        <w:rPr>
          <w:rFonts w:hint="eastAsia"/>
        </w:rPr>
        <w:t>的</w:t>
      </w:r>
      <w:r>
        <w:t>方法进行检测。​</w:t>
      </w:r>
    </w:p>
    <w:p w14:paraId="1E2EF739">
      <w:pPr>
        <w:spacing w:line="240" w:lineRule="auto"/>
      </w:pPr>
      <w:r>
        <w:t xml:space="preserve">7.1.2 烟气毒性按照 </w:t>
      </w:r>
      <w:bookmarkStart w:id="25" w:name="_Hlk208897830"/>
      <w:r>
        <w:t>GB/T 20285</w:t>
      </w:r>
      <w:bookmarkEnd w:id="25"/>
      <w:r>
        <w:t xml:space="preserve"> 规定</w:t>
      </w:r>
      <w:r>
        <w:rPr>
          <w:rFonts w:hint="eastAsia"/>
        </w:rPr>
        <w:t>相应等级对应</w:t>
      </w:r>
      <w:r>
        <w:t>的方法进行检测。​</w:t>
      </w:r>
    </w:p>
    <w:p w14:paraId="0ACF08FF">
      <w:pPr>
        <w:pStyle w:val="57"/>
        <w:spacing w:beforeLines="0" w:afterLines="0" w:line="240" w:lineRule="auto"/>
        <w:ind w:left="0"/>
        <w:outlineLvl w:val="9"/>
      </w:pPr>
      <w:r>
        <w:t>7.2 力学性能检测​</w:t>
      </w:r>
    </w:p>
    <w:p w14:paraId="57324EC6">
      <w:pPr>
        <w:spacing w:line="240" w:lineRule="auto"/>
      </w:pPr>
      <w:r>
        <w:rPr>
          <w:rFonts w:hint="eastAsia"/>
          <w:highlight w:val="none"/>
        </w:rPr>
        <w:t>阻燃处理后的结构用木质材料根据其产品定位按照GB 50206 的相关规定进行检测，如含水率、力学性能等。或者双方协定，</w:t>
      </w:r>
      <w:r>
        <w:rPr>
          <w:highlight w:val="none"/>
        </w:rPr>
        <w:t>静曲强度和弹性模量</w:t>
      </w:r>
      <w:r>
        <w:rPr>
          <w:rFonts w:hint="eastAsia"/>
          <w:highlight w:val="none"/>
        </w:rPr>
        <w:t>参</w:t>
      </w:r>
      <w:r>
        <w:rPr>
          <w:highlight w:val="none"/>
        </w:rPr>
        <w:t>照GB/T 28993 规定的</w:t>
      </w:r>
      <w:r>
        <w:rPr>
          <w:rFonts w:hint="eastAsia"/>
          <w:highlight w:val="none"/>
        </w:rPr>
        <w:t>方法</w:t>
      </w:r>
      <w:r>
        <w:rPr>
          <w:highlight w:val="none"/>
        </w:rPr>
        <w:t>进行检测</w:t>
      </w:r>
      <w:r>
        <w:rPr>
          <w:rFonts w:hint="eastAsia"/>
        </w:rPr>
        <w:t>，工程木产品经加压阻燃处理后其</w:t>
      </w:r>
      <w:r>
        <w:t>内结合强度按照 GB/T 17657 规定的方法进行检测。​</w:t>
      </w:r>
    </w:p>
    <w:p w14:paraId="03AE570C">
      <w:pPr>
        <w:spacing w:line="240" w:lineRule="auto"/>
        <w:ind w:firstLine="0" w:firstLineChars="0"/>
        <w:rPr>
          <w:rFonts w:hint="default" w:ascii="黑体" w:hAnsi="Times New Roman" w:eastAsia="黑体"/>
          <w:szCs w:val="21"/>
          <w:lang w:val="en-US" w:eastAsia="zh-CN"/>
        </w:rPr>
      </w:pPr>
      <w:r>
        <w:rPr>
          <w:rFonts w:hint="default" w:ascii="黑体" w:hAnsi="Times New Roman" w:eastAsia="黑体"/>
          <w:szCs w:val="21"/>
          <w:lang w:val="en-US" w:eastAsia="zh-CN"/>
        </w:rPr>
        <w:t>7.3 含水率检测</w:t>
      </w:r>
    </w:p>
    <w:p w14:paraId="0E1FCFBC">
      <w:pPr>
        <w:spacing w:line="240" w:lineRule="auto"/>
        <w:rPr>
          <w:rFonts w:hint="default" w:eastAsiaTheme="minorEastAsia"/>
          <w:highlight w:val="yellow"/>
          <w:lang w:val="en-US" w:eastAsia="zh-CN"/>
        </w:rPr>
      </w:pPr>
      <w:r>
        <w:rPr>
          <w:rFonts w:hint="eastAsia"/>
          <w:strike w:val="0"/>
          <w:dstrike w:val="0"/>
          <w:lang w:val="en-US" w:eastAsia="zh-CN"/>
        </w:rPr>
        <w:t>应</w:t>
      </w:r>
      <w:r>
        <w:rPr>
          <w:rFonts w:hint="eastAsia"/>
          <w:lang w:val="en-US" w:eastAsia="zh-CN"/>
        </w:rPr>
        <w:t>按照</w:t>
      </w:r>
      <w:r>
        <w:rPr>
          <w:rFonts w:hint="eastAsia"/>
          <w:highlight w:val="yellow"/>
        </w:rPr>
        <w:t>GB</w:t>
      </w:r>
      <w:r>
        <w:rPr>
          <w:rFonts w:hint="eastAsia"/>
          <w:highlight w:val="yellow"/>
          <w:lang w:val="en-US" w:eastAsia="zh-CN"/>
        </w:rPr>
        <w:t>/</w:t>
      </w:r>
      <w:r>
        <w:rPr>
          <w:rFonts w:hint="eastAsia"/>
          <w:highlight w:val="yellow"/>
        </w:rPr>
        <w:t>T 1927.4-2021</w:t>
      </w:r>
      <w:r>
        <w:rPr>
          <w:rFonts w:hint="eastAsia"/>
          <w:highlight w:val="yellow"/>
          <w:lang w:val="en-US" w:eastAsia="zh-CN"/>
        </w:rPr>
        <w:t>规定执行</w:t>
      </w:r>
    </w:p>
    <w:p w14:paraId="1E49786A">
      <w:pPr>
        <w:pStyle w:val="57"/>
        <w:spacing w:beforeLines="0" w:afterLines="0" w:line="240" w:lineRule="auto"/>
        <w:ind w:left="0"/>
        <w:outlineLvl w:val="9"/>
      </w:pPr>
      <w:r>
        <w:t>7.4 环保性能检测​</w:t>
      </w:r>
    </w:p>
    <w:p w14:paraId="039D2A17">
      <w:pPr>
        <w:spacing w:line="240" w:lineRule="auto"/>
      </w:pPr>
      <w:r>
        <w:t>7.</w:t>
      </w:r>
      <w:r>
        <w:rPr>
          <w:rFonts w:hint="eastAsia"/>
          <w:lang w:val="en-US" w:eastAsia="zh-CN"/>
        </w:rPr>
        <w:t>4</w:t>
      </w:r>
      <w:r>
        <w:t>.1 甲醛释放量按照 GB 18580 规定的</w:t>
      </w:r>
      <w:r>
        <w:rPr>
          <w:rFonts w:hint="eastAsia"/>
        </w:rPr>
        <w:t>方</w:t>
      </w:r>
      <w:r>
        <w:t>法进行</w:t>
      </w:r>
      <w:bookmarkStart w:id="26" w:name="OLE_LINK6"/>
      <w:r>
        <w:t>检测</w:t>
      </w:r>
      <w:bookmarkEnd w:id="26"/>
      <w:r>
        <w:t>。​</w:t>
      </w:r>
    </w:p>
    <w:p w14:paraId="3F6474F2">
      <w:pPr>
        <w:spacing w:line="240" w:lineRule="auto"/>
      </w:pPr>
      <w:r>
        <w:t>7.</w:t>
      </w:r>
      <w:r>
        <w:rPr>
          <w:rFonts w:hint="eastAsia"/>
          <w:lang w:val="en-US" w:eastAsia="zh-CN"/>
        </w:rPr>
        <w:t>4</w:t>
      </w:r>
      <w:r>
        <w:t xml:space="preserve">.2 TVOC 释放率按照 </w:t>
      </w:r>
      <w:r>
        <w:rPr>
          <w:rFonts w:hint="eastAsia"/>
        </w:rPr>
        <w:t>GB 18584</w:t>
      </w:r>
      <w:r>
        <w:t xml:space="preserve"> 规定的方法进行检测。​</w:t>
      </w:r>
    </w:p>
    <w:p w14:paraId="244815F0">
      <w:pPr>
        <w:pStyle w:val="47"/>
        <w:numPr>
          <w:ilvl w:val="0"/>
          <w:numId w:val="1"/>
        </w:numPr>
        <w:tabs>
          <w:tab w:val="clear" w:pos="0"/>
        </w:tabs>
        <w:spacing w:before="312" w:after="312" w:line="240" w:lineRule="auto"/>
      </w:pPr>
      <w:r>
        <w:rPr>
          <w:rFonts w:hint="eastAsia"/>
        </w:rPr>
        <w:t>检验规则</w:t>
      </w:r>
    </w:p>
    <w:p w14:paraId="16D2CBC8">
      <w:pPr>
        <w:autoSpaceDE/>
        <w:autoSpaceDN/>
        <w:spacing w:line="240" w:lineRule="auto"/>
        <w:ind w:firstLine="0" w:firstLineChars="0"/>
        <w:rPr>
          <w:rFonts w:hint="eastAsia" w:ascii="黑体" w:hAnsi="黑体" w:eastAsia="黑体"/>
        </w:rPr>
      </w:pPr>
      <w:r>
        <w:rPr>
          <w:rFonts w:hint="eastAsia" w:ascii="黑体" w:hAnsi="黑体" w:eastAsia="黑体"/>
        </w:rPr>
        <w:t>8.1 检验分类</w:t>
      </w:r>
    </w:p>
    <w:p w14:paraId="2FE07F84">
      <w:pPr>
        <w:pStyle w:val="43"/>
        <w:numPr>
          <w:ilvl w:val="1"/>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加压法阻燃处理结构用木质材料的检验分为出厂检验和型式检验。</w:t>
      </w:r>
    </w:p>
    <w:p w14:paraId="5288A5D9">
      <w:pPr>
        <w:pStyle w:val="47"/>
        <w:numPr>
          <w:ilvl w:val="255"/>
          <w:numId w:val="0"/>
        </w:numPr>
        <w:tabs>
          <w:tab w:val="clear" w:pos="0"/>
        </w:tabs>
        <w:spacing w:before="312" w:after="312" w:line="240" w:lineRule="auto"/>
        <w:rPr>
          <w:rFonts w:hint="eastAsia" w:hAnsi="黑体" w:cs="黑体"/>
        </w:rPr>
      </w:pPr>
      <w:r>
        <w:rPr>
          <w:rFonts w:hint="eastAsia" w:hAnsi="黑体" w:cs="黑体"/>
        </w:rPr>
        <w:t>8.1.1 出厂检验</w:t>
      </w:r>
    </w:p>
    <w:p w14:paraId="5F4F46D4">
      <w:pPr>
        <w:pStyle w:val="43"/>
        <w:numPr>
          <w:ilvl w:val="255"/>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出厂检验项目应包括规格尺寸、含水率。</w:t>
      </w:r>
    </w:p>
    <w:p w14:paraId="7F5D1A6A">
      <w:pPr>
        <w:pStyle w:val="43"/>
        <w:numPr>
          <w:ilvl w:val="1"/>
          <w:numId w:val="0"/>
        </w:numPr>
        <w:spacing w:line="240" w:lineRule="auto"/>
        <w:rPr>
          <w:rFonts w:hint="eastAsia" w:cs="黑体"/>
        </w:rPr>
      </w:pPr>
      <w:r>
        <w:rPr>
          <w:rFonts w:hint="eastAsia" w:cs="黑体"/>
        </w:rPr>
        <w:t>8.1.2 型式检验</w:t>
      </w:r>
    </w:p>
    <w:p w14:paraId="31CB47D3">
      <w:pPr>
        <w:pStyle w:val="43"/>
        <w:numPr>
          <w:ilvl w:val="255"/>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型式检验应包括5.3规定的全部项目。在正常情况下，每两年应进行至少1次型式检验，有下列情况之一时，应进行型式检验：</w:t>
      </w:r>
    </w:p>
    <w:p w14:paraId="5E8F321B">
      <w:pPr>
        <w:pStyle w:val="43"/>
        <w:numPr>
          <w:ilvl w:val="1"/>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a)当原辅材料及生产工艺发生较大变化时；</w:t>
      </w:r>
    </w:p>
    <w:p w14:paraId="36822873">
      <w:pPr>
        <w:pStyle w:val="43"/>
        <w:numPr>
          <w:ilvl w:val="1"/>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b)停产三个月以上，恢复生产时；</w:t>
      </w:r>
    </w:p>
    <w:p w14:paraId="3A569A2C">
      <w:pPr>
        <w:pStyle w:val="43"/>
        <w:numPr>
          <w:ilvl w:val="1"/>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c)新产品投产或转产时；</w:t>
      </w:r>
    </w:p>
    <w:p w14:paraId="27654E05">
      <w:pPr>
        <w:pStyle w:val="43"/>
        <w:numPr>
          <w:ilvl w:val="1"/>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d)国家市场监管部门提出型式检验要求时。</w:t>
      </w:r>
    </w:p>
    <w:p w14:paraId="746EECF5">
      <w:pPr>
        <w:autoSpaceDE/>
        <w:autoSpaceDN/>
        <w:spacing w:line="240" w:lineRule="auto"/>
        <w:ind w:firstLine="0" w:firstLineChars="0"/>
        <w:rPr>
          <w:rFonts w:hint="eastAsia" w:ascii="黑体" w:hAnsi="黑体" w:eastAsia="黑体"/>
        </w:rPr>
      </w:pPr>
      <w:r>
        <w:rPr>
          <w:rFonts w:hint="eastAsia" w:ascii="黑体" w:hAnsi="黑体" w:eastAsia="黑体"/>
        </w:rPr>
        <w:t>8.2 抽样</w:t>
      </w:r>
    </w:p>
    <w:p w14:paraId="5E85565B">
      <w:pPr>
        <w:pStyle w:val="43"/>
        <w:numPr>
          <w:ilvl w:val="255"/>
          <w:numId w:val="0"/>
        </w:numPr>
        <w:spacing w:line="240" w:lineRule="auto"/>
        <w:rPr>
          <w:rFonts w:hint="eastAsia" w:cs="黑体"/>
        </w:rPr>
      </w:pPr>
      <w:r>
        <w:rPr>
          <w:rFonts w:hint="eastAsia" w:cs="黑体"/>
        </w:rPr>
        <w:t>8.2.1 组批规则</w:t>
      </w:r>
    </w:p>
    <w:p w14:paraId="3C4EDBDE">
      <w:pPr>
        <w:pStyle w:val="43"/>
        <w:numPr>
          <w:ilvl w:val="255"/>
          <w:numId w:val="0"/>
        </w:numPr>
        <w:spacing w:line="240" w:lineRule="auto"/>
        <w:ind w:firstLine="42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同一班次、</w:t>
      </w:r>
      <w:r>
        <w:rPr>
          <w:rFonts w:hint="eastAsia" w:asciiTheme="minorEastAsia" w:hAnsiTheme="minorEastAsia" w:eastAsiaTheme="minorEastAsia"/>
          <w:highlight w:val="none"/>
          <w:lang w:val="en-US" w:eastAsia="zh-CN"/>
        </w:rPr>
        <w:t>同一</w:t>
      </w:r>
      <w:r>
        <w:rPr>
          <w:rFonts w:hint="eastAsia" w:asciiTheme="minorEastAsia" w:hAnsiTheme="minorEastAsia" w:eastAsiaTheme="minorEastAsia"/>
          <w:highlight w:val="none"/>
        </w:rPr>
        <w:t>规格、同一类产品为一批</w:t>
      </w:r>
      <w:r>
        <w:rPr>
          <w:rFonts w:asciiTheme="minorEastAsia" w:hAnsiTheme="minorEastAsia" w:eastAsiaTheme="minorEastAsia"/>
          <w:highlight w:val="none"/>
        </w:rPr>
        <w:t>。</w:t>
      </w:r>
    </w:p>
    <w:p w14:paraId="3855A253">
      <w:pPr>
        <w:autoSpaceDE/>
        <w:autoSpaceDN/>
        <w:spacing w:line="240" w:lineRule="auto"/>
        <w:ind w:firstLine="0" w:firstLineChars="0"/>
        <w:rPr>
          <w:rFonts w:hint="eastAsia" w:ascii="黑体" w:hAnsi="黑体" w:eastAsia="黑体" w:cs="黑体"/>
        </w:rPr>
      </w:pPr>
      <w:r>
        <w:rPr>
          <w:rFonts w:hint="eastAsia" w:ascii="黑体" w:hAnsi="黑体" w:eastAsia="黑体" w:cs="黑体"/>
        </w:rPr>
        <w:t>8.2.2 抽样</w:t>
      </w:r>
    </w:p>
    <w:p w14:paraId="04766B50">
      <w:pPr>
        <w:autoSpaceDE/>
        <w:autoSpaceDN/>
        <w:spacing w:line="240" w:lineRule="auto"/>
        <w:rPr>
          <w:rFonts w:hint="eastAsia"/>
        </w:rPr>
      </w:pPr>
      <w:r>
        <w:rPr>
          <w:rFonts w:hint="eastAsia"/>
        </w:rPr>
        <w:t>在一批产品中随机抽取三块。</w:t>
      </w:r>
    </w:p>
    <w:p w14:paraId="4DFF98D4">
      <w:pPr>
        <w:autoSpaceDE/>
        <w:autoSpaceDN/>
        <w:spacing w:line="240" w:lineRule="auto"/>
        <w:ind w:firstLine="0" w:firstLineChars="0"/>
        <w:rPr>
          <w:rFonts w:hint="eastAsia" w:ascii="黑体" w:hAnsi="黑体" w:eastAsia="黑体" w:cs="黑体"/>
          <w:strike/>
        </w:rPr>
      </w:pPr>
      <w:r>
        <w:rPr>
          <w:rFonts w:hint="eastAsia" w:ascii="黑体" w:hAnsi="黑体" w:eastAsia="黑体" w:cs="黑体"/>
        </w:rPr>
        <w:t>8.3 判定规则</w:t>
      </w:r>
    </w:p>
    <w:p w14:paraId="6196E2C4">
      <w:pPr>
        <w:autoSpaceDE/>
        <w:autoSpaceDN/>
        <w:spacing w:line="240" w:lineRule="auto"/>
        <w:rPr>
          <w:rFonts w:hint="eastAsia"/>
          <w:highlight w:val="none"/>
        </w:rPr>
      </w:pPr>
      <w:r>
        <w:rPr>
          <w:rFonts w:hint="eastAsia"/>
          <w:color w:val="FF0000"/>
          <w:highlight w:val="yellow"/>
          <w:lang w:val="en-US" w:eastAsia="zh-CN"/>
        </w:rPr>
        <w:t>外观应符合</w:t>
      </w:r>
      <w:r>
        <w:rPr>
          <w:rFonts w:hint="eastAsia"/>
          <w:color w:val="FF0000"/>
          <w:highlight w:val="yellow"/>
        </w:rPr>
        <w:t xml:space="preserve">4.1.3 </w:t>
      </w:r>
      <w:r>
        <w:rPr>
          <w:rFonts w:hint="eastAsia"/>
          <w:color w:val="FF0000"/>
          <w:highlight w:val="yellow"/>
          <w:lang w:val="en-US" w:eastAsia="zh-CN"/>
        </w:rPr>
        <w:t>要求。</w:t>
      </w:r>
      <w:r>
        <w:rPr>
          <w:highlight w:val="none"/>
        </w:rPr>
        <w:t>外观不合格</w:t>
      </w:r>
      <w:r>
        <w:rPr>
          <w:rFonts w:hint="eastAsia"/>
          <w:highlight w:val="none"/>
          <w:lang w:eastAsia="zh-CN"/>
        </w:rPr>
        <w:t>，</w:t>
      </w:r>
      <w:r>
        <w:rPr>
          <w:highlight w:val="none"/>
        </w:rPr>
        <w:t>则该批产品不合格。其它检验结果有任何一项不符合要求，应</w:t>
      </w:r>
      <w:r>
        <w:rPr>
          <w:rFonts w:hint="eastAsia"/>
          <w:highlight w:val="none"/>
          <w:lang w:val="en-US" w:eastAsia="zh-CN"/>
        </w:rPr>
        <w:t>从</w:t>
      </w:r>
      <w:r>
        <w:rPr>
          <w:highlight w:val="none"/>
        </w:rPr>
        <w:t>该批产品中重新双倍取样</w:t>
      </w:r>
      <w:r>
        <w:rPr>
          <w:rFonts w:hint="eastAsia"/>
          <w:highlight w:val="none"/>
          <w:lang w:eastAsia="zh-CN"/>
        </w:rPr>
        <w:t>，</w:t>
      </w:r>
      <w:r>
        <w:rPr>
          <w:highlight w:val="none"/>
        </w:rPr>
        <w:t>对该不符合项目进行复检</w:t>
      </w:r>
      <w:r>
        <w:rPr>
          <w:rFonts w:hint="eastAsia"/>
          <w:highlight w:val="none"/>
          <w:lang w:eastAsia="zh-CN"/>
        </w:rPr>
        <w:t>。</w:t>
      </w:r>
      <w:r>
        <w:rPr>
          <w:highlight w:val="none"/>
        </w:rPr>
        <w:t>若复检结果符合要求，则该批产品合格。反之，则该批产品不合格。</w:t>
      </w:r>
    </w:p>
    <w:p w14:paraId="74866CAA">
      <w:pPr>
        <w:pStyle w:val="47"/>
        <w:numPr>
          <w:ilvl w:val="0"/>
          <w:numId w:val="1"/>
        </w:numPr>
        <w:tabs>
          <w:tab w:val="clear" w:pos="0"/>
        </w:tabs>
        <w:spacing w:before="312" w:after="312" w:line="240" w:lineRule="auto"/>
      </w:pPr>
      <w:r>
        <w:rPr>
          <w:rFonts w:hint="eastAsia"/>
        </w:rPr>
        <w:t>标识、包装、运输和贮存</w:t>
      </w:r>
      <w:bookmarkStart w:id="27" w:name="_GoBack"/>
      <w:bookmarkEnd w:id="27"/>
    </w:p>
    <w:p w14:paraId="6403B270">
      <w:pPr>
        <w:pStyle w:val="47"/>
        <w:tabs>
          <w:tab w:val="clear" w:pos="0"/>
        </w:tabs>
        <w:spacing w:before="312" w:after="312" w:line="240" w:lineRule="auto"/>
      </w:pPr>
      <w:r>
        <w:rPr>
          <w:rFonts w:hint="eastAsia"/>
        </w:rPr>
        <w:t>9.1 标识</w:t>
      </w:r>
    </w:p>
    <w:p w14:paraId="7CE1561D">
      <w:pPr>
        <w:pStyle w:val="47"/>
        <w:tabs>
          <w:tab w:val="clear" w:pos="0"/>
        </w:tabs>
        <w:spacing w:before="312" w:after="312"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产品外包装标识应注明生产厂名称、地址、联系电话、产品名称、型号规格、执行标准编号、生产日期、生产批号等。</w:t>
      </w:r>
    </w:p>
    <w:p w14:paraId="6BB19829">
      <w:pPr>
        <w:pStyle w:val="43"/>
        <w:numPr>
          <w:ilvl w:val="1"/>
          <w:numId w:val="0"/>
        </w:numPr>
        <w:spacing w:line="240" w:lineRule="auto"/>
        <w:rPr>
          <w:rFonts w:hint="eastAsia" w:cs="黑体"/>
        </w:rPr>
      </w:pPr>
      <w:r>
        <w:rPr>
          <w:rFonts w:hint="eastAsia" w:cs="黑体"/>
        </w:rPr>
        <w:t>9.2 包装</w:t>
      </w:r>
    </w:p>
    <w:p w14:paraId="17274007">
      <w:pPr>
        <w:pStyle w:val="43"/>
        <w:numPr>
          <w:ilvl w:val="1"/>
          <w:numId w:val="0"/>
        </w:numPr>
        <w:spacing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产品应按不同类型、规格、阻燃等级分别包装。</w:t>
      </w:r>
    </w:p>
    <w:p w14:paraId="57D00C02">
      <w:pPr>
        <w:pStyle w:val="47"/>
        <w:tabs>
          <w:tab w:val="clear" w:pos="0"/>
        </w:tabs>
        <w:spacing w:before="312" w:after="312" w:line="240" w:lineRule="auto"/>
        <w:rPr>
          <w:rFonts w:hint="eastAsia" w:hAnsi="黑体" w:cs="黑体"/>
        </w:rPr>
      </w:pPr>
      <w:r>
        <w:rPr>
          <w:rFonts w:hint="eastAsia" w:hAnsi="黑体" w:cs="黑体"/>
        </w:rPr>
        <w:t>9.3 运输和贮存</w:t>
      </w:r>
    </w:p>
    <w:p w14:paraId="63697CCB">
      <w:pPr>
        <w:pStyle w:val="47"/>
        <w:tabs>
          <w:tab w:val="clear" w:pos="0"/>
        </w:tabs>
        <w:spacing w:before="312" w:after="312" w:line="24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产品在运输过程中应采取防晒、防雨以及防损伤等措施。产品应入库保存，存放在通风干燥处，避免雨淋。</w:t>
      </w:r>
    </w:p>
    <w:p w14:paraId="60E5704E">
      <w:pPr>
        <w:pStyle w:val="47"/>
        <w:tabs>
          <w:tab w:val="clear" w:pos="0"/>
        </w:tabs>
        <w:spacing w:before="312" w:after="312" w:line="240" w:lineRule="auto"/>
        <w:ind w:firstLine="420" w:firstLineChars="200"/>
      </w:pPr>
      <w:r>
        <w:rPr>
          <w:rFonts w:hint="eastAsia"/>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5408;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footerReference r:id="rId13" w:type="default"/>
      <w:footerReference r:id="rId14"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MS Gothic">
    <w:altName w:val="冬青黑体简体中文"/>
    <w:panose1 w:val="020B0609070205080204"/>
    <w:charset w:val="80"/>
    <w:family w:val="modern"/>
    <w:pitch w:val="default"/>
    <w:sig w:usb0="00000000" w:usb1="00000000" w:usb2="08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儷宋 Pro">
    <w:panose1 w:val="02020300000000000000"/>
    <w:charset w:val="88"/>
    <w:family w:val="auto"/>
    <w:pitch w:val="default"/>
    <w:sig w:usb0="80000001" w:usb1="28091800" w:usb2="00000016" w:usb3="00000000" w:csb0="001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BD6AF">
    <w:pPr>
      <w:pStyle w:val="11"/>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2928E">
    <w:pPr>
      <w:pStyle w:val="11"/>
      <w:ind w:firstLine="360"/>
      <w:rPr>
        <w:rFonts w:hint="eastAsia"/>
      </w:rPr>
    </w:pPr>
  </w:p>
  <w:p w14:paraId="354D43DA">
    <w:pPr>
      <w:pStyle w:val="11"/>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8CB28">
    <w:pPr>
      <w:pStyle w:val="11"/>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5A50C">
    <w:pPr>
      <w:pStyle w:val="58"/>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E8827">
    <w:pPr>
      <w:pStyle w:val="58"/>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9DAF8">
    <w:pPr>
      <w:pStyle w:val="11"/>
      <w:ind w:firstLine="360"/>
      <w:rPr>
        <w:rFonts w:hint="eastAsia"/>
      </w:rPr>
    </w:pPr>
    <w:r>
      <w:fldChar w:fldCharType="begin"/>
    </w:r>
    <w:r>
      <w:instrText xml:space="preserve">PAGE   \* MERGEFORMAT</w:instrText>
    </w:r>
    <w:r>
      <w:fldChar w:fldCharType="separate"/>
    </w:r>
    <w:r>
      <w:rPr>
        <w:lang w:val="zh-CN"/>
      </w:rPr>
      <w:t>6</w:t>
    </w:r>
    <w:r>
      <w:fldChar w:fldCharType="end"/>
    </w:r>
  </w:p>
  <w:p w14:paraId="3292503C">
    <w:pPr>
      <w:pStyle w:val="11"/>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5E265">
    <w:pPr>
      <w:ind w:left="420" w:firstLine="0" w:firstLineChars="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71773">
    <w:pPr>
      <w:rPr>
        <w:rFonts w:hint="eastAsia"/>
      </w:rPr>
    </w:pPr>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C3030">
    <w:pPr>
      <w:pStyle w:val="12"/>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02734">
    <w:pPr>
      <w:pStyle w:val="59"/>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9DD6F04"/>
    <w:multiLevelType w:val="multilevel"/>
    <w:tmpl w:val="49DD6F04"/>
    <w:lvl w:ilvl="0" w:tentative="0">
      <w:start w:val="1"/>
      <w:numFmt w:val="decimal"/>
      <w:pStyle w:val="68"/>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7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xZjIzNjZlMDI5YWJmODJjZDcxNWU2OWRjYTlhNGYifQ=="/>
  </w:docVars>
  <w:rsids>
    <w:rsidRoot w:val="33F36BFE"/>
    <w:rsid w:val="00005CDD"/>
    <w:rsid w:val="00007EBF"/>
    <w:rsid w:val="000117DB"/>
    <w:rsid w:val="00012C06"/>
    <w:rsid w:val="00015A41"/>
    <w:rsid w:val="0001687D"/>
    <w:rsid w:val="000211BF"/>
    <w:rsid w:val="00021D81"/>
    <w:rsid w:val="00021E4A"/>
    <w:rsid w:val="00023EA8"/>
    <w:rsid w:val="00026E7A"/>
    <w:rsid w:val="00026FFF"/>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1F30"/>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2BF2"/>
    <w:rsid w:val="001931F6"/>
    <w:rsid w:val="00193D78"/>
    <w:rsid w:val="00193F49"/>
    <w:rsid w:val="001963FA"/>
    <w:rsid w:val="001A3CC5"/>
    <w:rsid w:val="001A4329"/>
    <w:rsid w:val="001B22C7"/>
    <w:rsid w:val="001B2D19"/>
    <w:rsid w:val="001C14B8"/>
    <w:rsid w:val="001C29B6"/>
    <w:rsid w:val="001C62E2"/>
    <w:rsid w:val="001D7404"/>
    <w:rsid w:val="001E0D33"/>
    <w:rsid w:val="001E1450"/>
    <w:rsid w:val="001E3B0A"/>
    <w:rsid w:val="001E485B"/>
    <w:rsid w:val="001E4A9D"/>
    <w:rsid w:val="001E6D85"/>
    <w:rsid w:val="001F0333"/>
    <w:rsid w:val="0020521F"/>
    <w:rsid w:val="00206995"/>
    <w:rsid w:val="00212D8E"/>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4457"/>
    <w:rsid w:val="002572D0"/>
    <w:rsid w:val="0026245B"/>
    <w:rsid w:val="002630F9"/>
    <w:rsid w:val="0026418B"/>
    <w:rsid w:val="0026774A"/>
    <w:rsid w:val="00275F7E"/>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6104"/>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C610E"/>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37500"/>
    <w:rsid w:val="00540F5D"/>
    <w:rsid w:val="005434DC"/>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1C56"/>
    <w:rsid w:val="00773A8B"/>
    <w:rsid w:val="00775777"/>
    <w:rsid w:val="007768A3"/>
    <w:rsid w:val="0077751B"/>
    <w:rsid w:val="00781E2F"/>
    <w:rsid w:val="007830F3"/>
    <w:rsid w:val="007872E4"/>
    <w:rsid w:val="007920E2"/>
    <w:rsid w:val="00792937"/>
    <w:rsid w:val="007940DF"/>
    <w:rsid w:val="007A13D5"/>
    <w:rsid w:val="007A21D3"/>
    <w:rsid w:val="007A44FD"/>
    <w:rsid w:val="007A5242"/>
    <w:rsid w:val="007A69C3"/>
    <w:rsid w:val="007A6AE7"/>
    <w:rsid w:val="007A6BDD"/>
    <w:rsid w:val="007B0865"/>
    <w:rsid w:val="007B0FDE"/>
    <w:rsid w:val="007B3181"/>
    <w:rsid w:val="007B6390"/>
    <w:rsid w:val="007B6ECF"/>
    <w:rsid w:val="007C048C"/>
    <w:rsid w:val="007C1148"/>
    <w:rsid w:val="007C1DDE"/>
    <w:rsid w:val="007C748D"/>
    <w:rsid w:val="007D5B8E"/>
    <w:rsid w:val="007D7BDD"/>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65EFB"/>
    <w:rsid w:val="008725AA"/>
    <w:rsid w:val="008743DE"/>
    <w:rsid w:val="0087651A"/>
    <w:rsid w:val="00883F7C"/>
    <w:rsid w:val="008931F7"/>
    <w:rsid w:val="00893D0E"/>
    <w:rsid w:val="00896D96"/>
    <w:rsid w:val="00897BB8"/>
    <w:rsid w:val="00897CD3"/>
    <w:rsid w:val="008A668C"/>
    <w:rsid w:val="008B268C"/>
    <w:rsid w:val="008B500D"/>
    <w:rsid w:val="008C1C85"/>
    <w:rsid w:val="008C4814"/>
    <w:rsid w:val="008D0B23"/>
    <w:rsid w:val="008D5D8B"/>
    <w:rsid w:val="008E0DB0"/>
    <w:rsid w:val="008E0E1D"/>
    <w:rsid w:val="008E0F0B"/>
    <w:rsid w:val="008E2EE0"/>
    <w:rsid w:val="008E6072"/>
    <w:rsid w:val="008F255D"/>
    <w:rsid w:val="008F26D2"/>
    <w:rsid w:val="008F2A0C"/>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02D7"/>
    <w:rsid w:val="009A3002"/>
    <w:rsid w:val="009A50DA"/>
    <w:rsid w:val="009A59B2"/>
    <w:rsid w:val="009A6B45"/>
    <w:rsid w:val="009B2006"/>
    <w:rsid w:val="009B2095"/>
    <w:rsid w:val="009B35B3"/>
    <w:rsid w:val="009B3F97"/>
    <w:rsid w:val="009B50E6"/>
    <w:rsid w:val="009B5350"/>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E7131"/>
    <w:rsid w:val="00AF197F"/>
    <w:rsid w:val="00AF31E5"/>
    <w:rsid w:val="00AF3943"/>
    <w:rsid w:val="00AF5ED2"/>
    <w:rsid w:val="00AF6980"/>
    <w:rsid w:val="00B00555"/>
    <w:rsid w:val="00B0205F"/>
    <w:rsid w:val="00B0410A"/>
    <w:rsid w:val="00B0433A"/>
    <w:rsid w:val="00B07F15"/>
    <w:rsid w:val="00B118BA"/>
    <w:rsid w:val="00B13B8F"/>
    <w:rsid w:val="00B14A4F"/>
    <w:rsid w:val="00B156BC"/>
    <w:rsid w:val="00B20E16"/>
    <w:rsid w:val="00B22ABA"/>
    <w:rsid w:val="00B27B78"/>
    <w:rsid w:val="00B307FF"/>
    <w:rsid w:val="00B36A04"/>
    <w:rsid w:val="00B4632F"/>
    <w:rsid w:val="00B47498"/>
    <w:rsid w:val="00B55716"/>
    <w:rsid w:val="00B56989"/>
    <w:rsid w:val="00B62381"/>
    <w:rsid w:val="00B6446E"/>
    <w:rsid w:val="00B66866"/>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D631D"/>
    <w:rsid w:val="00BE301D"/>
    <w:rsid w:val="00BE77B4"/>
    <w:rsid w:val="00BF1714"/>
    <w:rsid w:val="00BF1F7C"/>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17C8"/>
    <w:rsid w:val="00CC35DB"/>
    <w:rsid w:val="00CC3EDE"/>
    <w:rsid w:val="00CC5C29"/>
    <w:rsid w:val="00CD0964"/>
    <w:rsid w:val="00CD0E61"/>
    <w:rsid w:val="00CD2467"/>
    <w:rsid w:val="00CE18E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36590"/>
    <w:rsid w:val="00D415B1"/>
    <w:rsid w:val="00D43704"/>
    <w:rsid w:val="00D442D7"/>
    <w:rsid w:val="00D44BDD"/>
    <w:rsid w:val="00D44D32"/>
    <w:rsid w:val="00D46A8A"/>
    <w:rsid w:val="00D54E85"/>
    <w:rsid w:val="00D56418"/>
    <w:rsid w:val="00D60CBD"/>
    <w:rsid w:val="00D67F2E"/>
    <w:rsid w:val="00D70974"/>
    <w:rsid w:val="00D71A25"/>
    <w:rsid w:val="00D776CF"/>
    <w:rsid w:val="00D81977"/>
    <w:rsid w:val="00D91FC4"/>
    <w:rsid w:val="00D95751"/>
    <w:rsid w:val="00D96548"/>
    <w:rsid w:val="00D97B13"/>
    <w:rsid w:val="00DA1712"/>
    <w:rsid w:val="00DA4754"/>
    <w:rsid w:val="00DA51A6"/>
    <w:rsid w:val="00DA52BC"/>
    <w:rsid w:val="00DA6FDD"/>
    <w:rsid w:val="00DB172E"/>
    <w:rsid w:val="00DB1824"/>
    <w:rsid w:val="00DB3632"/>
    <w:rsid w:val="00DB667B"/>
    <w:rsid w:val="00DB6A02"/>
    <w:rsid w:val="00DC0341"/>
    <w:rsid w:val="00DC0B0C"/>
    <w:rsid w:val="00DC71D5"/>
    <w:rsid w:val="00DD040A"/>
    <w:rsid w:val="00DD121E"/>
    <w:rsid w:val="00DD39BD"/>
    <w:rsid w:val="00DD7372"/>
    <w:rsid w:val="00DE2F04"/>
    <w:rsid w:val="00DE3652"/>
    <w:rsid w:val="00DE365E"/>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519A"/>
    <w:rsid w:val="00EC6510"/>
    <w:rsid w:val="00ED4491"/>
    <w:rsid w:val="00ED65D2"/>
    <w:rsid w:val="00EE0BC0"/>
    <w:rsid w:val="00EE2C33"/>
    <w:rsid w:val="00EE65E0"/>
    <w:rsid w:val="00EE7E04"/>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1FFC"/>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5567"/>
    <w:rsid w:val="00FF6ABF"/>
    <w:rsid w:val="00FF6CDB"/>
    <w:rsid w:val="00FF6E6E"/>
    <w:rsid w:val="00FF75ED"/>
    <w:rsid w:val="01177BFE"/>
    <w:rsid w:val="01BA178B"/>
    <w:rsid w:val="026A4959"/>
    <w:rsid w:val="029C290B"/>
    <w:rsid w:val="02AB78A7"/>
    <w:rsid w:val="030329BA"/>
    <w:rsid w:val="032076CE"/>
    <w:rsid w:val="036A374F"/>
    <w:rsid w:val="03B47DC1"/>
    <w:rsid w:val="03F81EAA"/>
    <w:rsid w:val="043B10A6"/>
    <w:rsid w:val="04F57CED"/>
    <w:rsid w:val="056A1D11"/>
    <w:rsid w:val="058B60C2"/>
    <w:rsid w:val="06686C72"/>
    <w:rsid w:val="067547B1"/>
    <w:rsid w:val="072256E2"/>
    <w:rsid w:val="073443D9"/>
    <w:rsid w:val="07CD53CA"/>
    <w:rsid w:val="07FD21B0"/>
    <w:rsid w:val="086E5263"/>
    <w:rsid w:val="08AD31FB"/>
    <w:rsid w:val="0A365262"/>
    <w:rsid w:val="0A4A0725"/>
    <w:rsid w:val="0AD91528"/>
    <w:rsid w:val="0CD7158E"/>
    <w:rsid w:val="0FB10C06"/>
    <w:rsid w:val="11202301"/>
    <w:rsid w:val="117C00ED"/>
    <w:rsid w:val="11D90D02"/>
    <w:rsid w:val="175FB288"/>
    <w:rsid w:val="176D0592"/>
    <w:rsid w:val="194C4AAD"/>
    <w:rsid w:val="1B555E6B"/>
    <w:rsid w:val="1C295179"/>
    <w:rsid w:val="1C84763A"/>
    <w:rsid w:val="1CB52B35"/>
    <w:rsid w:val="1E005FA5"/>
    <w:rsid w:val="1E4C2C3B"/>
    <w:rsid w:val="1E544886"/>
    <w:rsid w:val="1EE04EB1"/>
    <w:rsid w:val="20590B08"/>
    <w:rsid w:val="20CD1E0F"/>
    <w:rsid w:val="22A2772B"/>
    <w:rsid w:val="22D07168"/>
    <w:rsid w:val="23794430"/>
    <w:rsid w:val="25332346"/>
    <w:rsid w:val="253C76A7"/>
    <w:rsid w:val="260D76B9"/>
    <w:rsid w:val="267E2238"/>
    <w:rsid w:val="272E2055"/>
    <w:rsid w:val="274C5429"/>
    <w:rsid w:val="293513D7"/>
    <w:rsid w:val="294008AF"/>
    <w:rsid w:val="29CF1658"/>
    <w:rsid w:val="2C9E5875"/>
    <w:rsid w:val="2D103481"/>
    <w:rsid w:val="2DA763C8"/>
    <w:rsid w:val="2FA73189"/>
    <w:rsid w:val="2FAF4C07"/>
    <w:rsid w:val="30F67906"/>
    <w:rsid w:val="314D0EE2"/>
    <w:rsid w:val="32043FBE"/>
    <w:rsid w:val="32E90F84"/>
    <w:rsid w:val="33663940"/>
    <w:rsid w:val="33F36BFE"/>
    <w:rsid w:val="35625557"/>
    <w:rsid w:val="383A4B3A"/>
    <w:rsid w:val="384A186B"/>
    <w:rsid w:val="3A2B1F54"/>
    <w:rsid w:val="3A38784C"/>
    <w:rsid w:val="3A5B1046"/>
    <w:rsid w:val="3B38142F"/>
    <w:rsid w:val="3B58D7D2"/>
    <w:rsid w:val="3B5C2526"/>
    <w:rsid w:val="3BA478A4"/>
    <w:rsid w:val="3C5A7B69"/>
    <w:rsid w:val="3C5E5B29"/>
    <w:rsid w:val="3C933C0E"/>
    <w:rsid w:val="3CE47B2E"/>
    <w:rsid w:val="3CF01CC5"/>
    <w:rsid w:val="3CFA5E5C"/>
    <w:rsid w:val="3E9D72A2"/>
    <w:rsid w:val="3EA811A8"/>
    <w:rsid w:val="3EB640DE"/>
    <w:rsid w:val="415D16B6"/>
    <w:rsid w:val="447B74B4"/>
    <w:rsid w:val="44ED4117"/>
    <w:rsid w:val="44F63F7F"/>
    <w:rsid w:val="460A0EAE"/>
    <w:rsid w:val="46600225"/>
    <w:rsid w:val="4820224D"/>
    <w:rsid w:val="49137B1B"/>
    <w:rsid w:val="49A90486"/>
    <w:rsid w:val="4ABF7A2E"/>
    <w:rsid w:val="4AD164B6"/>
    <w:rsid w:val="4B386D45"/>
    <w:rsid w:val="4C8D351B"/>
    <w:rsid w:val="4CD337E9"/>
    <w:rsid w:val="4DBE71CF"/>
    <w:rsid w:val="4DC30244"/>
    <w:rsid w:val="4EBB7C58"/>
    <w:rsid w:val="501972E0"/>
    <w:rsid w:val="506015E4"/>
    <w:rsid w:val="524C30E6"/>
    <w:rsid w:val="52607EE4"/>
    <w:rsid w:val="54890F5A"/>
    <w:rsid w:val="55300172"/>
    <w:rsid w:val="553B7BF2"/>
    <w:rsid w:val="568B7EE3"/>
    <w:rsid w:val="580C7B94"/>
    <w:rsid w:val="58B11C11"/>
    <w:rsid w:val="5A0F3C17"/>
    <w:rsid w:val="5B5D4FDD"/>
    <w:rsid w:val="5CB13BA9"/>
    <w:rsid w:val="5DA41C76"/>
    <w:rsid w:val="5E19638D"/>
    <w:rsid w:val="5F373FBF"/>
    <w:rsid w:val="5F550101"/>
    <w:rsid w:val="5FA559DE"/>
    <w:rsid w:val="5FE8F011"/>
    <w:rsid w:val="5FFA9D69"/>
    <w:rsid w:val="60AD60FE"/>
    <w:rsid w:val="60AE671D"/>
    <w:rsid w:val="626266E7"/>
    <w:rsid w:val="62A87EE4"/>
    <w:rsid w:val="63051A3D"/>
    <w:rsid w:val="6345272D"/>
    <w:rsid w:val="644454F5"/>
    <w:rsid w:val="65970E49"/>
    <w:rsid w:val="662305C2"/>
    <w:rsid w:val="67FE6E91"/>
    <w:rsid w:val="68807A41"/>
    <w:rsid w:val="69191871"/>
    <w:rsid w:val="69A23E61"/>
    <w:rsid w:val="6D5F728E"/>
    <w:rsid w:val="6D7876C0"/>
    <w:rsid w:val="6EF230AA"/>
    <w:rsid w:val="6F25667C"/>
    <w:rsid w:val="70A1532D"/>
    <w:rsid w:val="7263752C"/>
    <w:rsid w:val="73935206"/>
    <w:rsid w:val="75E74054"/>
    <w:rsid w:val="77BE5CAD"/>
    <w:rsid w:val="77EFB830"/>
    <w:rsid w:val="7828682C"/>
    <w:rsid w:val="7981729A"/>
    <w:rsid w:val="7B327CBF"/>
    <w:rsid w:val="7B59193F"/>
    <w:rsid w:val="7B6259AD"/>
    <w:rsid w:val="7BD7640F"/>
    <w:rsid w:val="7E3A23B3"/>
    <w:rsid w:val="7F112AF6"/>
    <w:rsid w:val="E7FE8E3A"/>
    <w:rsid w:val="FFEFA4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6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3">
    <w:name w:val="Default Paragraph Font"/>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4"/>
    <w:qFormat/>
    <w:uiPriority w:val="0"/>
    <w:rPr>
      <w:rFonts w:ascii="宋体" w:hAnsi="Courier New" w:cs="Courier New"/>
      <w:szCs w:val="21"/>
    </w:rPr>
  </w:style>
  <w:style w:type="paragraph" w:styleId="9">
    <w:name w:val="Date"/>
    <w:basedOn w:val="1"/>
    <w:next w:val="1"/>
    <w:link w:val="76"/>
    <w:qFormat/>
    <w:uiPriority w:val="0"/>
    <w:pPr>
      <w:ind w:left="100" w:leftChars="2500"/>
    </w:pPr>
  </w:style>
  <w:style w:type="paragraph" w:styleId="10">
    <w:name w:val="Balloon Text"/>
    <w:basedOn w:val="1"/>
    <w:link w:val="54"/>
    <w:qFormat/>
    <w:uiPriority w:val="0"/>
    <w:rPr>
      <w:sz w:val="18"/>
      <w:szCs w:val="18"/>
    </w:rPr>
  </w:style>
  <w:style w:type="paragraph" w:styleId="11">
    <w:name w:val="footer"/>
    <w:basedOn w:val="1"/>
    <w:link w:val="56"/>
    <w:qFormat/>
    <w:uiPriority w:val="99"/>
    <w:pPr>
      <w:tabs>
        <w:tab w:val="center" w:pos="4153"/>
        <w:tab w:val="right" w:pos="8306"/>
      </w:tabs>
      <w:snapToGrid w:val="0"/>
      <w:jc w:val="left"/>
    </w:pPr>
    <w:rPr>
      <w:sz w:val="18"/>
    </w:rPr>
  </w:style>
  <w:style w:type="paragraph" w:styleId="12">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Normal (Web)"/>
    <w:basedOn w:val="1"/>
    <w:semiHidden/>
    <w:unhideWhenUsed/>
    <w:qFormat/>
    <w:uiPriority w:val="0"/>
    <w:pPr>
      <w:spacing w:beforeAutospacing="1" w:afterAutospacing="1"/>
      <w:jc w:val="left"/>
    </w:pPr>
    <w:rPr>
      <w:sz w:val="24"/>
    </w:rPr>
  </w:style>
  <w:style w:type="paragraph" w:styleId="18">
    <w:name w:val="Title"/>
    <w:basedOn w:val="1"/>
    <w:next w:val="1"/>
    <w:link w:val="65"/>
    <w:qFormat/>
    <w:uiPriority w:val="0"/>
    <w:pPr>
      <w:spacing w:before="240" w:after="60"/>
      <w:jc w:val="center"/>
      <w:outlineLvl w:val="0"/>
    </w:pPr>
    <w:rPr>
      <w:rFonts w:ascii="Calibri Light" w:hAnsi="Calibri Light"/>
      <w:b/>
      <w:bCs/>
      <w:sz w:val="32"/>
      <w:szCs w:val="32"/>
    </w:rPr>
  </w:style>
  <w:style w:type="paragraph" w:styleId="19">
    <w:name w:val="annotation subject"/>
    <w:basedOn w:val="4"/>
    <w:next w:val="4"/>
    <w:link w:val="53"/>
    <w:qFormat/>
    <w:uiPriority w:val="0"/>
    <w:rPr>
      <w:b/>
      <w:bCs/>
    </w:rPr>
  </w:style>
  <w:style w:type="paragraph" w:styleId="20">
    <w:name w:val="Body Text First Indent"/>
    <w:basedOn w:val="5"/>
    <w:qFormat/>
    <w:uiPriority w:val="0"/>
    <w:pPr>
      <w:ind w:firstLine="100" w:firstLineChars="100"/>
    </w:p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mphasis"/>
    <w:basedOn w:val="23"/>
    <w:qFormat/>
    <w:uiPriority w:val="20"/>
    <w:rPr>
      <w:i/>
      <w:iCs/>
    </w:rPr>
  </w:style>
  <w:style w:type="character" w:styleId="25">
    <w:name w:val="Hyperlink"/>
    <w:basedOn w:val="23"/>
    <w:unhideWhenUsed/>
    <w:qFormat/>
    <w:uiPriority w:val="99"/>
    <w:rPr>
      <w:color w:val="0000FF"/>
      <w:u w:val="single"/>
    </w:rPr>
  </w:style>
  <w:style w:type="character" w:styleId="26">
    <w:name w:val="annotation reference"/>
    <w:qFormat/>
    <w:uiPriority w:val="0"/>
    <w:rPr>
      <w:sz w:val="21"/>
      <w:szCs w:val="21"/>
    </w:rPr>
  </w:style>
  <w:style w:type="paragraph" w:customStyle="1" w:styleId="27">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3">
    <w:name w:val="封面标准英文名称"/>
    <w:basedOn w:val="32"/>
    <w:qFormat/>
    <w:uiPriority w:val="0"/>
    <w:pPr>
      <w:framePr w:wrap="around"/>
      <w:spacing w:before="370" w:line="400" w:lineRule="exact"/>
    </w:pPr>
    <w:rPr>
      <w:rFonts w:ascii="Times New Roman"/>
      <w:sz w:val="28"/>
      <w:szCs w:val="28"/>
    </w:rPr>
  </w:style>
  <w:style w:type="paragraph" w:customStyle="1" w:styleId="34">
    <w:name w:val="封面一致性程度标识"/>
    <w:basedOn w:val="33"/>
    <w:qFormat/>
    <w:uiPriority w:val="0"/>
    <w:pPr>
      <w:framePr w:wrap="around"/>
      <w:spacing w:before="440"/>
    </w:pPr>
    <w:rPr>
      <w:rFonts w:ascii="宋体" w:eastAsia="宋体"/>
    </w:rPr>
  </w:style>
  <w:style w:type="paragraph" w:customStyle="1" w:styleId="35">
    <w:name w:val="封面标准文稿类别"/>
    <w:basedOn w:val="34"/>
    <w:qFormat/>
    <w:uiPriority w:val="0"/>
    <w:pPr>
      <w:framePr w:wrap="around"/>
      <w:spacing w:after="160" w:line="240" w:lineRule="auto"/>
    </w:pPr>
    <w:rPr>
      <w:sz w:val="24"/>
    </w:rPr>
  </w:style>
  <w:style w:type="paragraph" w:customStyle="1" w:styleId="36">
    <w:name w:val="封面标准文稿编辑信息"/>
    <w:basedOn w:val="35"/>
    <w:qFormat/>
    <w:uiPriority w:val="0"/>
    <w:pPr>
      <w:framePr w:wrap="around"/>
      <w:spacing w:before="180" w:line="180" w:lineRule="exact"/>
    </w:pPr>
    <w:rPr>
      <w:sz w:val="21"/>
    </w:rPr>
  </w:style>
  <w:style w:type="paragraph" w:customStyle="1" w:styleId="37">
    <w:name w:val="其他发布日期"/>
    <w:basedOn w:val="38"/>
    <w:qFormat/>
    <w:uiPriority w:val="0"/>
    <w:pPr>
      <w:framePr w:wrap="around" w:vAnchor="page" w:hAnchor="text" w:x="1419"/>
    </w:pPr>
  </w:style>
  <w:style w:type="paragraph" w:customStyle="1" w:styleId="38">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9">
    <w:name w:val="其他实施日期"/>
    <w:basedOn w:val="40"/>
    <w:qFormat/>
    <w:uiPriority w:val="0"/>
    <w:pPr>
      <w:framePr w:wrap="around"/>
    </w:pPr>
  </w:style>
  <w:style w:type="paragraph" w:customStyle="1" w:styleId="40">
    <w:name w:val="实施日期"/>
    <w:basedOn w:val="38"/>
    <w:qFormat/>
    <w:uiPriority w:val="0"/>
    <w:pPr>
      <w:framePr w:wrap="around" w:vAnchor="page" w:hAnchor="text"/>
      <w:jc w:val="right"/>
    </w:pPr>
  </w:style>
  <w:style w:type="paragraph" w:customStyle="1" w:styleId="41">
    <w:name w:val="其他发布部门"/>
    <w:basedOn w:val="42"/>
    <w:qFormat/>
    <w:uiPriority w:val="0"/>
    <w:pPr>
      <w:framePr w:wrap="around" w:y="15310"/>
      <w:spacing w:line="0" w:lineRule="atLeast"/>
    </w:pPr>
    <w:rPr>
      <w:rFonts w:ascii="黑体" w:eastAsia="黑体"/>
      <w:b w:val="0"/>
    </w:rPr>
  </w:style>
  <w:style w:type="paragraph" w:customStyle="1" w:styleId="42">
    <w:name w:val="发布部门"/>
    <w:next w:val="43"/>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3">
    <w:name w:val="段"/>
    <w:link w:val="51"/>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4">
    <w:name w:val="发布"/>
    <w:qFormat/>
    <w:uiPriority w:val="0"/>
    <w:rPr>
      <w:rFonts w:ascii="黑体" w:eastAsia="黑体"/>
      <w:spacing w:val="85"/>
      <w:w w:val="100"/>
      <w:position w:val="3"/>
      <w:sz w:val="28"/>
      <w:szCs w:val="28"/>
    </w:rPr>
  </w:style>
  <w:style w:type="paragraph" w:customStyle="1" w:styleId="45">
    <w:name w:val="前言、引言标题"/>
    <w:next w:val="43"/>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6">
    <w:name w:val="目次、标准名称标题"/>
    <w:basedOn w:val="1"/>
    <w:next w:val="43"/>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47">
    <w:name w:val="章标题"/>
    <w:next w:val="43"/>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8">
    <w:name w:val="终结线"/>
    <w:basedOn w:val="1"/>
    <w:qFormat/>
    <w:uiPriority w:val="0"/>
    <w:pPr>
      <w:framePr w:hSpace="181" w:vSpace="181" w:wrap="around" w:vAnchor="text" w:hAnchor="margin" w:xAlign="center" w:y="285"/>
    </w:pPr>
  </w:style>
  <w:style w:type="character" w:customStyle="1" w:styleId="49">
    <w:name w:val="页眉 字符"/>
    <w:link w:val="12"/>
    <w:qFormat/>
    <w:uiPriority w:val="99"/>
    <w:rPr>
      <w:kern w:val="2"/>
      <w:sz w:val="18"/>
      <w:szCs w:val="18"/>
    </w:rPr>
  </w:style>
  <w:style w:type="paragraph" w:customStyle="1" w:styleId="50">
    <w:name w:val="修订1"/>
    <w:hidden/>
    <w:unhideWhenUsed/>
    <w:qFormat/>
    <w:uiPriority w:val="99"/>
    <w:rPr>
      <w:rFonts w:ascii="Calibri" w:hAnsi="Calibri" w:eastAsia="宋体" w:cs="Times New Roman"/>
      <w:kern w:val="2"/>
      <w:sz w:val="21"/>
      <w:szCs w:val="24"/>
      <w:lang w:val="en-US" w:eastAsia="zh-CN" w:bidi="ar-SA"/>
    </w:rPr>
  </w:style>
  <w:style w:type="character" w:customStyle="1" w:styleId="51">
    <w:name w:val="段 Char"/>
    <w:link w:val="43"/>
    <w:qFormat/>
    <w:uiPriority w:val="0"/>
    <w:rPr>
      <w:rFonts w:ascii="黑体" w:hAnsi="黑体" w:eastAsia="黑体"/>
      <w:sz w:val="21"/>
      <w:szCs w:val="22"/>
    </w:rPr>
  </w:style>
  <w:style w:type="character" w:customStyle="1" w:styleId="52">
    <w:name w:val="批注文字 字符"/>
    <w:link w:val="4"/>
    <w:qFormat/>
    <w:uiPriority w:val="0"/>
    <w:rPr>
      <w:kern w:val="2"/>
      <w:sz w:val="21"/>
      <w:szCs w:val="24"/>
    </w:rPr>
  </w:style>
  <w:style w:type="character" w:customStyle="1" w:styleId="53">
    <w:name w:val="批注主题 字符"/>
    <w:link w:val="19"/>
    <w:qFormat/>
    <w:uiPriority w:val="0"/>
    <w:rPr>
      <w:b/>
      <w:bCs/>
      <w:kern w:val="2"/>
      <w:sz w:val="21"/>
      <w:szCs w:val="24"/>
    </w:rPr>
  </w:style>
  <w:style w:type="character" w:customStyle="1" w:styleId="54">
    <w:name w:val="批注框文本 字符"/>
    <w:link w:val="10"/>
    <w:qFormat/>
    <w:uiPriority w:val="0"/>
    <w:rPr>
      <w:kern w:val="2"/>
      <w:sz w:val="18"/>
      <w:szCs w:val="18"/>
    </w:rPr>
  </w:style>
  <w:style w:type="paragraph" w:styleId="55">
    <w:name w:val="List Paragraph"/>
    <w:basedOn w:val="1"/>
    <w:qFormat/>
    <w:uiPriority w:val="99"/>
  </w:style>
  <w:style w:type="character" w:customStyle="1" w:styleId="56">
    <w:name w:val="页脚 字符"/>
    <w:link w:val="11"/>
    <w:qFormat/>
    <w:uiPriority w:val="99"/>
    <w:rPr>
      <w:rFonts w:ascii="Calibri" w:hAnsi="Calibri" w:eastAsia="宋体" w:cs="Times New Roman"/>
      <w:kern w:val="2"/>
      <w:sz w:val="18"/>
      <w:szCs w:val="24"/>
    </w:rPr>
  </w:style>
  <w:style w:type="paragraph" w:customStyle="1" w:styleId="57">
    <w:name w:val="一级条标题"/>
    <w:next w:val="43"/>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0">
    <w:name w:val="二级条标题"/>
    <w:basedOn w:val="57"/>
    <w:next w:val="43"/>
    <w:qFormat/>
    <w:uiPriority w:val="0"/>
    <w:pPr>
      <w:spacing w:before="50" w:after="50"/>
      <w:ind w:left="0"/>
      <w:outlineLvl w:val="3"/>
    </w:pPr>
  </w:style>
  <w:style w:type="paragraph" w:customStyle="1" w:styleId="61">
    <w:name w:val="三级条标题"/>
    <w:basedOn w:val="60"/>
    <w:next w:val="43"/>
    <w:qFormat/>
    <w:uiPriority w:val="0"/>
    <w:pPr>
      <w:ind w:left="1134"/>
      <w:outlineLvl w:val="4"/>
    </w:pPr>
  </w:style>
  <w:style w:type="paragraph" w:customStyle="1" w:styleId="62">
    <w:name w:val="四级条标题"/>
    <w:basedOn w:val="61"/>
    <w:next w:val="43"/>
    <w:qFormat/>
    <w:uiPriority w:val="0"/>
    <w:pPr>
      <w:ind w:left="0"/>
      <w:outlineLvl w:val="5"/>
    </w:pPr>
  </w:style>
  <w:style w:type="paragraph" w:customStyle="1" w:styleId="63">
    <w:name w:val="五级条标题"/>
    <w:basedOn w:val="62"/>
    <w:next w:val="43"/>
    <w:qFormat/>
    <w:uiPriority w:val="0"/>
    <w:pPr>
      <w:outlineLvl w:val="6"/>
    </w:pPr>
  </w:style>
  <w:style w:type="character" w:customStyle="1" w:styleId="64">
    <w:name w:val="纯文本 字符"/>
    <w:link w:val="8"/>
    <w:qFormat/>
    <w:uiPriority w:val="0"/>
    <w:rPr>
      <w:rFonts w:ascii="宋体" w:hAnsi="Courier New" w:eastAsia="宋体" w:cs="Courier New"/>
      <w:kern w:val="2"/>
      <w:sz w:val="21"/>
      <w:szCs w:val="21"/>
    </w:rPr>
  </w:style>
  <w:style w:type="character" w:customStyle="1" w:styleId="65">
    <w:name w:val="标题 字符"/>
    <w:link w:val="18"/>
    <w:qFormat/>
    <w:uiPriority w:val="0"/>
    <w:rPr>
      <w:rFonts w:ascii="Calibri Light" w:hAnsi="Calibri Light" w:cs="Times New Roman"/>
      <w:b/>
      <w:bCs/>
      <w:kern w:val="2"/>
      <w:sz w:val="32"/>
      <w:szCs w:val="32"/>
    </w:rPr>
  </w:style>
  <w:style w:type="character" w:styleId="66">
    <w:name w:val="Placeholder Text"/>
    <w:basedOn w:val="23"/>
    <w:semiHidden/>
    <w:qFormat/>
    <w:uiPriority w:val="99"/>
    <w:rPr>
      <w:color w:val="808080"/>
    </w:rPr>
  </w:style>
  <w:style w:type="paragraph" w:customStyle="1" w:styleId="67">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8">
    <w:name w:val="章"/>
    <w:basedOn w:val="1"/>
    <w:next w:val="43"/>
    <w:qFormat/>
    <w:uiPriority w:val="0"/>
    <w:pPr>
      <w:numPr>
        <w:ilvl w:val="0"/>
        <w:numId w:val="2"/>
      </w:numPr>
      <w:adjustRightInd w:val="0"/>
      <w:spacing w:before="156" w:beforeLines="50" w:after="156" w:afterLines="50"/>
      <w:ind w:left="0"/>
      <w:jc w:val="center"/>
      <w:outlineLvl w:val="0"/>
    </w:pPr>
    <w:rPr>
      <w:b/>
      <w:kern w:val="21"/>
      <w:sz w:val="32"/>
      <w:szCs w:val="32"/>
    </w:rPr>
  </w:style>
  <w:style w:type="character" w:customStyle="1" w:styleId="69">
    <w:name w:val="标题 2 字符"/>
    <w:basedOn w:val="23"/>
    <w:link w:val="3"/>
    <w:qFormat/>
    <w:uiPriority w:val="0"/>
    <w:rPr>
      <w:rFonts w:asciiTheme="majorHAnsi" w:hAnsiTheme="majorHAnsi" w:eastAsiaTheme="majorEastAsia" w:cstheme="majorBidi"/>
      <w:b/>
      <w:bCs/>
      <w:kern w:val="2"/>
      <w:sz w:val="32"/>
      <w:szCs w:val="32"/>
    </w:rPr>
  </w:style>
  <w:style w:type="paragraph" w:customStyle="1" w:styleId="70">
    <w:name w:val="附录A列表"/>
    <w:basedOn w:val="1"/>
    <w:qFormat/>
    <w:uiPriority w:val="0"/>
    <w:pPr>
      <w:keepNext/>
      <w:spacing w:line="300" w:lineRule="auto"/>
      <w:jc w:val="center"/>
    </w:pPr>
  </w:style>
  <w:style w:type="paragraph" w:customStyle="1" w:styleId="71">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2">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3">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4">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5">
    <w:name w:val="TOC 标题2"/>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6">
    <w:name w:val="日期 字符"/>
    <w:basedOn w:val="23"/>
    <w:link w:val="9"/>
    <w:qFormat/>
    <w:uiPriority w:val="0"/>
    <w:rPr>
      <w:rFonts w:asciiTheme="minorEastAsia" w:hAnsiTheme="minorEastAsia" w:eastAsiaTheme="minorEastAsia"/>
      <w:sz w:val="21"/>
      <w:szCs w:val="22"/>
    </w:rPr>
  </w:style>
  <w:style w:type="table" w:customStyle="1" w:styleId="77">
    <w:name w:val="Table Normal"/>
    <w:semiHidden/>
    <w:unhideWhenUsed/>
    <w:qFormat/>
    <w:uiPriority w:val="0"/>
    <w:tblPr>
      <w:tblCellMar>
        <w:top w:w="0" w:type="dxa"/>
        <w:left w:w="0" w:type="dxa"/>
        <w:bottom w:w="0" w:type="dxa"/>
        <w:right w:w="0" w:type="dxa"/>
      </w:tblCellMar>
    </w:tblPr>
  </w:style>
  <w:style w:type="paragraph" w:customStyle="1" w:styleId="78">
    <w:name w:val="标准文件_一级条标题"/>
    <w:basedOn w:val="79"/>
    <w:next w:val="80"/>
    <w:qFormat/>
    <w:uiPriority w:val="0"/>
    <w:pPr>
      <w:numPr>
        <w:ilvl w:val="2"/>
      </w:numPr>
      <w:spacing w:before="50" w:beforeLines="50" w:after="50" w:afterLines="50"/>
      <w:outlineLvl w:val="1"/>
    </w:pPr>
  </w:style>
  <w:style w:type="paragraph" w:customStyle="1" w:styleId="79">
    <w:name w:val="标准文件_章标题"/>
    <w:next w:val="80"/>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8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1">
    <w:name w:val="标准文件_表格"/>
    <w:basedOn w:val="80"/>
    <w:qFormat/>
    <w:uiPriority w:val="0"/>
    <w:pPr>
      <w:ind w:firstLine="0" w:firstLineChars="0"/>
      <w:jc w:val="center"/>
    </w:pPr>
    <w:rPr>
      <w:sz w:val="18"/>
    </w:rPr>
  </w:style>
  <w:style w:type="character" w:customStyle="1" w:styleId="82">
    <w:name w:val="Unresolved Mention"/>
    <w:basedOn w:val="2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1578</Words>
  <Characters>1974</Characters>
  <Lines>30</Lines>
  <Paragraphs>8</Paragraphs>
  <TotalTime>2</TotalTime>
  <ScaleCrop>false</ScaleCrop>
  <LinksUpToDate>false</LinksUpToDate>
  <CharactersWithSpaces>2091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2025-09-17T06:19:00Z</dcterms:created>
  <dc:creator>梵高先生 </dc:creator>
  <cp:lastModifiedBy>白乙含</cp:lastModifiedBy>
  <cp:lastPrinted>2022-05-12T19:12:00Z</cp:lastPrinted>
  <dcterms:modified xsi:type="dcterms:W3CDTF">2025-09-16T16:42:37Z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F3CEED3E1C5815C83CC8C868B71ED20C_43</vt:lpwstr>
  </property>
  <property fmtid="{D5CDD505-2E9C-101B-9397-08002B2CF9AE}" pid="4" name="KSOTemplateDocerSaveRecord">
    <vt:lpwstr>eyJoZGlkIjoiYjU2NTkyZTg1YWMyY2NkNWQ0YzBhMWZlMjJjOWM1NWEiLCJ1c2VySWQiOiIxOTk1MjM1NSJ9</vt:lpwstr>
  </property>
</Properties>
</file>