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3A7A57">
      <w:pPr>
        <w:rPr>
          <w:rFonts w:hint="eastAsia"/>
          <w:b/>
          <w:color w:val="000000" w:themeColor="text1"/>
          <w:sz w:val="36"/>
          <w:szCs w:val="36"/>
          <w:highlight w:val="none"/>
          <w14:textFill>
            <w14:solidFill>
              <w14:schemeClr w14:val="tx1"/>
            </w14:solidFill>
          </w14:textFill>
        </w:rPr>
      </w:pPr>
    </w:p>
    <w:p w14:paraId="0A742869">
      <w:pPr>
        <w:rPr>
          <w:rFonts w:hint="eastAsia"/>
          <w:b/>
          <w:color w:val="000000" w:themeColor="text1"/>
          <w:sz w:val="36"/>
          <w:szCs w:val="36"/>
          <w:highlight w:val="none"/>
          <w14:textFill>
            <w14:solidFill>
              <w14:schemeClr w14:val="tx1"/>
            </w14:solidFill>
          </w14:textFill>
        </w:rPr>
      </w:pPr>
    </w:p>
    <w:p w14:paraId="253EFE97">
      <w:pPr>
        <w:rPr>
          <w:rFonts w:hint="eastAsia"/>
          <w:b/>
          <w:color w:val="000000" w:themeColor="text1"/>
          <w:sz w:val="36"/>
          <w:szCs w:val="36"/>
          <w:highlight w:val="none"/>
          <w14:textFill>
            <w14:solidFill>
              <w14:schemeClr w14:val="tx1"/>
            </w14:solidFill>
          </w14:textFill>
        </w:rPr>
      </w:pPr>
    </w:p>
    <w:p w14:paraId="7CB9B467">
      <w:pPr>
        <w:rPr>
          <w:rFonts w:hint="eastAsia"/>
          <w:b/>
          <w:color w:val="000000" w:themeColor="text1"/>
          <w:sz w:val="52"/>
          <w:szCs w:val="52"/>
          <w:highlight w:val="none"/>
          <w14:textFill>
            <w14:solidFill>
              <w14:schemeClr w14:val="tx1"/>
            </w14:solidFill>
          </w14:textFill>
        </w:rPr>
      </w:pPr>
    </w:p>
    <w:p w14:paraId="2F839075">
      <w:pPr>
        <w:ind w:firstLine="260" w:firstLineChars="50"/>
        <w:jc w:val="center"/>
        <w:rPr>
          <w:rFonts w:hint="eastAsia" w:ascii="方正小标宋简体" w:eastAsia="方正小标宋简体"/>
          <w:bCs/>
          <w:color w:val="000000" w:themeColor="text1"/>
          <w:sz w:val="52"/>
          <w:szCs w:val="52"/>
          <w:highlight w:val="none"/>
          <w14:textFill>
            <w14:solidFill>
              <w14:schemeClr w14:val="tx1"/>
            </w14:solidFill>
          </w14:textFill>
        </w:rPr>
      </w:pPr>
      <w:r>
        <w:rPr>
          <w:rFonts w:hint="eastAsia" w:ascii="方正小标宋简体" w:eastAsia="方正小标宋简体"/>
          <w:bCs/>
          <w:color w:val="000000" w:themeColor="text1"/>
          <w:sz w:val="52"/>
          <w:szCs w:val="52"/>
          <w:highlight w:val="none"/>
          <w14:textFill>
            <w14:solidFill>
              <w14:schemeClr w14:val="tx1"/>
            </w14:solidFill>
          </w14:textFill>
        </w:rPr>
        <w:t>《加压法阻燃处理结构用木质材料》</w:t>
      </w:r>
    </w:p>
    <w:p w14:paraId="00A26CB8">
      <w:pPr>
        <w:ind w:firstLine="260" w:firstLineChars="50"/>
        <w:jc w:val="center"/>
        <w:rPr>
          <w:rFonts w:hint="eastAsia" w:ascii="方正小标宋简体" w:eastAsia="方正小标宋简体"/>
          <w:bCs/>
          <w:color w:val="000000" w:themeColor="text1"/>
          <w:sz w:val="52"/>
          <w:szCs w:val="52"/>
          <w:highlight w:val="none"/>
          <w14:textFill>
            <w14:solidFill>
              <w14:schemeClr w14:val="tx1"/>
            </w14:solidFill>
          </w14:textFill>
        </w:rPr>
      </w:pPr>
      <w:r>
        <w:rPr>
          <w:rFonts w:hint="eastAsia" w:ascii="方正小标宋简体" w:eastAsia="方正小标宋简体"/>
          <w:bCs/>
          <w:color w:val="000000" w:themeColor="text1"/>
          <w:sz w:val="52"/>
          <w:szCs w:val="52"/>
          <w:highlight w:val="none"/>
          <w14:textFill>
            <w14:solidFill>
              <w14:schemeClr w14:val="tx1"/>
            </w14:solidFill>
          </w14:textFill>
        </w:rPr>
        <w:t>行业标准编制说明</w:t>
      </w:r>
    </w:p>
    <w:p w14:paraId="72316DA3">
      <w:pPr>
        <w:jc w:val="center"/>
        <w:rPr>
          <w:rFonts w:hint="eastAsia"/>
          <w:b/>
          <w:color w:val="000000" w:themeColor="text1"/>
          <w:sz w:val="44"/>
          <w:szCs w:val="44"/>
          <w:highlight w:val="none"/>
          <w14:textFill>
            <w14:solidFill>
              <w14:schemeClr w14:val="tx1"/>
            </w14:solidFill>
          </w14:textFill>
        </w:rPr>
      </w:pPr>
    </w:p>
    <w:p w14:paraId="6D47F927">
      <w:pPr>
        <w:jc w:val="center"/>
        <w:rPr>
          <w:rFonts w:hint="eastAsia"/>
          <w:b/>
          <w:color w:val="000000" w:themeColor="text1"/>
          <w:sz w:val="44"/>
          <w:szCs w:val="44"/>
          <w:highlight w:val="none"/>
          <w14:textFill>
            <w14:solidFill>
              <w14:schemeClr w14:val="tx1"/>
            </w14:solidFill>
          </w14:textFill>
        </w:rPr>
      </w:pPr>
      <w:r>
        <w:rPr>
          <w:rFonts w:hint="eastAsia"/>
          <w:b/>
          <w:color w:val="000000" w:themeColor="text1"/>
          <w:sz w:val="44"/>
          <w:szCs w:val="44"/>
          <w:highlight w:val="none"/>
          <w14:textFill>
            <w14:solidFill>
              <w14:schemeClr w14:val="tx1"/>
            </w14:solidFill>
          </w14:textFill>
        </w:rPr>
        <w:t>（征求意见稿）</w:t>
      </w:r>
    </w:p>
    <w:p w14:paraId="7D2E4AF8">
      <w:pPr>
        <w:jc w:val="center"/>
        <w:rPr>
          <w:rFonts w:hint="eastAsia"/>
          <w:b/>
          <w:color w:val="000000" w:themeColor="text1"/>
          <w:sz w:val="44"/>
          <w:szCs w:val="44"/>
          <w:highlight w:val="none"/>
          <w14:textFill>
            <w14:solidFill>
              <w14:schemeClr w14:val="tx1"/>
            </w14:solidFill>
          </w14:textFill>
        </w:rPr>
      </w:pPr>
    </w:p>
    <w:p w14:paraId="73FF0B65">
      <w:pPr>
        <w:jc w:val="center"/>
        <w:rPr>
          <w:rFonts w:hint="eastAsia"/>
          <w:b/>
          <w:color w:val="000000" w:themeColor="text1"/>
          <w:sz w:val="44"/>
          <w:szCs w:val="44"/>
          <w:highlight w:val="none"/>
          <w14:textFill>
            <w14:solidFill>
              <w14:schemeClr w14:val="tx1"/>
            </w14:solidFill>
          </w14:textFill>
        </w:rPr>
      </w:pPr>
    </w:p>
    <w:p w14:paraId="1A6512E9">
      <w:pPr>
        <w:rPr>
          <w:rFonts w:hint="eastAsia"/>
          <w:b/>
          <w:color w:val="000000" w:themeColor="text1"/>
          <w:sz w:val="44"/>
          <w:szCs w:val="44"/>
          <w:highlight w:val="none"/>
          <w14:textFill>
            <w14:solidFill>
              <w14:schemeClr w14:val="tx1"/>
            </w14:solidFill>
          </w14:textFill>
        </w:rPr>
      </w:pPr>
    </w:p>
    <w:p w14:paraId="329339CE">
      <w:pPr>
        <w:rPr>
          <w:rFonts w:hint="eastAsia"/>
          <w:b/>
          <w:color w:val="000000" w:themeColor="text1"/>
          <w:sz w:val="44"/>
          <w:szCs w:val="44"/>
          <w:highlight w:val="none"/>
          <w14:textFill>
            <w14:solidFill>
              <w14:schemeClr w14:val="tx1"/>
            </w14:solidFill>
          </w14:textFill>
        </w:rPr>
      </w:pPr>
    </w:p>
    <w:p w14:paraId="551D6069">
      <w:pPr>
        <w:rPr>
          <w:rFonts w:hint="eastAsia"/>
          <w:b/>
          <w:color w:val="000000" w:themeColor="text1"/>
          <w:sz w:val="44"/>
          <w:szCs w:val="44"/>
          <w:highlight w:val="none"/>
          <w14:textFill>
            <w14:solidFill>
              <w14:schemeClr w14:val="tx1"/>
            </w14:solidFill>
          </w14:textFill>
        </w:rPr>
      </w:pPr>
    </w:p>
    <w:p w14:paraId="63088E69">
      <w:pPr>
        <w:jc w:val="center"/>
        <w:rPr>
          <w:rFonts w:hint="eastAsia"/>
          <w:b/>
          <w:color w:val="000000" w:themeColor="text1"/>
          <w:sz w:val="44"/>
          <w:szCs w:val="44"/>
          <w:highlight w:val="none"/>
          <w14:textFill>
            <w14:solidFill>
              <w14:schemeClr w14:val="tx1"/>
            </w14:solidFill>
          </w14:textFill>
        </w:rPr>
      </w:pPr>
    </w:p>
    <w:p w14:paraId="5A4C2C0F">
      <w:pPr>
        <w:jc w:val="center"/>
        <w:rPr>
          <w:rFonts w:hint="eastAsia"/>
          <w:b/>
          <w:color w:val="000000" w:themeColor="text1"/>
          <w:sz w:val="44"/>
          <w:szCs w:val="44"/>
          <w:highlight w:val="none"/>
          <w14:textFill>
            <w14:solidFill>
              <w14:schemeClr w14:val="tx1"/>
            </w14:solidFill>
          </w14:textFill>
        </w:rPr>
      </w:pPr>
    </w:p>
    <w:p w14:paraId="37431417">
      <w:pPr>
        <w:jc w:val="center"/>
        <w:rPr>
          <w:rFonts w:hint="eastAsia"/>
          <w:b/>
          <w:color w:val="000000" w:themeColor="text1"/>
          <w:sz w:val="44"/>
          <w:szCs w:val="44"/>
          <w:highlight w:val="none"/>
          <w14:textFill>
            <w14:solidFill>
              <w14:schemeClr w14:val="tx1"/>
            </w14:solidFill>
          </w14:textFill>
        </w:rPr>
      </w:pPr>
    </w:p>
    <w:p w14:paraId="23668BA0">
      <w:pPr>
        <w:jc w:val="center"/>
        <w:rPr>
          <w:rFonts w:hint="eastAsia" w:eastAsiaTheme="minorEastAsia"/>
          <w:b/>
          <w:color w:val="000000" w:themeColor="text1"/>
          <w:sz w:val="36"/>
          <w:szCs w:val="36"/>
          <w:highlight w:val="none"/>
          <w14:textFill>
            <w14:solidFill>
              <w14:schemeClr w14:val="tx1"/>
            </w14:solidFill>
          </w14:textFill>
        </w:rPr>
      </w:pPr>
      <w:r>
        <w:rPr>
          <w:rFonts w:hint="eastAsia" w:eastAsiaTheme="minorEastAsia"/>
          <w:b/>
          <w:color w:val="000000" w:themeColor="text1"/>
          <w:sz w:val="36"/>
          <w:szCs w:val="36"/>
          <w:highlight w:val="none"/>
          <w14:textFill>
            <w14:solidFill>
              <w14:schemeClr w14:val="tx1"/>
            </w14:solidFill>
          </w14:textFill>
        </w:rPr>
        <w:t>2</w:t>
      </w:r>
      <w:r>
        <w:rPr>
          <w:rFonts w:eastAsiaTheme="minorEastAsia"/>
          <w:b/>
          <w:color w:val="000000" w:themeColor="text1"/>
          <w:sz w:val="36"/>
          <w:szCs w:val="36"/>
          <w:highlight w:val="none"/>
          <w14:textFill>
            <w14:solidFill>
              <w14:schemeClr w14:val="tx1"/>
            </w14:solidFill>
          </w14:textFill>
        </w:rPr>
        <w:t>02</w:t>
      </w:r>
      <w:r>
        <w:rPr>
          <w:rFonts w:hint="eastAsia" w:eastAsiaTheme="minorEastAsia"/>
          <w:b/>
          <w:color w:val="000000" w:themeColor="text1"/>
          <w:sz w:val="36"/>
          <w:szCs w:val="36"/>
          <w:highlight w:val="none"/>
          <w14:textFill>
            <w14:solidFill>
              <w14:schemeClr w14:val="tx1"/>
            </w14:solidFill>
          </w14:textFill>
        </w:rPr>
        <w:t>5</w:t>
      </w:r>
      <w:r>
        <w:rPr>
          <w:rFonts w:eastAsiaTheme="minorEastAsia"/>
          <w:b/>
          <w:color w:val="000000" w:themeColor="text1"/>
          <w:sz w:val="36"/>
          <w:szCs w:val="36"/>
          <w:highlight w:val="none"/>
          <w14:textFill>
            <w14:solidFill>
              <w14:schemeClr w14:val="tx1"/>
            </w14:solidFill>
          </w14:textFill>
        </w:rPr>
        <w:t>年</w:t>
      </w:r>
      <w:r>
        <w:rPr>
          <w:rFonts w:hint="eastAsia" w:eastAsiaTheme="minorEastAsia"/>
          <w:b/>
          <w:color w:val="000000" w:themeColor="text1"/>
          <w:sz w:val="36"/>
          <w:szCs w:val="36"/>
          <w:highlight w:val="none"/>
          <w14:textFill>
            <w14:solidFill>
              <w14:schemeClr w14:val="tx1"/>
            </w14:solidFill>
          </w14:textFill>
        </w:rPr>
        <w:t>9</w:t>
      </w:r>
      <w:r>
        <w:rPr>
          <w:rFonts w:eastAsiaTheme="minorEastAsia"/>
          <w:b/>
          <w:color w:val="000000" w:themeColor="text1"/>
          <w:sz w:val="36"/>
          <w:szCs w:val="36"/>
          <w:highlight w:val="none"/>
          <w14:textFill>
            <w14:solidFill>
              <w14:schemeClr w14:val="tx1"/>
            </w14:solidFill>
          </w14:textFill>
        </w:rPr>
        <w:t>月</w:t>
      </w:r>
    </w:p>
    <w:p w14:paraId="300747BA">
      <w:pPr>
        <w:pStyle w:val="25"/>
        <w:framePr w:w="0" w:hRule="auto" w:wrap="auto" w:vAnchor="margin" w:hAnchor="text" w:xAlign="left" w:yAlign="inline"/>
        <w:spacing w:line="360" w:lineRule="auto"/>
        <w:rPr>
          <w:rFonts w:ascii="Times New Roman" w:eastAsia="宋体"/>
          <w:color w:val="000000" w:themeColor="text1"/>
          <w:sz w:val="32"/>
          <w:szCs w:val="32"/>
          <w:highlight w:val="none"/>
          <w14:textFill>
            <w14:solidFill>
              <w14:schemeClr w14:val="tx1"/>
            </w14:solidFill>
          </w14:textFill>
        </w:rPr>
      </w:pPr>
      <w:r>
        <w:rPr>
          <w:rFonts w:ascii="Times New Roman" w:eastAsia="宋体"/>
          <w:color w:val="000000" w:themeColor="text1"/>
          <w:sz w:val="32"/>
          <w:szCs w:val="32"/>
          <w:highlight w:val="none"/>
          <w14:textFill>
            <w14:solidFill>
              <w14:schemeClr w14:val="tx1"/>
            </w14:solidFill>
          </w14:textFill>
        </w:rPr>
        <w:br w:type="page"/>
      </w:r>
    </w:p>
    <w:sdt>
      <w:sdtPr>
        <w:rPr>
          <w:rFonts w:ascii="Times New Roman" w:hAnsi="Times New Roman" w:eastAsia="宋体" w:cs="Times New Roman"/>
          <w:color w:val="000000" w:themeColor="text1"/>
          <w:kern w:val="2"/>
          <w:sz w:val="21"/>
          <w:szCs w:val="24"/>
          <w:highlight w:val="none"/>
          <w:lang w:val="zh-CN"/>
          <w14:textFill>
            <w14:solidFill>
              <w14:schemeClr w14:val="tx1"/>
            </w14:solidFill>
          </w14:textFill>
        </w:rPr>
        <w:id w:val="207385740"/>
        <w:docPartObj>
          <w:docPartGallery w:val="Table of Contents"/>
          <w:docPartUnique/>
        </w:docPartObj>
      </w:sdtPr>
      <w:sdtEndPr>
        <w:rPr>
          <w:rFonts w:ascii="宋体" w:hAnsi="宋体" w:eastAsia="宋体" w:cs="宋体"/>
          <w:b/>
          <w:bCs/>
          <w:color w:val="000000" w:themeColor="text1"/>
          <w:kern w:val="0"/>
          <w:sz w:val="24"/>
          <w:szCs w:val="24"/>
          <w:highlight w:val="none"/>
          <w:lang w:val="zh-CN"/>
          <w14:textFill>
            <w14:solidFill>
              <w14:schemeClr w14:val="tx1"/>
            </w14:solidFill>
          </w14:textFill>
        </w:rPr>
      </w:sdtEndPr>
      <w:sdtContent>
        <w:p w14:paraId="225772CE">
          <w:pPr>
            <w:pStyle w:val="59"/>
            <w:spacing w:before="0" w:line="360" w:lineRule="auto"/>
            <w:jc w:val="both"/>
            <w:rPr>
              <w:rFonts w:ascii="Times New Roman" w:hAnsi="Times New Roman" w:eastAsia="宋体" w:cs="Times New Roman"/>
              <w:color w:val="000000" w:themeColor="text1"/>
              <w:kern w:val="2"/>
              <w:sz w:val="21"/>
              <w:szCs w:val="24"/>
              <w:highlight w:val="none"/>
              <w:lang w:val="zh-CN"/>
              <w14:textFill>
                <w14:solidFill>
                  <w14:schemeClr w14:val="tx1"/>
                </w14:solidFill>
              </w14:textFill>
            </w:rPr>
          </w:pPr>
        </w:p>
        <w:p w14:paraId="0FDC0036">
          <w:pPr>
            <w:pStyle w:val="59"/>
            <w:spacing w:before="0" w:line="360" w:lineRule="auto"/>
            <w:jc w:val="center"/>
            <w:rPr>
              <w:rFonts w:ascii="Times New Roman" w:hAnsi="Times New Roman" w:eastAsia="黑体" w:cs="Times New Roman"/>
              <w:b/>
              <w:color w:val="000000" w:themeColor="text1"/>
              <w:highlight w:val="none"/>
              <w:lang w:val="zh-CN"/>
              <w14:textFill>
                <w14:solidFill>
                  <w14:schemeClr w14:val="tx1"/>
                </w14:solidFill>
              </w14:textFill>
            </w:rPr>
          </w:pPr>
          <w:r>
            <w:rPr>
              <w:rFonts w:ascii="Times New Roman" w:hAnsi="Times New Roman" w:eastAsia="黑体" w:cs="Times New Roman"/>
              <w:b/>
              <w:color w:val="000000" w:themeColor="text1"/>
              <w:highlight w:val="none"/>
              <w:lang w:val="zh-CN"/>
              <w14:textFill>
                <w14:solidFill>
                  <w14:schemeClr w14:val="tx1"/>
                </w14:solidFill>
              </w14:textFill>
            </w:rPr>
            <w:t>目  录</w:t>
          </w:r>
        </w:p>
        <w:p w14:paraId="0600D403">
          <w:pPr>
            <w:jc w:val="both"/>
            <w:rPr>
              <w:rFonts w:hint="eastAsia"/>
              <w:color w:val="000000" w:themeColor="text1"/>
              <w:highlight w:val="none"/>
              <w:lang w:val="zh-CN"/>
              <w14:textFill>
                <w14:solidFill>
                  <w14:schemeClr w14:val="tx1"/>
                </w14:solidFill>
              </w14:textFill>
            </w:rPr>
          </w:pPr>
        </w:p>
        <w:p w14:paraId="60B96F77">
          <w:pPr>
            <w:pStyle w:val="15"/>
            <w:tabs>
              <w:tab w:val="right" w:leader="dot" w:pos="9468"/>
            </w:tabs>
            <w:spacing w:line="360" w:lineRule="auto"/>
            <w:ind w:left="480"/>
            <w:rPr>
              <w:rFonts w:hint="eastAsia"/>
              <w:highlight w:val="none"/>
            </w:rPr>
          </w:pPr>
          <w:r>
            <w:rPr>
              <w:rFonts w:asciiTheme="minorEastAsia" w:hAnsiTheme="minorEastAsia" w:eastAsiaTheme="minorEastAsia"/>
              <w:bCs/>
              <w:color w:val="000000" w:themeColor="text1"/>
              <w:sz w:val="28"/>
              <w:highlight w:val="none"/>
              <w14:textFill>
                <w14:solidFill>
                  <w14:schemeClr w14:val="tx1"/>
                </w14:solidFill>
              </w14:textFill>
            </w:rPr>
            <w:fldChar w:fldCharType="begin"/>
          </w:r>
          <w:r>
            <w:rPr>
              <w:rFonts w:asciiTheme="minorEastAsia" w:hAnsiTheme="minorEastAsia" w:eastAsiaTheme="minorEastAsia"/>
              <w:bCs/>
              <w:color w:val="000000" w:themeColor="text1"/>
              <w:sz w:val="28"/>
              <w:highlight w:val="none"/>
              <w14:textFill>
                <w14:solidFill>
                  <w14:schemeClr w14:val="tx1"/>
                </w14:solidFill>
              </w14:textFill>
            </w:rPr>
            <w:instrText xml:space="preserve"> TOC \o "1-3" \h \z \u </w:instrText>
          </w:r>
          <w:r>
            <w:rPr>
              <w:rFonts w:asciiTheme="minorEastAsia" w:hAnsiTheme="minorEastAsia" w:eastAsiaTheme="minorEastAsia"/>
              <w:bCs/>
              <w:color w:val="000000" w:themeColor="text1"/>
              <w:sz w:val="28"/>
              <w:highlight w:val="none"/>
              <w14:textFill>
                <w14:solidFill>
                  <w14:schemeClr w14:val="tx1"/>
                </w14:solidFill>
              </w14:textFill>
            </w:rPr>
            <w:fldChar w:fldCharType="separate"/>
          </w:r>
          <w:r>
            <w:rPr>
              <w:highlight w:val="none"/>
            </w:rPr>
            <w:fldChar w:fldCharType="begin"/>
          </w:r>
          <w:r>
            <w:rPr>
              <w:highlight w:val="none"/>
            </w:rPr>
            <w:instrText xml:space="preserve"> HYPERLINK \l "_Toc4681" </w:instrText>
          </w:r>
          <w:r>
            <w:rPr>
              <w:highlight w:val="none"/>
            </w:rPr>
            <w:fldChar w:fldCharType="separate"/>
          </w:r>
          <w:r>
            <w:rPr>
              <w:rFonts w:ascii="Times New Roman"/>
              <w:szCs w:val="28"/>
              <w:highlight w:val="none"/>
            </w:rPr>
            <w:t>1 标准编制工作简况</w:t>
          </w:r>
          <w:r>
            <w:rPr>
              <w:highlight w:val="none"/>
            </w:rPr>
            <w:tab/>
          </w:r>
          <w:r>
            <w:rPr>
              <w:highlight w:val="none"/>
            </w:rPr>
            <w:fldChar w:fldCharType="begin"/>
          </w:r>
          <w:r>
            <w:rPr>
              <w:highlight w:val="none"/>
            </w:rPr>
            <w:instrText xml:space="preserve"> PAGEREF _Toc4681 \h </w:instrText>
          </w:r>
          <w:r>
            <w:rPr>
              <w:highlight w:val="none"/>
            </w:rPr>
            <w:fldChar w:fldCharType="separate"/>
          </w:r>
          <w:r>
            <w:rPr>
              <w:highlight w:val="none"/>
            </w:rPr>
            <w:t>3</w:t>
          </w:r>
          <w:r>
            <w:rPr>
              <w:highlight w:val="none"/>
            </w:rPr>
            <w:fldChar w:fldCharType="end"/>
          </w:r>
          <w:r>
            <w:rPr>
              <w:highlight w:val="none"/>
            </w:rPr>
            <w:fldChar w:fldCharType="end"/>
          </w:r>
        </w:p>
        <w:p w14:paraId="5F4BE1CA">
          <w:pPr>
            <w:pStyle w:val="9"/>
            <w:tabs>
              <w:tab w:val="right" w:leader="dot" w:pos="9468"/>
            </w:tabs>
            <w:spacing w:line="360" w:lineRule="auto"/>
            <w:ind w:left="960"/>
            <w:rPr>
              <w:rFonts w:hint="eastAsia" w:asciiTheme="minorEastAsia" w:hAnsiTheme="minorEastAsia" w:eastAsiaTheme="minorEastAsia" w:cstheme="minorEastAsia"/>
              <w:highlight w:val="none"/>
            </w:rPr>
          </w:pPr>
          <w:r>
            <w:rPr>
              <w:highlight w:val="none"/>
            </w:rPr>
            <w:fldChar w:fldCharType="begin"/>
          </w:r>
          <w:r>
            <w:rPr>
              <w:highlight w:val="none"/>
            </w:rPr>
            <w:instrText xml:space="preserve"> HYPERLINK \l "_Toc21706" </w:instrText>
          </w:r>
          <w:r>
            <w:rPr>
              <w:highlight w:val="none"/>
            </w:rPr>
            <w:fldChar w:fldCharType="separate"/>
          </w:r>
          <w:r>
            <w:rPr>
              <w:rFonts w:hint="eastAsia" w:asciiTheme="minorEastAsia" w:hAnsiTheme="minorEastAsia" w:eastAsiaTheme="minorEastAsia" w:cstheme="minorEastAsia"/>
              <w:szCs w:val="21"/>
              <w:highlight w:val="none"/>
            </w:rPr>
            <w:t xml:space="preserve">1.1 </w:t>
          </w:r>
          <w:r>
            <w:rPr>
              <w:rFonts w:hint="eastAsia" w:asciiTheme="minorEastAsia" w:hAnsiTheme="minorEastAsia" w:eastAsiaTheme="minorEastAsia" w:cstheme="minorEastAsia"/>
              <w:highlight w:val="none"/>
            </w:rPr>
            <w:t>任务来源</w:t>
          </w:r>
          <w:r>
            <w:rPr>
              <w:rFonts w:hint="eastAsia" w:asciiTheme="minorEastAsia" w:hAnsiTheme="minorEastAsia" w:eastAsiaTheme="minorEastAsia" w:cstheme="minorEastAsia"/>
              <w:highlight w:val="none"/>
            </w:rPr>
            <w:tab/>
          </w:r>
          <w:r>
            <w:rPr>
              <w:rFonts w:hint="eastAsia" w:asciiTheme="minorEastAsia" w:hAnsiTheme="minorEastAsia" w:eastAsiaTheme="minorEastAsia" w:cstheme="minorEastAsia"/>
              <w:highlight w:val="none"/>
            </w:rPr>
            <w:fldChar w:fldCharType="begin"/>
          </w:r>
          <w:r>
            <w:rPr>
              <w:rFonts w:hint="eastAsia" w:asciiTheme="minorEastAsia" w:hAnsiTheme="minorEastAsia" w:eastAsiaTheme="minorEastAsia" w:cstheme="minorEastAsia"/>
              <w:highlight w:val="none"/>
            </w:rPr>
            <w:instrText xml:space="preserve"> PAGEREF _Toc21706 \h </w:instrText>
          </w:r>
          <w:r>
            <w:rPr>
              <w:rFonts w:hint="eastAsia" w:asciiTheme="minorEastAsia" w:hAnsiTheme="minorEastAsia" w:eastAsiaTheme="minorEastAsia" w:cstheme="minorEastAsia"/>
              <w:highlight w:val="none"/>
            </w:rPr>
            <w:fldChar w:fldCharType="separate"/>
          </w:r>
          <w:r>
            <w:rPr>
              <w:rFonts w:hint="eastAsia" w:asciiTheme="minorEastAsia" w:hAnsiTheme="minorEastAsia" w:eastAsiaTheme="minorEastAsia" w:cstheme="minorEastAsia"/>
              <w:highlight w:val="none"/>
            </w:rPr>
            <w:t>3</w:t>
          </w:r>
          <w:r>
            <w:rPr>
              <w:rFonts w:hint="eastAsia" w:asciiTheme="minorEastAsia" w:hAnsiTheme="minorEastAsia" w:eastAsiaTheme="minorEastAsia" w:cstheme="minorEastAsia"/>
              <w:highlight w:val="none"/>
            </w:rPr>
            <w:fldChar w:fldCharType="end"/>
          </w:r>
          <w:r>
            <w:rPr>
              <w:rFonts w:hint="eastAsia" w:asciiTheme="minorEastAsia" w:hAnsiTheme="minorEastAsia" w:eastAsiaTheme="minorEastAsia" w:cstheme="minorEastAsia"/>
              <w:highlight w:val="none"/>
            </w:rPr>
            <w:fldChar w:fldCharType="end"/>
          </w:r>
        </w:p>
        <w:p w14:paraId="1AD3E78D">
          <w:pPr>
            <w:pStyle w:val="9"/>
            <w:tabs>
              <w:tab w:val="right" w:leader="dot" w:pos="9468"/>
            </w:tabs>
            <w:spacing w:line="360" w:lineRule="auto"/>
            <w:ind w:left="960"/>
            <w:rPr>
              <w:rFonts w:hint="eastAsia" w:asciiTheme="minorEastAsia" w:hAnsiTheme="minorEastAsia" w:eastAsiaTheme="minorEastAsia" w:cstheme="minorEastAsia"/>
              <w:highlight w:val="none"/>
            </w:rPr>
          </w:pPr>
          <w:r>
            <w:rPr>
              <w:highlight w:val="none"/>
            </w:rPr>
            <w:fldChar w:fldCharType="begin"/>
          </w:r>
          <w:r>
            <w:rPr>
              <w:highlight w:val="none"/>
            </w:rPr>
            <w:instrText xml:space="preserve"> HYPERLINK \l "_Toc18167" </w:instrText>
          </w:r>
          <w:r>
            <w:rPr>
              <w:highlight w:val="none"/>
            </w:rPr>
            <w:fldChar w:fldCharType="separate"/>
          </w:r>
          <w:r>
            <w:rPr>
              <w:rFonts w:hint="eastAsia" w:asciiTheme="minorEastAsia" w:hAnsiTheme="minorEastAsia" w:eastAsiaTheme="minorEastAsia" w:cstheme="minorEastAsia"/>
              <w:szCs w:val="21"/>
              <w:highlight w:val="none"/>
            </w:rPr>
            <w:t xml:space="preserve">1.2 </w:t>
          </w:r>
          <w:r>
            <w:rPr>
              <w:rFonts w:hint="eastAsia" w:asciiTheme="minorEastAsia" w:hAnsiTheme="minorEastAsia" w:eastAsiaTheme="minorEastAsia" w:cstheme="minorEastAsia"/>
              <w:highlight w:val="none"/>
            </w:rPr>
            <w:t>起草单位</w:t>
          </w:r>
          <w:r>
            <w:rPr>
              <w:rFonts w:hint="eastAsia" w:asciiTheme="minorEastAsia" w:hAnsiTheme="minorEastAsia" w:eastAsiaTheme="minorEastAsia" w:cstheme="minorEastAsia"/>
              <w:highlight w:val="none"/>
            </w:rPr>
            <w:tab/>
          </w:r>
          <w:r>
            <w:rPr>
              <w:rFonts w:hint="eastAsia" w:asciiTheme="minorEastAsia" w:hAnsiTheme="minorEastAsia" w:eastAsiaTheme="minorEastAsia" w:cstheme="minorEastAsia"/>
              <w:highlight w:val="none"/>
            </w:rPr>
            <w:fldChar w:fldCharType="begin"/>
          </w:r>
          <w:r>
            <w:rPr>
              <w:rFonts w:hint="eastAsia" w:asciiTheme="minorEastAsia" w:hAnsiTheme="minorEastAsia" w:eastAsiaTheme="minorEastAsia" w:cstheme="minorEastAsia"/>
              <w:highlight w:val="none"/>
            </w:rPr>
            <w:instrText xml:space="preserve"> PAGEREF _Toc18167 \h </w:instrText>
          </w:r>
          <w:r>
            <w:rPr>
              <w:rFonts w:hint="eastAsia" w:asciiTheme="minorEastAsia" w:hAnsiTheme="minorEastAsia" w:eastAsiaTheme="minorEastAsia" w:cstheme="minorEastAsia"/>
              <w:highlight w:val="none"/>
            </w:rPr>
            <w:fldChar w:fldCharType="separate"/>
          </w:r>
          <w:r>
            <w:rPr>
              <w:rFonts w:hint="eastAsia" w:asciiTheme="minorEastAsia" w:hAnsiTheme="minorEastAsia" w:eastAsiaTheme="minorEastAsia" w:cstheme="minorEastAsia"/>
              <w:highlight w:val="none"/>
            </w:rPr>
            <w:t>3</w:t>
          </w:r>
          <w:r>
            <w:rPr>
              <w:rFonts w:hint="eastAsia" w:asciiTheme="minorEastAsia" w:hAnsiTheme="minorEastAsia" w:eastAsiaTheme="minorEastAsia" w:cstheme="minorEastAsia"/>
              <w:highlight w:val="none"/>
            </w:rPr>
            <w:fldChar w:fldCharType="end"/>
          </w:r>
          <w:r>
            <w:rPr>
              <w:rFonts w:hint="eastAsia" w:asciiTheme="minorEastAsia" w:hAnsiTheme="minorEastAsia" w:eastAsiaTheme="minorEastAsia" w:cstheme="minorEastAsia"/>
              <w:highlight w:val="none"/>
            </w:rPr>
            <w:fldChar w:fldCharType="end"/>
          </w:r>
        </w:p>
        <w:p w14:paraId="61855422">
          <w:pPr>
            <w:pStyle w:val="9"/>
            <w:tabs>
              <w:tab w:val="right" w:leader="dot" w:pos="9468"/>
            </w:tabs>
            <w:spacing w:line="360" w:lineRule="auto"/>
            <w:ind w:left="960"/>
            <w:rPr>
              <w:rFonts w:hint="eastAsia"/>
              <w:highlight w:val="none"/>
            </w:rPr>
          </w:pPr>
          <w:r>
            <w:rPr>
              <w:highlight w:val="none"/>
            </w:rPr>
            <w:fldChar w:fldCharType="begin"/>
          </w:r>
          <w:r>
            <w:rPr>
              <w:highlight w:val="none"/>
            </w:rPr>
            <w:instrText xml:space="preserve"> HYPERLINK \l "_Toc2192" </w:instrText>
          </w:r>
          <w:r>
            <w:rPr>
              <w:highlight w:val="none"/>
            </w:rPr>
            <w:fldChar w:fldCharType="separate"/>
          </w:r>
          <w:r>
            <w:rPr>
              <w:rFonts w:hint="eastAsia" w:asciiTheme="minorEastAsia" w:hAnsiTheme="minorEastAsia" w:eastAsiaTheme="minorEastAsia" w:cstheme="minorEastAsia"/>
              <w:szCs w:val="21"/>
              <w:highlight w:val="none"/>
            </w:rPr>
            <w:t xml:space="preserve">1.3 </w:t>
          </w:r>
          <w:r>
            <w:rPr>
              <w:rFonts w:hint="eastAsia" w:asciiTheme="minorEastAsia" w:hAnsiTheme="minorEastAsia" w:eastAsiaTheme="minorEastAsia" w:cstheme="minorEastAsia"/>
              <w:highlight w:val="none"/>
            </w:rPr>
            <w:t>标准编制背景及必要性</w:t>
          </w:r>
          <w:r>
            <w:rPr>
              <w:rFonts w:hint="eastAsia" w:asciiTheme="minorEastAsia" w:hAnsiTheme="minorEastAsia" w:eastAsiaTheme="minorEastAsia" w:cstheme="minorEastAsia"/>
              <w:highlight w:val="none"/>
            </w:rPr>
            <w:tab/>
          </w:r>
          <w:r>
            <w:rPr>
              <w:rFonts w:hint="eastAsia" w:asciiTheme="minorEastAsia" w:hAnsiTheme="minorEastAsia" w:eastAsiaTheme="minorEastAsia" w:cstheme="minorEastAsia"/>
              <w:highlight w:val="none"/>
            </w:rPr>
            <w:fldChar w:fldCharType="begin"/>
          </w:r>
          <w:r>
            <w:rPr>
              <w:rFonts w:hint="eastAsia" w:asciiTheme="minorEastAsia" w:hAnsiTheme="minorEastAsia" w:eastAsiaTheme="minorEastAsia" w:cstheme="minorEastAsia"/>
              <w:highlight w:val="none"/>
            </w:rPr>
            <w:instrText xml:space="preserve"> PAGEREF _Toc2192 \h </w:instrText>
          </w:r>
          <w:r>
            <w:rPr>
              <w:rFonts w:hint="eastAsia" w:asciiTheme="minorEastAsia" w:hAnsiTheme="minorEastAsia" w:eastAsiaTheme="minorEastAsia" w:cstheme="minorEastAsia"/>
              <w:highlight w:val="none"/>
            </w:rPr>
            <w:fldChar w:fldCharType="separate"/>
          </w:r>
          <w:r>
            <w:rPr>
              <w:rFonts w:hint="eastAsia" w:asciiTheme="minorEastAsia" w:hAnsiTheme="minorEastAsia" w:eastAsiaTheme="minorEastAsia" w:cstheme="minorEastAsia"/>
              <w:highlight w:val="none"/>
            </w:rPr>
            <w:t>3</w:t>
          </w:r>
          <w:r>
            <w:rPr>
              <w:rFonts w:hint="eastAsia" w:asciiTheme="minorEastAsia" w:hAnsiTheme="minorEastAsia" w:eastAsiaTheme="minorEastAsia" w:cstheme="minorEastAsia"/>
              <w:highlight w:val="none"/>
            </w:rPr>
            <w:fldChar w:fldCharType="end"/>
          </w:r>
          <w:r>
            <w:rPr>
              <w:rFonts w:hint="eastAsia" w:asciiTheme="minorEastAsia" w:hAnsiTheme="minorEastAsia" w:eastAsiaTheme="minorEastAsia" w:cstheme="minorEastAsia"/>
              <w:highlight w:val="none"/>
            </w:rPr>
            <w:fldChar w:fldCharType="end"/>
          </w:r>
        </w:p>
        <w:p w14:paraId="43E66789">
          <w:pPr>
            <w:pStyle w:val="15"/>
            <w:tabs>
              <w:tab w:val="right" w:leader="dot" w:pos="9468"/>
            </w:tabs>
            <w:spacing w:line="360" w:lineRule="auto"/>
            <w:ind w:left="480"/>
            <w:rPr>
              <w:rFonts w:hint="eastAsia"/>
              <w:highlight w:val="none"/>
            </w:rPr>
          </w:pPr>
          <w:r>
            <w:rPr>
              <w:highlight w:val="none"/>
            </w:rPr>
            <w:fldChar w:fldCharType="begin"/>
          </w:r>
          <w:r>
            <w:rPr>
              <w:highlight w:val="none"/>
            </w:rPr>
            <w:instrText xml:space="preserve"> HYPERLINK \l "_Toc27602" </w:instrText>
          </w:r>
          <w:r>
            <w:rPr>
              <w:highlight w:val="none"/>
            </w:rPr>
            <w:fldChar w:fldCharType="separate"/>
          </w:r>
          <w:r>
            <w:rPr>
              <w:rFonts w:ascii="Times New Roman"/>
              <w:szCs w:val="28"/>
              <w:highlight w:val="none"/>
            </w:rPr>
            <w:t>2 标准编制的原则和主要内容</w:t>
          </w:r>
          <w:r>
            <w:rPr>
              <w:highlight w:val="none"/>
            </w:rPr>
            <w:tab/>
          </w:r>
          <w:r>
            <w:rPr>
              <w:highlight w:val="none"/>
            </w:rPr>
            <w:fldChar w:fldCharType="begin"/>
          </w:r>
          <w:r>
            <w:rPr>
              <w:highlight w:val="none"/>
            </w:rPr>
            <w:instrText xml:space="preserve"> PAGEREF _Toc27602 \h </w:instrText>
          </w:r>
          <w:r>
            <w:rPr>
              <w:highlight w:val="none"/>
            </w:rPr>
            <w:fldChar w:fldCharType="separate"/>
          </w:r>
          <w:r>
            <w:rPr>
              <w:highlight w:val="none"/>
            </w:rPr>
            <w:t>4</w:t>
          </w:r>
          <w:r>
            <w:rPr>
              <w:highlight w:val="none"/>
            </w:rPr>
            <w:fldChar w:fldCharType="end"/>
          </w:r>
          <w:r>
            <w:rPr>
              <w:highlight w:val="none"/>
            </w:rPr>
            <w:fldChar w:fldCharType="end"/>
          </w:r>
        </w:p>
        <w:p w14:paraId="740312B1">
          <w:pPr>
            <w:pStyle w:val="9"/>
            <w:tabs>
              <w:tab w:val="right" w:leader="dot" w:pos="9468"/>
            </w:tabs>
            <w:spacing w:line="360" w:lineRule="auto"/>
            <w:ind w:left="960"/>
            <w:rPr>
              <w:rFonts w:hint="eastAsia"/>
              <w:highlight w:val="none"/>
            </w:rPr>
          </w:pPr>
          <w:r>
            <w:rPr>
              <w:highlight w:val="none"/>
            </w:rPr>
            <w:fldChar w:fldCharType="begin"/>
          </w:r>
          <w:r>
            <w:rPr>
              <w:highlight w:val="none"/>
            </w:rPr>
            <w:instrText xml:space="preserve"> HYPERLINK \l "_Toc14490" </w:instrText>
          </w:r>
          <w:r>
            <w:rPr>
              <w:highlight w:val="none"/>
            </w:rPr>
            <w:fldChar w:fldCharType="separate"/>
          </w:r>
          <w:r>
            <w:rPr>
              <w:rFonts w:hint="eastAsia" w:asciiTheme="minorEastAsia" w:hAnsiTheme="minorEastAsia" w:eastAsiaTheme="minorEastAsia" w:cstheme="minorEastAsia"/>
              <w:szCs w:val="21"/>
              <w:highlight w:val="none"/>
            </w:rPr>
            <w:t>2.1 标准制定的原则</w:t>
          </w:r>
          <w:r>
            <w:rPr>
              <w:highlight w:val="none"/>
            </w:rPr>
            <w:tab/>
          </w:r>
          <w:r>
            <w:rPr>
              <w:highlight w:val="none"/>
            </w:rPr>
            <w:fldChar w:fldCharType="begin"/>
          </w:r>
          <w:r>
            <w:rPr>
              <w:highlight w:val="none"/>
            </w:rPr>
            <w:instrText xml:space="preserve"> PAGEREF _Toc14490 \h </w:instrText>
          </w:r>
          <w:r>
            <w:rPr>
              <w:highlight w:val="none"/>
            </w:rPr>
            <w:fldChar w:fldCharType="separate"/>
          </w:r>
          <w:r>
            <w:rPr>
              <w:highlight w:val="none"/>
            </w:rPr>
            <w:t>4</w:t>
          </w:r>
          <w:r>
            <w:rPr>
              <w:highlight w:val="none"/>
            </w:rPr>
            <w:fldChar w:fldCharType="end"/>
          </w:r>
          <w:r>
            <w:rPr>
              <w:highlight w:val="none"/>
            </w:rPr>
            <w:fldChar w:fldCharType="end"/>
          </w:r>
        </w:p>
        <w:p w14:paraId="7E77BAE4">
          <w:pPr>
            <w:pStyle w:val="9"/>
            <w:tabs>
              <w:tab w:val="right" w:leader="dot" w:pos="9468"/>
            </w:tabs>
            <w:spacing w:line="360" w:lineRule="auto"/>
            <w:ind w:left="960"/>
            <w:rPr>
              <w:rFonts w:hint="eastAsia"/>
              <w:highlight w:val="none"/>
            </w:rPr>
          </w:pPr>
          <w:r>
            <w:rPr>
              <w:highlight w:val="none"/>
            </w:rPr>
            <w:fldChar w:fldCharType="begin"/>
          </w:r>
          <w:r>
            <w:rPr>
              <w:highlight w:val="none"/>
            </w:rPr>
            <w:instrText xml:space="preserve"> HYPERLINK \l "_Toc25229" </w:instrText>
          </w:r>
          <w:r>
            <w:rPr>
              <w:highlight w:val="none"/>
            </w:rPr>
            <w:fldChar w:fldCharType="separate"/>
          </w:r>
          <w:r>
            <w:rPr>
              <w:rFonts w:hint="eastAsia" w:asciiTheme="minorEastAsia" w:hAnsiTheme="minorEastAsia" w:eastAsiaTheme="minorEastAsia" w:cstheme="minorEastAsia"/>
              <w:highlight w:val="none"/>
            </w:rPr>
            <w:t>2.2 标准的主要内容</w:t>
          </w:r>
          <w:r>
            <w:rPr>
              <w:highlight w:val="none"/>
            </w:rPr>
            <w:tab/>
          </w:r>
          <w:r>
            <w:rPr>
              <w:highlight w:val="none"/>
            </w:rPr>
            <w:fldChar w:fldCharType="begin"/>
          </w:r>
          <w:r>
            <w:rPr>
              <w:highlight w:val="none"/>
            </w:rPr>
            <w:instrText xml:space="preserve"> PAGEREF _Toc25229 \h </w:instrText>
          </w:r>
          <w:r>
            <w:rPr>
              <w:highlight w:val="none"/>
            </w:rPr>
            <w:fldChar w:fldCharType="separate"/>
          </w:r>
          <w:r>
            <w:rPr>
              <w:highlight w:val="none"/>
            </w:rPr>
            <w:t>5</w:t>
          </w:r>
          <w:r>
            <w:rPr>
              <w:highlight w:val="none"/>
            </w:rPr>
            <w:fldChar w:fldCharType="end"/>
          </w:r>
          <w:r>
            <w:rPr>
              <w:highlight w:val="none"/>
            </w:rPr>
            <w:fldChar w:fldCharType="end"/>
          </w:r>
        </w:p>
        <w:p w14:paraId="0CAA7BFD">
          <w:pPr>
            <w:pStyle w:val="15"/>
            <w:tabs>
              <w:tab w:val="right" w:leader="dot" w:pos="9468"/>
            </w:tabs>
            <w:spacing w:line="360" w:lineRule="auto"/>
            <w:ind w:left="480"/>
            <w:rPr>
              <w:rFonts w:hint="eastAsia"/>
              <w:highlight w:val="none"/>
            </w:rPr>
          </w:pPr>
          <w:r>
            <w:rPr>
              <w:highlight w:val="none"/>
            </w:rPr>
            <w:fldChar w:fldCharType="begin"/>
          </w:r>
          <w:r>
            <w:rPr>
              <w:highlight w:val="none"/>
            </w:rPr>
            <w:instrText xml:space="preserve"> HYPERLINK \l "_Toc6146" </w:instrText>
          </w:r>
          <w:r>
            <w:rPr>
              <w:highlight w:val="none"/>
            </w:rPr>
            <w:fldChar w:fldCharType="separate"/>
          </w:r>
          <w:r>
            <w:rPr>
              <w:rFonts w:hint="eastAsia" w:ascii="Times New Roman"/>
              <w:szCs w:val="28"/>
              <w:highlight w:val="none"/>
            </w:rPr>
            <w:t>3 主要试验（或验证）情况分析</w:t>
          </w:r>
          <w:r>
            <w:rPr>
              <w:highlight w:val="none"/>
            </w:rPr>
            <w:tab/>
          </w:r>
          <w:r>
            <w:rPr>
              <w:highlight w:val="none"/>
            </w:rPr>
            <w:fldChar w:fldCharType="begin"/>
          </w:r>
          <w:r>
            <w:rPr>
              <w:highlight w:val="none"/>
            </w:rPr>
            <w:instrText xml:space="preserve"> PAGEREF _Toc6146 \h </w:instrText>
          </w:r>
          <w:r>
            <w:rPr>
              <w:highlight w:val="none"/>
            </w:rPr>
            <w:fldChar w:fldCharType="separate"/>
          </w:r>
          <w:r>
            <w:rPr>
              <w:highlight w:val="none"/>
            </w:rPr>
            <w:t>6</w:t>
          </w:r>
          <w:r>
            <w:rPr>
              <w:highlight w:val="none"/>
            </w:rPr>
            <w:fldChar w:fldCharType="end"/>
          </w:r>
          <w:r>
            <w:rPr>
              <w:highlight w:val="none"/>
            </w:rPr>
            <w:fldChar w:fldCharType="end"/>
          </w:r>
        </w:p>
        <w:p w14:paraId="6C9C31CF">
          <w:pPr>
            <w:pStyle w:val="15"/>
            <w:tabs>
              <w:tab w:val="right" w:leader="dot" w:pos="9468"/>
            </w:tabs>
            <w:spacing w:line="360" w:lineRule="auto"/>
            <w:ind w:left="480"/>
            <w:rPr>
              <w:rFonts w:hint="eastAsia"/>
              <w:highlight w:val="none"/>
            </w:rPr>
          </w:pPr>
          <w:r>
            <w:rPr>
              <w:highlight w:val="none"/>
            </w:rPr>
            <w:fldChar w:fldCharType="begin"/>
          </w:r>
          <w:r>
            <w:rPr>
              <w:highlight w:val="none"/>
            </w:rPr>
            <w:instrText xml:space="preserve"> HYPERLINK \l "_Toc28968" </w:instrText>
          </w:r>
          <w:r>
            <w:rPr>
              <w:highlight w:val="none"/>
            </w:rPr>
            <w:fldChar w:fldCharType="separate"/>
          </w:r>
          <w:r>
            <w:rPr>
              <w:rFonts w:hint="eastAsia" w:ascii="Times New Roman"/>
              <w:szCs w:val="28"/>
              <w:highlight w:val="none"/>
            </w:rPr>
            <w:t>4</w:t>
          </w:r>
          <w:r>
            <w:rPr>
              <w:rFonts w:ascii="Times New Roman"/>
              <w:szCs w:val="28"/>
              <w:highlight w:val="none"/>
            </w:rPr>
            <w:t xml:space="preserve"> 标准中涉及专利</w:t>
          </w:r>
          <w:r>
            <w:rPr>
              <w:rFonts w:hint="eastAsia" w:ascii="Times New Roman"/>
              <w:szCs w:val="28"/>
              <w:highlight w:val="none"/>
            </w:rPr>
            <w:t>、知识产权</w:t>
          </w:r>
          <w:r>
            <w:rPr>
              <w:rFonts w:ascii="Times New Roman"/>
              <w:szCs w:val="28"/>
              <w:highlight w:val="none"/>
            </w:rPr>
            <w:t>情况说明</w:t>
          </w:r>
          <w:r>
            <w:rPr>
              <w:highlight w:val="none"/>
            </w:rPr>
            <w:tab/>
          </w:r>
          <w:r>
            <w:rPr>
              <w:highlight w:val="none"/>
            </w:rPr>
            <w:fldChar w:fldCharType="begin"/>
          </w:r>
          <w:r>
            <w:rPr>
              <w:highlight w:val="none"/>
            </w:rPr>
            <w:instrText xml:space="preserve"> PAGEREF _Toc28968 \h </w:instrText>
          </w:r>
          <w:r>
            <w:rPr>
              <w:highlight w:val="none"/>
            </w:rPr>
            <w:fldChar w:fldCharType="separate"/>
          </w:r>
          <w:r>
            <w:rPr>
              <w:highlight w:val="none"/>
            </w:rPr>
            <w:t>6</w:t>
          </w:r>
          <w:r>
            <w:rPr>
              <w:highlight w:val="none"/>
            </w:rPr>
            <w:fldChar w:fldCharType="end"/>
          </w:r>
          <w:r>
            <w:rPr>
              <w:highlight w:val="none"/>
            </w:rPr>
            <w:fldChar w:fldCharType="end"/>
          </w:r>
        </w:p>
        <w:p w14:paraId="495A680C">
          <w:pPr>
            <w:pStyle w:val="15"/>
            <w:tabs>
              <w:tab w:val="right" w:leader="dot" w:pos="9468"/>
            </w:tabs>
            <w:spacing w:line="360" w:lineRule="auto"/>
            <w:ind w:left="480"/>
            <w:rPr>
              <w:rFonts w:hint="eastAsia"/>
              <w:highlight w:val="none"/>
            </w:rPr>
          </w:pPr>
          <w:r>
            <w:rPr>
              <w:highlight w:val="none"/>
            </w:rPr>
            <w:fldChar w:fldCharType="begin"/>
          </w:r>
          <w:r>
            <w:rPr>
              <w:highlight w:val="none"/>
            </w:rPr>
            <w:instrText xml:space="preserve"> HYPERLINK \l "_Toc32470" </w:instrText>
          </w:r>
          <w:r>
            <w:rPr>
              <w:highlight w:val="none"/>
            </w:rPr>
            <w:fldChar w:fldCharType="separate"/>
          </w:r>
          <w:r>
            <w:rPr>
              <w:rFonts w:hint="eastAsia" w:ascii="Times New Roman"/>
              <w:szCs w:val="28"/>
              <w:highlight w:val="none"/>
            </w:rPr>
            <w:t>5</w:t>
          </w:r>
          <w:r>
            <w:rPr>
              <w:rFonts w:ascii="Times New Roman"/>
              <w:szCs w:val="28"/>
              <w:highlight w:val="none"/>
            </w:rPr>
            <w:t xml:space="preserve"> </w:t>
          </w:r>
          <w:r>
            <w:rPr>
              <w:rFonts w:hint="eastAsia" w:ascii="Times New Roman"/>
              <w:szCs w:val="28"/>
              <w:highlight w:val="none"/>
            </w:rPr>
            <w:t>产业化情况、推广应用论证和预期达到的经济效果等情况</w:t>
          </w:r>
          <w:r>
            <w:rPr>
              <w:highlight w:val="none"/>
            </w:rPr>
            <w:tab/>
          </w:r>
          <w:r>
            <w:rPr>
              <w:highlight w:val="none"/>
            </w:rPr>
            <w:fldChar w:fldCharType="begin"/>
          </w:r>
          <w:r>
            <w:rPr>
              <w:highlight w:val="none"/>
            </w:rPr>
            <w:instrText xml:space="preserve"> PAGEREF _Toc32470 \h </w:instrText>
          </w:r>
          <w:r>
            <w:rPr>
              <w:highlight w:val="none"/>
            </w:rPr>
            <w:fldChar w:fldCharType="separate"/>
          </w:r>
          <w:r>
            <w:rPr>
              <w:highlight w:val="none"/>
            </w:rPr>
            <w:t>6</w:t>
          </w:r>
          <w:r>
            <w:rPr>
              <w:highlight w:val="none"/>
            </w:rPr>
            <w:fldChar w:fldCharType="end"/>
          </w:r>
          <w:r>
            <w:rPr>
              <w:highlight w:val="none"/>
            </w:rPr>
            <w:fldChar w:fldCharType="end"/>
          </w:r>
        </w:p>
        <w:p w14:paraId="5BC72998">
          <w:pPr>
            <w:pStyle w:val="15"/>
            <w:tabs>
              <w:tab w:val="right" w:leader="dot" w:pos="9468"/>
            </w:tabs>
            <w:spacing w:line="360" w:lineRule="auto"/>
            <w:ind w:left="480"/>
            <w:rPr>
              <w:rFonts w:hint="eastAsia"/>
              <w:highlight w:val="none"/>
            </w:rPr>
          </w:pPr>
          <w:r>
            <w:rPr>
              <w:highlight w:val="none"/>
            </w:rPr>
            <w:fldChar w:fldCharType="begin"/>
          </w:r>
          <w:r>
            <w:rPr>
              <w:highlight w:val="none"/>
            </w:rPr>
            <w:instrText xml:space="preserve"> HYPERLINK \l "_Toc14685" </w:instrText>
          </w:r>
          <w:r>
            <w:rPr>
              <w:highlight w:val="none"/>
            </w:rPr>
            <w:fldChar w:fldCharType="separate"/>
          </w:r>
          <w:r>
            <w:rPr>
              <w:rFonts w:hint="eastAsia" w:ascii="Times New Roman"/>
              <w:szCs w:val="28"/>
              <w:highlight w:val="none"/>
            </w:rPr>
            <w:t>6</w:t>
          </w:r>
          <w:r>
            <w:rPr>
              <w:rFonts w:ascii="Times New Roman"/>
              <w:szCs w:val="28"/>
              <w:highlight w:val="none"/>
            </w:rPr>
            <w:t xml:space="preserve"> 采用国际标准</w:t>
          </w:r>
          <w:r>
            <w:rPr>
              <w:highlight w:val="none"/>
            </w:rPr>
            <w:tab/>
          </w:r>
          <w:r>
            <w:rPr>
              <w:highlight w:val="none"/>
            </w:rPr>
            <w:fldChar w:fldCharType="begin"/>
          </w:r>
          <w:r>
            <w:rPr>
              <w:highlight w:val="none"/>
            </w:rPr>
            <w:instrText xml:space="preserve"> PAGEREF _Toc14685 \h </w:instrText>
          </w:r>
          <w:r>
            <w:rPr>
              <w:highlight w:val="none"/>
            </w:rPr>
            <w:fldChar w:fldCharType="separate"/>
          </w:r>
          <w:r>
            <w:rPr>
              <w:highlight w:val="none"/>
            </w:rPr>
            <w:t>7</w:t>
          </w:r>
          <w:r>
            <w:rPr>
              <w:highlight w:val="none"/>
            </w:rPr>
            <w:fldChar w:fldCharType="end"/>
          </w:r>
          <w:r>
            <w:rPr>
              <w:highlight w:val="none"/>
            </w:rPr>
            <w:fldChar w:fldCharType="end"/>
          </w:r>
        </w:p>
        <w:p w14:paraId="5E0C7A40">
          <w:pPr>
            <w:pStyle w:val="15"/>
            <w:tabs>
              <w:tab w:val="right" w:leader="dot" w:pos="9468"/>
            </w:tabs>
            <w:spacing w:line="360" w:lineRule="auto"/>
            <w:ind w:left="480"/>
            <w:rPr>
              <w:rFonts w:hint="eastAsia"/>
              <w:highlight w:val="none"/>
            </w:rPr>
          </w:pPr>
          <w:r>
            <w:rPr>
              <w:highlight w:val="none"/>
            </w:rPr>
            <w:fldChar w:fldCharType="begin"/>
          </w:r>
          <w:r>
            <w:rPr>
              <w:highlight w:val="none"/>
            </w:rPr>
            <w:instrText xml:space="preserve"> HYPERLINK \l "_Toc4672" </w:instrText>
          </w:r>
          <w:r>
            <w:rPr>
              <w:highlight w:val="none"/>
            </w:rPr>
            <w:fldChar w:fldCharType="separate"/>
          </w:r>
          <w:r>
            <w:rPr>
              <w:rFonts w:hint="eastAsia" w:ascii="Times New Roman"/>
              <w:szCs w:val="28"/>
              <w:highlight w:val="none"/>
            </w:rPr>
            <w:t>7</w:t>
          </w:r>
          <w:r>
            <w:rPr>
              <w:rFonts w:ascii="Times New Roman"/>
              <w:szCs w:val="28"/>
              <w:highlight w:val="none"/>
            </w:rPr>
            <w:t xml:space="preserve"> 与现行相关法律、法规、规章及相关标准</w:t>
          </w:r>
          <w:r>
            <w:rPr>
              <w:rFonts w:hint="eastAsia" w:ascii="Times New Roman"/>
              <w:szCs w:val="28"/>
              <w:highlight w:val="none"/>
            </w:rPr>
            <w:t>，特别是强制性标准</w:t>
          </w:r>
          <w:r>
            <w:rPr>
              <w:rFonts w:ascii="Times New Roman"/>
              <w:szCs w:val="28"/>
              <w:highlight w:val="none"/>
            </w:rPr>
            <w:t>的协调</w:t>
          </w:r>
          <w:r>
            <w:rPr>
              <w:rFonts w:hint="eastAsia" w:ascii="Times New Roman"/>
              <w:szCs w:val="28"/>
              <w:highlight w:val="none"/>
            </w:rPr>
            <w:t>性</w:t>
          </w:r>
          <w:r>
            <w:rPr>
              <w:highlight w:val="none"/>
            </w:rPr>
            <w:tab/>
          </w:r>
          <w:r>
            <w:rPr>
              <w:highlight w:val="none"/>
            </w:rPr>
            <w:fldChar w:fldCharType="begin"/>
          </w:r>
          <w:r>
            <w:rPr>
              <w:highlight w:val="none"/>
            </w:rPr>
            <w:instrText xml:space="preserve"> PAGEREF _Toc4672 \h </w:instrText>
          </w:r>
          <w:r>
            <w:rPr>
              <w:highlight w:val="none"/>
            </w:rPr>
            <w:fldChar w:fldCharType="separate"/>
          </w:r>
          <w:r>
            <w:rPr>
              <w:highlight w:val="none"/>
            </w:rPr>
            <w:t>7</w:t>
          </w:r>
          <w:r>
            <w:rPr>
              <w:highlight w:val="none"/>
            </w:rPr>
            <w:fldChar w:fldCharType="end"/>
          </w:r>
          <w:r>
            <w:rPr>
              <w:highlight w:val="none"/>
            </w:rPr>
            <w:fldChar w:fldCharType="end"/>
          </w:r>
        </w:p>
        <w:p w14:paraId="4F7052E4">
          <w:pPr>
            <w:pStyle w:val="15"/>
            <w:tabs>
              <w:tab w:val="right" w:leader="dot" w:pos="9468"/>
            </w:tabs>
            <w:spacing w:line="360" w:lineRule="auto"/>
            <w:ind w:left="480"/>
            <w:rPr>
              <w:rFonts w:hint="eastAsia"/>
              <w:highlight w:val="none"/>
            </w:rPr>
          </w:pPr>
          <w:r>
            <w:rPr>
              <w:highlight w:val="none"/>
            </w:rPr>
            <w:fldChar w:fldCharType="begin"/>
          </w:r>
          <w:r>
            <w:rPr>
              <w:highlight w:val="none"/>
            </w:rPr>
            <w:instrText xml:space="preserve"> HYPERLINK \l "_Toc5282" </w:instrText>
          </w:r>
          <w:r>
            <w:rPr>
              <w:highlight w:val="none"/>
            </w:rPr>
            <w:fldChar w:fldCharType="separate"/>
          </w:r>
          <w:r>
            <w:rPr>
              <w:rFonts w:hint="eastAsia" w:ascii="Times New Roman"/>
              <w:szCs w:val="28"/>
              <w:highlight w:val="none"/>
            </w:rPr>
            <w:t>8</w:t>
          </w:r>
          <w:r>
            <w:rPr>
              <w:rFonts w:ascii="Times New Roman"/>
              <w:szCs w:val="28"/>
              <w:highlight w:val="none"/>
            </w:rPr>
            <w:t xml:space="preserve"> 重大意见分歧的处理依据和结果</w:t>
          </w:r>
          <w:r>
            <w:rPr>
              <w:highlight w:val="none"/>
            </w:rPr>
            <w:tab/>
          </w:r>
          <w:r>
            <w:rPr>
              <w:highlight w:val="none"/>
            </w:rPr>
            <w:fldChar w:fldCharType="begin"/>
          </w:r>
          <w:r>
            <w:rPr>
              <w:highlight w:val="none"/>
            </w:rPr>
            <w:instrText xml:space="preserve"> PAGEREF _Toc5282 \h </w:instrText>
          </w:r>
          <w:r>
            <w:rPr>
              <w:highlight w:val="none"/>
            </w:rPr>
            <w:fldChar w:fldCharType="separate"/>
          </w:r>
          <w:r>
            <w:rPr>
              <w:highlight w:val="none"/>
            </w:rPr>
            <w:t>7</w:t>
          </w:r>
          <w:r>
            <w:rPr>
              <w:highlight w:val="none"/>
            </w:rPr>
            <w:fldChar w:fldCharType="end"/>
          </w:r>
          <w:r>
            <w:rPr>
              <w:highlight w:val="none"/>
            </w:rPr>
            <w:fldChar w:fldCharType="end"/>
          </w:r>
        </w:p>
        <w:p w14:paraId="14363B93">
          <w:pPr>
            <w:pStyle w:val="15"/>
            <w:tabs>
              <w:tab w:val="right" w:leader="dot" w:pos="9468"/>
            </w:tabs>
            <w:spacing w:line="360" w:lineRule="auto"/>
            <w:ind w:left="480"/>
            <w:rPr>
              <w:rFonts w:hint="eastAsia"/>
              <w:highlight w:val="none"/>
            </w:rPr>
          </w:pPr>
          <w:r>
            <w:rPr>
              <w:highlight w:val="none"/>
            </w:rPr>
            <w:fldChar w:fldCharType="begin"/>
          </w:r>
          <w:r>
            <w:rPr>
              <w:highlight w:val="none"/>
            </w:rPr>
            <w:instrText xml:space="preserve"> HYPERLINK \l "_Toc13065" </w:instrText>
          </w:r>
          <w:r>
            <w:rPr>
              <w:highlight w:val="none"/>
            </w:rPr>
            <w:fldChar w:fldCharType="separate"/>
          </w:r>
          <w:r>
            <w:rPr>
              <w:rFonts w:hint="eastAsia" w:ascii="Times New Roman"/>
              <w:szCs w:val="28"/>
              <w:highlight w:val="none"/>
            </w:rPr>
            <w:t>9</w:t>
          </w:r>
          <w:r>
            <w:rPr>
              <w:rFonts w:ascii="Times New Roman"/>
              <w:szCs w:val="28"/>
              <w:highlight w:val="none"/>
            </w:rPr>
            <w:t xml:space="preserve"> </w:t>
          </w:r>
          <w:r>
            <w:rPr>
              <w:rFonts w:hint="eastAsia" w:ascii="Times New Roman"/>
              <w:szCs w:val="28"/>
              <w:highlight w:val="none"/>
            </w:rPr>
            <w:t>标准性质的建议说明</w:t>
          </w:r>
          <w:r>
            <w:rPr>
              <w:highlight w:val="none"/>
            </w:rPr>
            <w:tab/>
          </w:r>
          <w:r>
            <w:rPr>
              <w:highlight w:val="none"/>
            </w:rPr>
            <w:fldChar w:fldCharType="begin"/>
          </w:r>
          <w:r>
            <w:rPr>
              <w:highlight w:val="none"/>
            </w:rPr>
            <w:instrText xml:space="preserve"> PAGEREF _Toc13065 \h </w:instrText>
          </w:r>
          <w:r>
            <w:rPr>
              <w:highlight w:val="none"/>
            </w:rPr>
            <w:fldChar w:fldCharType="separate"/>
          </w:r>
          <w:r>
            <w:rPr>
              <w:highlight w:val="none"/>
            </w:rPr>
            <w:t>7</w:t>
          </w:r>
          <w:r>
            <w:rPr>
              <w:highlight w:val="none"/>
            </w:rPr>
            <w:fldChar w:fldCharType="end"/>
          </w:r>
          <w:r>
            <w:rPr>
              <w:highlight w:val="none"/>
            </w:rPr>
            <w:fldChar w:fldCharType="end"/>
          </w:r>
        </w:p>
        <w:p w14:paraId="13EDF206">
          <w:pPr>
            <w:pStyle w:val="15"/>
            <w:tabs>
              <w:tab w:val="right" w:leader="dot" w:pos="9468"/>
            </w:tabs>
            <w:spacing w:line="360" w:lineRule="auto"/>
            <w:ind w:left="480"/>
            <w:rPr>
              <w:rFonts w:hint="eastAsia"/>
              <w:highlight w:val="none"/>
            </w:rPr>
          </w:pPr>
          <w:r>
            <w:rPr>
              <w:highlight w:val="none"/>
            </w:rPr>
            <w:fldChar w:fldCharType="begin"/>
          </w:r>
          <w:r>
            <w:rPr>
              <w:highlight w:val="none"/>
            </w:rPr>
            <w:instrText xml:space="preserve"> HYPERLINK \l "_Toc16667" </w:instrText>
          </w:r>
          <w:r>
            <w:rPr>
              <w:highlight w:val="none"/>
            </w:rPr>
            <w:fldChar w:fldCharType="separate"/>
          </w:r>
          <w:r>
            <w:rPr>
              <w:rFonts w:hint="eastAsia" w:ascii="Times New Roman"/>
              <w:szCs w:val="28"/>
              <w:highlight w:val="none"/>
            </w:rPr>
            <w:t>10</w:t>
          </w:r>
          <w:r>
            <w:rPr>
              <w:rFonts w:ascii="Times New Roman"/>
              <w:szCs w:val="28"/>
              <w:highlight w:val="none"/>
            </w:rPr>
            <w:t xml:space="preserve"> 贯彻标准的措施建议</w:t>
          </w:r>
          <w:r>
            <w:rPr>
              <w:highlight w:val="none"/>
            </w:rPr>
            <w:tab/>
          </w:r>
          <w:r>
            <w:rPr>
              <w:highlight w:val="none"/>
            </w:rPr>
            <w:fldChar w:fldCharType="begin"/>
          </w:r>
          <w:r>
            <w:rPr>
              <w:highlight w:val="none"/>
            </w:rPr>
            <w:instrText xml:space="preserve"> PAGEREF _Toc16667 \h </w:instrText>
          </w:r>
          <w:r>
            <w:rPr>
              <w:highlight w:val="none"/>
            </w:rPr>
            <w:fldChar w:fldCharType="separate"/>
          </w:r>
          <w:r>
            <w:rPr>
              <w:highlight w:val="none"/>
            </w:rPr>
            <w:t>8</w:t>
          </w:r>
          <w:r>
            <w:rPr>
              <w:highlight w:val="none"/>
            </w:rPr>
            <w:fldChar w:fldCharType="end"/>
          </w:r>
          <w:r>
            <w:rPr>
              <w:highlight w:val="none"/>
            </w:rPr>
            <w:fldChar w:fldCharType="end"/>
          </w:r>
        </w:p>
        <w:p w14:paraId="7A1F1CAE">
          <w:pPr>
            <w:pStyle w:val="15"/>
            <w:tabs>
              <w:tab w:val="right" w:leader="dot" w:pos="9468"/>
            </w:tabs>
            <w:spacing w:line="360" w:lineRule="auto"/>
            <w:ind w:left="480"/>
            <w:rPr>
              <w:rFonts w:hint="eastAsia"/>
              <w:highlight w:val="none"/>
            </w:rPr>
          </w:pPr>
          <w:r>
            <w:rPr>
              <w:highlight w:val="none"/>
            </w:rPr>
            <w:fldChar w:fldCharType="begin"/>
          </w:r>
          <w:r>
            <w:rPr>
              <w:highlight w:val="none"/>
            </w:rPr>
            <w:instrText xml:space="preserve"> HYPERLINK \l "_Toc28456" </w:instrText>
          </w:r>
          <w:r>
            <w:rPr>
              <w:highlight w:val="none"/>
            </w:rPr>
            <w:fldChar w:fldCharType="separate"/>
          </w:r>
          <w:r>
            <w:rPr>
              <w:rFonts w:ascii="Times New Roman"/>
              <w:szCs w:val="28"/>
              <w:highlight w:val="none"/>
            </w:rPr>
            <w:t>1</w:t>
          </w:r>
          <w:r>
            <w:rPr>
              <w:rFonts w:hint="eastAsia" w:ascii="Times New Roman"/>
              <w:szCs w:val="28"/>
              <w:highlight w:val="none"/>
            </w:rPr>
            <w:t>1</w:t>
          </w:r>
          <w:r>
            <w:rPr>
              <w:rFonts w:ascii="Times New Roman"/>
              <w:szCs w:val="28"/>
              <w:highlight w:val="none"/>
            </w:rPr>
            <w:t xml:space="preserve"> 废止现行有关标准的建议</w:t>
          </w:r>
          <w:r>
            <w:rPr>
              <w:highlight w:val="none"/>
            </w:rPr>
            <w:tab/>
          </w:r>
          <w:r>
            <w:rPr>
              <w:highlight w:val="none"/>
            </w:rPr>
            <w:fldChar w:fldCharType="begin"/>
          </w:r>
          <w:r>
            <w:rPr>
              <w:highlight w:val="none"/>
            </w:rPr>
            <w:instrText xml:space="preserve"> PAGEREF _Toc28456 \h </w:instrText>
          </w:r>
          <w:r>
            <w:rPr>
              <w:highlight w:val="none"/>
            </w:rPr>
            <w:fldChar w:fldCharType="separate"/>
          </w:r>
          <w:r>
            <w:rPr>
              <w:highlight w:val="none"/>
            </w:rPr>
            <w:t>8</w:t>
          </w:r>
          <w:r>
            <w:rPr>
              <w:highlight w:val="none"/>
            </w:rPr>
            <w:fldChar w:fldCharType="end"/>
          </w:r>
          <w:r>
            <w:rPr>
              <w:highlight w:val="none"/>
            </w:rPr>
            <w:fldChar w:fldCharType="end"/>
          </w:r>
        </w:p>
        <w:p w14:paraId="4CB61FCB">
          <w:pPr>
            <w:pStyle w:val="15"/>
            <w:tabs>
              <w:tab w:val="right" w:leader="dot" w:pos="9468"/>
            </w:tabs>
            <w:spacing w:line="360" w:lineRule="auto"/>
            <w:ind w:left="480"/>
            <w:rPr>
              <w:rFonts w:hint="eastAsia"/>
              <w:highlight w:val="none"/>
            </w:rPr>
          </w:pPr>
          <w:r>
            <w:rPr>
              <w:highlight w:val="none"/>
            </w:rPr>
            <w:fldChar w:fldCharType="begin"/>
          </w:r>
          <w:r>
            <w:rPr>
              <w:highlight w:val="none"/>
            </w:rPr>
            <w:instrText xml:space="preserve"> HYPERLINK \l "_Toc14863" </w:instrText>
          </w:r>
          <w:r>
            <w:rPr>
              <w:highlight w:val="none"/>
            </w:rPr>
            <w:fldChar w:fldCharType="separate"/>
          </w:r>
          <w:r>
            <w:rPr>
              <w:rFonts w:ascii="Times New Roman"/>
              <w:szCs w:val="28"/>
              <w:highlight w:val="none"/>
            </w:rPr>
            <w:t>1</w:t>
          </w:r>
          <w:r>
            <w:rPr>
              <w:rFonts w:hint="eastAsia" w:ascii="Times New Roman"/>
              <w:szCs w:val="28"/>
              <w:highlight w:val="none"/>
            </w:rPr>
            <w:t>2</w:t>
          </w:r>
          <w:r>
            <w:rPr>
              <w:rFonts w:ascii="Times New Roman"/>
              <w:szCs w:val="28"/>
              <w:highlight w:val="none"/>
            </w:rPr>
            <w:t xml:space="preserve"> 其他应说明的事项</w:t>
          </w:r>
          <w:r>
            <w:rPr>
              <w:highlight w:val="none"/>
            </w:rPr>
            <w:tab/>
          </w:r>
          <w:r>
            <w:rPr>
              <w:highlight w:val="none"/>
            </w:rPr>
            <w:fldChar w:fldCharType="begin"/>
          </w:r>
          <w:r>
            <w:rPr>
              <w:highlight w:val="none"/>
            </w:rPr>
            <w:instrText xml:space="preserve"> PAGEREF _Toc14863 \h </w:instrText>
          </w:r>
          <w:r>
            <w:rPr>
              <w:highlight w:val="none"/>
            </w:rPr>
            <w:fldChar w:fldCharType="separate"/>
          </w:r>
          <w:r>
            <w:rPr>
              <w:highlight w:val="none"/>
            </w:rPr>
            <w:t>8</w:t>
          </w:r>
          <w:r>
            <w:rPr>
              <w:highlight w:val="none"/>
            </w:rPr>
            <w:fldChar w:fldCharType="end"/>
          </w:r>
          <w:r>
            <w:rPr>
              <w:highlight w:val="none"/>
            </w:rPr>
            <w:fldChar w:fldCharType="end"/>
          </w:r>
        </w:p>
        <w:p w14:paraId="6C6DCDB8">
          <w:pPr>
            <w:pStyle w:val="14"/>
            <w:tabs>
              <w:tab w:val="right" w:leader="dot" w:pos="9458"/>
            </w:tabs>
            <w:spacing w:line="360" w:lineRule="auto"/>
            <w:jc w:val="both"/>
            <w:rPr>
              <w:rFonts w:hint="eastAsia"/>
              <w:color w:val="000000" w:themeColor="text1"/>
              <w:highlight w:val="none"/>
              <w14:textFill>
                <w14:solidFill>
                  <w14:schemeClr w14:val="tx1"/>
                </w14:solidFill>
              </w14:textFill>
            </w:rPr>
          </w:pPr>
          <w:r>
            <w:rPr>
              <w:rFonts w:asciiTheme="minorEastAsia" w:hAnsiTheme="minorEastAsia" w:eastAsiaTheme="minorEastAsia"/>
              <w:bCs/>
              <w:color w:val="000000" w:themeColor="text1"/>
              <w:highlight w:val="none"/>
              <w:lang w:val="zh-CN"/>
              <w14:textFill>
                <w14:solidFill>
                  <w14:schemeClr w14:val="tx1"/>
                </w14:solidFill>
              </w14:textFill>
            </w:rPr>
            <w:fldChar w:fldCharType="end"/>
          </w:r>
        </w:p>
      </w:sdtContent>
    </w:sdt>
    <w:p w14:paraId="4B79F232">
      <w:pPr>
        <w:pStyle w:val="25"/>
        <w:framePr w:w="0" w:hRule="auto" w:wrap="auto" w:vAnchor="margin" w:hAnchor="text" w:xAlign="left" w:yAlign="inline"/>
        <w:spacing w:line="360" w:lineRule="auto"/>
        <w:rPr>
          <w:rFonts w:ascii="Times New Roman" w:eastAsia="宋体"/>
          <w:color w:val="000000" w:themeColor="text1"/>
          <w:sz w:val="32"/>
          <w:szCs w:val="32"/>
          <w:highlight w:val="none"/>
          <w14:textFill>
            <w14:solidFill>
              <w14:schemeClr w14:val="tx1"/>
            </w14:solidFill>
          </w14:textFill>
        </w:rPr>
      </w:pPr>
    </w:p>
    <w:p w14:paraId="204D46CD">
      <w:pPr>
        <w:jc w:val="center"/>
        <w:rPr>
          <w:rFonts w:hint="eastAsia" w:ascii="方正小标宋简体" w:eastAsia="方正小标宋简体"/>
          <w:bCs/>
          <w:color w:val="000000" w:themeColor="text1"/>
          <w:sz w:val="48"/>
          <w:szCs w:val="44"/>
          <w:highlight w:val="none"/>
          <w14:textFill>
            <w14:solidFill>
              <w14:schemeClr w14:val="tx1"/>
            </w14:solidFill>
          </w14:textFill>
        </w:rPr>
      </w:pPr>
      <w:r>
        <w:rPr>
          <w:color w:val="000000" w:themeColor="text1"/>
          <w:sz w:val="48"/>
          <w:szCs w:val="48"/>
          <w:highlight w:val="none"/>
          <w14:textFill>
            <w14:solidFill>
              <w14:schemeClr w14:val="tx1"/>
            </w14:solidFill>
          </w14:textFill>
        </w:rPr>
        <w:br w:type="page"/>
      </w:r>
      <w:r>
        <w:rPr>
          <w:rFonts w:hint="eastAsia" w:ascii="方正小标宋简体" w:eastAsia="方正小标宋简体"/>
          <w:bCs/>
          <w:color w:val="000000" w:themeColor="text1"/>
          <w:sz w:val="32"/>
          <w:szCs w:val="32"/>
          <w:highlight w:val="none"/>
          <w14:textFill>
            <w14:solidFill>
              <w14:schemeClr w14:val="tx1"/>
            </w14:solidFill>
          </w14:textFill>
        </w:rPr>
        <w:t>JC/T XXXX-20XX《加压法阻燃处理结构用木质材料》</w:t>
      </w:r>
    </w:p>
    <w:p w14:paraId="4FA1E9C2">
      <w:pPr>
        <w:jc w:val="center"/>
        <w:rPr>
          <w:rFonts w:hint="eastAsia" w:ascii="方正小标宋简体" w:eastAsia="方正小标宋简体"/>
          <w:bCs/>
          <w:color w:val="000000" w:themeColor="text1"/>
          <w:sz w:val="32"/>
          <w:szCs w:val="32"/>
          <w:highlight w:val="none"/>
          <w14:textFill>
            <w14:solidFill>
              <w14:schemeClr w14:val="tx1"/>
            </w14:solidFill>
          </w14:textFill>
        </w:rPr>
      </w:pPr>
      <w:r>
        <w:rPr>
          <w:rFonts w:hint="eastAsia" w:ascii="方正小标宋简体" w:eastAsia="方正小标宋简体"/>
          <w:bCs/>
          <w:color w:val="000000" w:themeColor="text1"/>
          <w:sz w:val="32"/>
          <w:szCs w:val="32"/>
          <w:highlight w:val="none"/>
          <w14:textFill>
            <w14:solidFill>
              <w14:schemeClr w14:val="tx1"/>
            </w14:solidFill>
          </w14:textFill>
        </w:rPr>
        <w:t>行业标准编制说明</w:t>
      </w:r>
    </w:p>
    <w:p w14:paraId="119195AA">
      <w:pPr>
        <w:pStyle w:val="27"/>
        <w:spacing w:before="326" w:beforeLines="100" w:after="326" w:afterLines="100"/>
        <w:rPr>
          <w:rFonts w:ascii="Times New Roman"/>
          <w:color w:val="000000" w:themeColor="text1"/>
          <w:sz w:val="28"/>
          <w:szCs w:val="28"/>
          <w:highlight w:val="none"/>
          <w14:textFill>
            <w14:solidFill>
              <w14:schemeClr w14:val="tx1"/>
            </w14:solidFill>
          </w14:textFill>
        </w:rPr>
      </w:pPr>
      <w:bookmarkStart w:id="0" w:name="_Toc4681"/>
      <w:r>
        <w:rPr>
          <w:rFonts w:ascii="Times New Roman"/>
          <w:color w:val="000000" w:themeColor="text1"/>
          <w:sz w:val="28"/>
          <w:szCs w:val="28"/>
          <w:highlight w:val="none"/>
          <w14:textFill>
            <w14:solidFill>
              <w14:schemeClr w14:val="tx1"/>
            </w14:solidFill>
          </w14:textFill>
        </w:rPr>
        <w:t>1 标准编制工作简况</w:t>
      </w:r>
      <w:bookmarkEnd w:id="0"/>
    </w:p>
    <w:p w14:paraId="19275A99">
      <w:pPr>
        <w:pStyle w:val="29"/>
        <w:numPr>
          <w:ilvl w:val="1"/>
          <w:numId w:val="6"/>
        </w:numPr>
        <w:snapToGrid w:val="0"/>
        <w:spacing w:before="163" w:beforeLines="50" w:after="163" w:afterLines="50" w:line="500" w:lineRule="exact"/>
        <w:ind w:left="0"/>
        <w:rPr>
          <w:color w:val="000000" w:themeColor="text1"/>
          <w:sz w:val="24"/>
          <w:szCs w:val="24"/>
          <w:highlight w:val="none"/>
          <w14:textFill>
            <w14:solidFill>
              <w14:schemeClr w14:val="tx1"/>
            </w14:solidFill>
          </w14:textFill>
        </w:rPr>
      </w:pPr>
      <w:bookmarkStart w:id="1" w:name="_Toc21706"/>
      <w:r>
        <w:rPr>
          <w:color w:val="000000" w:themeColor="text1"/>
          <w:sz w:val="24"/>
          <w:szCs w:val="24"/>
          <w:highlight w:val="none"/>
          <w14:textFill>
            <w14:solidFill>
              <w14:schemeClr w14:val="tx1"/>
            </w14:solidFill>
          </w14:textFill>
        </w:rPr>
        <w:t>任务来源</w:t>
      </w:r>
      <w:bookmarkEnd w:id="1"/>
    </w:p>
    <w:p w14:paraId="15CB7022">
      <w:pPr>
        <w:spacing w:line="360" w:lineRule="auto"/>
        <w:ind w:firstLine="480" w:firstLineChars="200"/>
        <w:jc w:val="both"/>
        <w:rPr>
          <w:rFonts w:hint="eastAsia" w:eastAsiaTheme="minorEastAsia"/>
          <w:color w:val="000000" w:themeColor="text1"/>
          <w:szCs w:val="28"/>
          <w:highlight w:val="none"/>
          <w14:textFill>
            <w14:solidFill>
              <w14:schemeClr w14:val="tx1"/>
            </w14:solidFill>
          </w14:textFill>
        </w:rPr>
      </w:pPr>
      <w:r>
        <w:rPr>
          <w:rFonts w:hint="eastAsia"/>
          <w:color w:val="000000" w:themeColor="text1"/>
          <w:highlight w:val="none"/>
          <w14:textFill>
            <w14:solidFill>
              <w14:schemeClr w14:val="tx1"/>
            </w14:solidFill>
          </w14:textFill>
        </w:rPr>
        <w:t>根据《工业和信息化部办公厅关于印发2024年第一批行业标准制修订计划的通知》（工信厅科〔2024〕18号）</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加压法阻燃处理结构用木质材料</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行业</w:t>
      </w:r>
      <w:r>
        <w:rPr>
          <w:color w:val="000000" w:themeColor="text1"/>
          <w:highlight w:val="none"/>
          <w14:textFill>
            <w14:solidFill>
              <w14:schemeClr w14:val="tx1"/>
            </w14:solidFill>
          </w14:textFill>
        </w:rPr>
        <w:t>标准已列入标准项目计划（计划编号：</w:t>
      </w:r>
      <w:r>
        <w:rPr>
          <w:rFonts w:hint="eastAsia"/>
          <w:color w:val="000000" w:themeColor="text1"/>
          <w:highlight w:val="none"/>
          <w14:textFill>
            <w14:solidFill>
              <w14:schemeClr w14:val="tx1"/>
            </w14:solidFill>
          </w14:textFill>
        </w:rPr>
        <w:t>2024-0226T-JC</w:t>
      </w:r>
      <w:r>
        <w:rPr>
          <w:color w:val="000000" w:themeColor="text1"/>
          <w:highlight w:val="none"/>
          <w14:textFill>
            <w14:solidFill>
              <w14:schemeClr w14:val="tx1"/>
            </w14:solidFill>
          </w14:textFill>
        </w:rPr>
        <w:t>），标准技术归口单位为</w:t>
      </w:r>
      <w:r>
        <w:rPr>
          <w:rFonts w:hint="eastAsia"/>
          <w:color w:val="000000" w:themeColor="text1"/>
          <w:highlight w:val="none"/>
          <w14:textFill>
            <w14:solidFill>
              <w14:schemeClr w14:val="tx1"/>
            </w14:solidFill>
          </w14:textFill>
        </w:rPr>
        <w:t>建材工业综合标准化技术委员会</w:t>
      </w:r>
      <w:r>
        <w:rPr>
          <w:color w:val="000000" w:themeColor="text1"/>
          <w:highlight w:val="none"/>
          <w14:textFill>
            <w14:solidFill>
              <w14:schemeClr w14:val="tx1"/>
            </w14:solidFill>
          </w14:textFill>
        </w:rPr>
        <w:t>，该标准的起草工作由</w:t>
      </w:r>
      <w:r>
        <w:rPr>
          <w:rFonts w:hint="eastAsia"/>
          <w:color w:val="000000" w:themeColor="text1"/>
          <w:highlight w:val="none"/>
          <w14:textFill>
            <w14:solidFill>
              <w14:schemeClr w14:val="tx1"/>
            </w14:solidFill>
          </w14:textFill>
        </w:rPr>
        <w:t>木材节约发展中心</w:t>
      </w:r>
      <w:r>
        <w:rPr>
          <w:color w:val="000000" w:themeColor="text1"/>
          <w:highlight w:val="none"/>
          <w14:textFill>
            <w14:solidFill>
              <w14:schemeClr w14:val="tx1"/>
            </w14:solidFill>
          </w14:textFill>
        </w:rPr>
        <w:t>等单位负责。</w:t>
      </w:r>
    </w:p>
    <w:p w14:paraId="74B4543A">
      <w:pPr>
        <w:pStyle w:val="29"/>
        <w:numPr>
          <w:ilvl w:val="1"/>
          <w:numId w:val="6"/>
        </w:numPr>
        <w:snapToGrid w:val="0"/>
        <w:spacing w:before="163" w:beforeLines="50" w:after="163" w:afterLines="50" w:line="500" w:lineRule="exact"/>
        <w:ind w:left="0"/>
        <w:rPr>
          <w:color w:val="000000" w:themeColor="text1"/>
          <w:sz w:val="24"/>
          <w:szCs w:val="24"/>
          <w:highlight w:val="none"/>
          <w14:textFill>
            <w14:solidFill>
              <w14:schemeClr w14:val="tx1"/>
            </w14:solidFill>
          </w14:textFill>
        </w:rPr>
      </w:pPr>
      <w:bookmarkStart w:id="2" w:name="_Toc44068192"/>
      <w:bookmarkStart w:id="3" w:name="_Toc18167"/>
      <w:r>
        <w:rPr>
          <w:color w:val="000000" w:themeColor="text1"/>
          <w:sz w:val="24"/>
          <w:szCs w:val="24"/>
          <w:highlight w:val="none"/>
          <w14:textFill>
            <w14:solidFill>
              <w14:schemeClr w14:val="tx1"/>
            </w14:solidFill>
          </w14:textFill>
        </w:rPr>
        <w:t>起草单位</w:t>
      </w:r>
      <w:bookmarkEnd w:id="2"/>
      <w:bookmarkEnd w:id="3"/>
    </w:p>
    <w:p w14:paraId="550EFC41">
      <w:pPr>
        <w:spacing w:line="360" w:lineRule="auto"/>
        <w:ind w:firstLine="480" w:firstLineChars="200"/>
        <w:jc w:val="both"/>
        <w:rPr>
          <w:rFonts w:hint="eastAsia" w:eastAsiaTheme="majorEastAsia"/>
          <w:color w:val="000000" w:themeColor="text1"/>
          <w:highlight w:val="none"/>
          <w14:textFill>
            <w14:solidFill>
              <w14:schemeClr w14:val="tx1"/>
            </w14:solidFill>
          </w14:textFill>
        </w:rPr>
      </w:pPr>
      <w:r>
        <w:rPr>
          <w:rFonts w:hint="eastAsia" w:eastAsiaTheme="majorEastAsia"/>
          <w:color w:val="000000" w:themeColor="text1"/>
          <w:highlight w:val="none"/>
          <w14:textFill>
            <w14:solidFill>
              <w14:schemeClr w14:val="tx1"/>
            </w14:solidFill>
          </w14:textFill>
        </w:rPr>
        <w:t>本标准由木材节约发展中心、北华大学等单位共同负责起草，形成《加压法阻燃处理结构用木质材料》行业标准的编制组。标准编制组分工如下：</w:t>
      </w:r>
    </w:p>
    <w:p w14:paraId="3AF028FF">
      <w:pPr>
        <w:spacing w:line="360" w:lineRule="auto"/>
        <w:ind w:firstLine="480" w:firstLineChars="200"/>
        <w:jc w:val="both"/>
        <w:rPr>
          <w:rFonts w:hint="eastAsia" w:eastAsiaTheme="majorEastAsia"/>
          <w:color w:val="000000" w:themeColor="text1"/>
          <w:highlight w:val="none"/>
          <w14:textFill>
            <w14:solidFill>
              <w14:schemeClr w14:val="tx1"/>
            </w14:solidFill>
          </w14:textFill>
        </w:rPr>
      </w:pPr>
      <w:r>
        <w:rPr>
          <w:rFonts w:hint="eastAsia" w:eastAsiaTheme="majorEastAsia"/>
          <w:color w:val="000000" w:themeColor="text1"/>
          <w:highlight w:val="none"/>
          <w14:textFill>
            <w14:solidFill>
              <w14:schemeClr w14:val="tx1"/>
            </w14:solidFill>
          </w14:textFill>
        </w:rPr>
        <w:t>（</w:t>
      </w:r>
      <w:r>
        <w:rPr>
          <w:rFonts w:eastAsiaTheme="majorEastAsia"/>
          <w:color w:val="000000" w:themeColor="text1"/>
          <w:highlight w:val="none"/>
          <w14:textFill>
            <w14:solidFill>
              <w14:schemeClr w14:val="tx1"/>
            </w14:solidFill>
          </w14:textFill>
        </w:rPr>
        <w:t>1）</w:t>
      </w:r>
      <w:r>
        <w:rPr>
          <w:rFonts w:hint="eastAsia" w:eastAsiaTheme="majorEastAsia"/>
          <w:color w:val="000000" w:themeColor="text1"/>
          <w:highlight w:val="none"/>
          <w14:textFill>
            <w14:solidFill>
              <w14:schemeClr w14:val="tx1"/>
            </w14:solidFill>
          </w14:textFill>
        </w:rPr>
        <w:t>木材节约发展中心</w:t>
      </w:r>
      <w:r>
        <w:rPr>
          <w:rFonts w:eastAsiaTheme="majorEastAsia"/>
          <w:color w:val="000000" w:themeColor="text1"/>
          <w:highlight w:val="none"/>
          <w14:textFill>
            <w14:solidFill>
              <w14:schemeClr w14:val="tx1"/>
            </w14:solidFill>
          </w14:textFill>
        </w:rPr>
        <w:t>：主要负责</w:t>
      </w:r>
      <w:r>
        <w:rPr>
          <w:rFonts w:hint="eastAsia" w:eastAsiaTheme="majorEastAsia"/>
          <w:color w:val="000000" w:themeColor="text1"/>
          <w:highlight w:val="none"/>
          <w14:textFill>
            <w14:solidFill>
              <w14:schemeClr w14:val="tx1"/>
            </w14:solidFill>
          </w14:textFill>
        </w:rPr>
        <w:t>本</w:t>
      </w:r>
      <w:r>
        <w:rPr>
          <w:rFonts w:eastAsiaTheme="majorEastAsia"/>
          <w:color w:val="000000" w:themeColor="text1"/>
          <w:highlight w:val="none"/>
          <w14:textFill>
            <w14:solidFill>
              <w14:schemeClr w14:val="tx1"/>
            </w14:solidFill>
          </w14:textFill>
        </w:rPr>
        <w:t>标准</w:t>
      </w:r>
      <w:r>
        <w:rPr>
          <w:rFonts w:hint="eastAsia" w:eastAsiaTheme="majorEastAsia"/>
          <w:color w:val="000000" w:themeColor="text1"/>
          <w:highlight w:val="none"/>
          <w14:textFill>
            <w14:solidFill>
              <w14:schemeClr w14:val="tx1"/>
            </w14:solidFill>
          </w14:textFill>
        </w:rPr>
        <w:t>修订</w:t>
      </w:r>
      <w:r>
        <w:rPr>
          <w:rFonts w:eastAsiaTheme="majorEastAsia"/>
          <w:color w:val="000000" w:themeColor="text1"/>
          <w:highlight w:val="none"/>
          <w14:textFill>
            <w14:solidFill>
              <w14:schemeClr w14:val="tx1"/>
            </w14:solidFill>
          </w14:textFill>
        </w:rPr>
        <w:t>立项、</w:t>
      </w:r>
      <w:r>
        <w:rPr>
          <w:rFonts w:hint="eastAsia" w:eastAsiaTheme="majorEastAsia"/>
          <w:color w:val="000000" w:themeColor="text1"/>
          <w:highlight w:val="none"/>
          <w14:textFill>
            <w14:solidFill>
              <w14:schemeClr w14:val="tx1"/>
            </w14:solidFill>
          </w14:textFill>
        </w:rPr>
        <w:t>编制</w:t>
      </w:r>
      <w:r>
        <w:rPr>
          <w:rFonts w:hint="eastAsia" w:eastAsiaTheme="majorEastAsia"/>
          <w:color w:val="000000" w:themeColor="text1"/>
          <w:highlight w:val="none"/>
          <w:lang w:val="en-US" w:eastAsia="zh-CN"/>
          <w14:textFill>
            <w14:solidFill>
              <w14:schemeClr w14:val="tx1"/>
            </w14:solidFill>
          </w14:textFill>
        </w:rPr>
        <w:t>组</w:t>
      </w:r>
      <w:r>
        <w:rPr>
          <w:rFonts w:eastAsiaTheme="majorEastAsia"/>
          <w:color w:val="000000" w:themeColor="text1"/>
          <w:highlight w:val="none"/>
          <w14:textFill>
            <w14:solidFill>
              <w14:schemeClr w14:val="tx1"/>
            </w14:solidFill>
          </w14:textFill>
        </w:rPr>
        <w:t>组织及筹备、相关文献搜集</w:t>
      </w:r>
      <w:r>
        <w:rPr>
          <w:rFonts w:hint="eastAsia" w:eastAsiaTheme="majorEastAsia"/>
          <w:color w:val="000000" w:themeColor="text1"/>
          <w:highlight w:val="none"/>
          <w14:textFill>
            <w14:solidFill>
              <w14:schemeClr w14:val="tx1"/>
            </w14:solidFill>
          </w14:textFill>
        </w:rPr>
        <w:t>与整理</w:t>
      </w:r>
      <w:r>
        <w:rPr>
          <w:rFonts w:eastAsiaTheme="majorEastAsia"/>
          <w:color w:val="000000" w:themeColor="text1"/>
          <w:highlight w:val="none"/>
          <w14:textFill>
            <w14:solidFill>
              <w14:schemeClr w14:val="tx1"/>
            </w14:solidFill>
          </w14:textFill>
        </w:rPr>
        <w:t>、行业征求意见汇总、</w:t>
      </w:r>
      <w:r>
        <w:rPr>
          <w:rFonts w:hint="eastAsia" w:eastAsiaTheme="majorEastAsia"/>
          <w:color w:val="000000" w:themeColor="text1"/>
          <w:highlight w:val="none"/>
          <w14:textFill>
            <w14:solidFill>
              <w14:schemeClr w14:val="tx1"/>
            </w14:solidFill>
          </w14:textFill>
        </w:rPr>
        <w:t>修订文件</w:t>
      </w:r>
      <w:r>
        <w:rPr>
          <w:rFonts w:eastAsiaTheme="majorEastAsia"/>
          <w:color w:val="000000" w:themeColor="text1"/>
          <w:highlight w:val="none"/>
          <w14:textFill>
            <w14:solidFill>
              <w14:schemeClr w14:val="tx1"/>
            </w14:solidFill>
          </w14:textFill>
        </w:rPr>
        <w:t>编写及修改</w:t>
      </w:r>
      <w:r>
        <w:rPr>
          <w:rFonts w:hint="eastAsia" w:eastAsiaTheme="majorEastAsia"/>
          <w:color w:val="000000" w:themeColor="text1"/>
          <w:highlight w:val="none"/>
          <w14:textFill>
            <w14:solidFill>
              <w14:schemeClr w14:val="tx1"/>
            </w14:solidFill>
          </w14:textFill>
        </w:rPr>
        <w:t>过程中对接专家深入研讨</w:t>
      </w:r>
      <w:r>
        <w:rPr>
          <w:rFonts w:eastAsiaTheme="majorEastAsia"/>
          <w:color w:val="000000" w:themeColor="text1"/>
          <w:highlight w:val="none"/>
          <w14:textFill>
            <w14:solidFill>
              <w14:schemeClr w14:val="tx1"/>
            </w14:solidFill>
          </w14:textFill>
        </w:rPr>
        <w:t>等。</w:t>
      </w:r>
    </w:p>
    <w:p w14:paraId="2A61A13E">
      <w:pPr>
        <w:spacing w:line="360" w:lineRule="auto"/>
        <w:ind w:firstLine="480" w:firstLineChars="200"/>
        <w:jc w:val="both"/>
        <w:rPr>
          <w:rFonts w:hint="eastAsia" w:eastAsiaTheme="majorEastAsia"/>
          <w:color w:val="000000" w:themeColor="text1"/>
          <w:highlight w:val="none"/>
          <w14:textFill>
            <w14:solidFill>
              <w14:schemeClr w14:val="tx1"/>
            </w14:solidFill>
          </w14:textFill>
        </w:rPr>
      </w:pPr>
      <w:r>
        <w:rPr>
          <w:rFonts w:hint="eastAsia" w:eastAsiaTheme="majorEastAsia"/>
          <w:color w:val="000000" w:themeColor="text1"/>
          <w:highlight w:val="none"/>
          <w14:textFill>
            <w14:solidFill>
              <w14:schemeClr w14:val="tx1"/>
            </w14:solidFill>
          </w14:textFill>
        </w:rPr>
        <w:t>（</w:t>
      </w:r>
      <w:r>
        <w:rPr>
          <w:rFonts w:eastAsiaTheme="majorEastAsia"/>
          <w:color w:val="000000" w:themeColor="text1"/>
          <w:highlight w:val="none"/>
          <w14:textFill>
            <w14:solidFill>
              <w14:schemeClr w14:val="tx1"/>
            </w14:solidFill>
          </w14:textFill>
        </w:rPr>
        <w:t>2）</w:t>
      </w:r>
      <w:r>
        <w:rPr>
          <w:rFonts w:hint="eastAsia" w:eastAsiaTheme="majorEastAsia"/>
          <w:color w:val="000000" w:themeColor="text1"/>
          <w:highlight w:val="none"/>
          <w14:textFill>
            <w14:solidFill>
              <w14:schemeClr w14:val="tx1"/>
            </w14:solidFill>
          </w14:textFill>
        </w:rPr>
        <w:t>北华大学</w:t>
      </w:r>
      <w:r>
        <w:rPr>
          <w:rFonts w:eastAsiaTheme="majorEastAsia"/>
          <w:color w:val="000000" w:themeColor="text1"/>
          <w:highlight w:val="none"/>
          <w14:textFill>
            <w14:solidFill>
              <w14:schemeClr w14:val="tx1"/>
            </w14:solidFill>
          </w14:textFill>
        </w:rPr>
        <w:t>：</w:t>
      </w:r>
      <w:r>
        <w:rPr>
          <w:rFonts w:hint="eastAsia" w:eastAsiaTheme="majorEastAsia"/>
          <w:color w:val="000000" w:themeColor="text1"/>
          <w:highlight w:val="none"/>
          <w14:textFill>
            <w14:solidFill>
              <w14:schemeClr w14:val="tx1"/>
            </w14:solidFill>
          </w14:textFill>
        </w:rPr>
        <w:t>主要负责针对</w:t>
      </w:r>
      <w:r>
        <w:rPr>
          <w:rFonts w:eastAsiaTheme="majorEastAsia"/>
          <w:color w:val="000000" w:themeColor="text1"/>
          <w:highlight w:val="none"/>
          <w14:textFill>
            <w14:solidFill>
              <w14:schemeClr w14:val="tx1"/>
            </w14:solidFill>
          </w14:textFill>
        </w:rPr>
        <w:t>本标准</w:t>
      </w:r>
      <w:r>
        <w:rPr>
          <w:rFonts w:hint="eastAsia" w:eastAsiaTheme="majorEastAsia"/>
          <w:color w:val="000000" w:themeColor="text1"/>
          <w:highlight w:val="none"/>
          <w14:textFill>
            <w14:solidFill>
              <w14:schemeClr w14:val="tx1"/>
            </w14:solidFill>
          </w14:textFill>
        </w:rPr>
        <w:t>涉及内容</w:t>
      </w:r>
      <w:r>
        <w:rPr>
          <w:rFonts w:eastAsiaTheme="majorEastAsia"/>
          <w:color w:val="000000" w:themeColor="text1"/>
          <w:highlight w:val="none"/>
          <w14:textFill>
            <w14:solidFill>
              <w14:schemeClr w14:val="tx1"/>
            </w14:solidFill>
          </w14:textFill>
        </w:rPr>
        <w:t>开展相关调研、验证工作</w:t>
      </w:r>
      <w:r>
        <w:rPr>
          <w:rFonts w:hint="eastAsia" w:eastAsiaTheme="majorEastAsia"/>
          <w:color w:val="000000" w:themeColor="text1"/>
          <w:highlight w:val="none"/>
          <w14:textFill>
            <w14:solidFill>
              <w14:schemeClr w14:val="tx1"/>
            </w14:solidFill>
          </w14:textFill>
        </w:rPr>
        <w:t>，并形成本标准征求意见稿</w:t>
      </w:r>
      <w:r>
        <w:rPr>
          <w:rFonts w:eastAsiaTheme="majorEastAsia"/>
          <w:color w:val="000000" w:themeColor="text1"/>
          <w:highlight w:val="none"/>
          <w14:textFill>
            <w14:solidFill>
              <w14:schemeClr w14:val="tx1"/>
            </w14:solidFill>
          </w14:textFill>
        </w:rPr>
        <w:t>。</w:t>
      </w:r>
    </w:p>
    <w:p w14:paraId="4F01F26A">
      <w:pPr>
        <w:pStyle w:val="29"/>
        <w:numPr>
          <w:ilvl w:val="1"/>
          <w:numId w:val="6"/>
        </w:numPr>
        <w:spacing w:before="163" w:beforeLines="50" w:after="163" w:afterLines="50" w:line="500" w:lineRule="exact"/>
        <w:ind w:left="0"/>
        <w:rPr>
          <w:color w:val="000000" w:themeColor="text1"/>
          <w:sz w:val="24"/>
          <w:szCs w:val="24"/>
          <w:highlight w:val="none"/>
          <w14:textFill>
            <w14:solidFill>
              <w14:schemeClr w14:val="tx1"/>
            </w14:solidFill>
          </w14:textFill>
        </w:rPr>
      </w:pPr>
      <w:bookmarkStart w:id="4" w:name="_Toc44068193"/>
      <w:bookmarkStart w:id="5" w:name="_Toc2192"/>
      <w:r>
        <w:rPr>
          <w:color w:val="000000" w:themeColor="text1"/>
          <w:sz w:val="24"/>
          <w:szCs w:val="24"/>
          <w:highlight w:val="none"/>
          <w14:textFill>
            <w14:solidFill>
              <w14:schemeClr w14:val="tx1"/>
            </w14:solidFill>
          </w14:textFill>
        </w:rPr>
        <w:t>标准编制背景及必要性</w:t>
      </w:r>
      <w:bookmarkEnd w:id="4"/>
      <w:bookmarkEnd w:id="5"/>
    </w:p>
    <w:p w14:paraId="18BDB376">
      <w:pPr>
        <w:pStyle w:val="28"/>
        <w:spacing w:line="480" w:lineRule="auto"/>
        <w:ind w:firstLine="0" w:firstLineChars="0"/>
        <w:rPr>
          <w:rFonts w:ascii="Times New Roman" w:eastAsia="黑体"/>
          <w:color w:val="000000" w:themeColor="text1"/>
          <w:sz w:val="24"/>
          <w:szCs w:val="24"/>
          <w:highlight w:val="none"/>
          <w14:textFill>
            <w14:solidFill>
              <w14:schemeClr w14:val="tx1"/>
            </w14:solidFill>
          </w14:textFill>
        </w:rPr>
      </w:pPr>
      <w:r>
        <w:rPr>
          <w:rFonts w:ascii="Times New Roman" w:eastAsia="黑体"/>
          <w:color w:val="000000" w:themeColor="text1"/>
          <w:sz w:val="24"/>
          <w:szCs w:val="24"/>
          <w:highlight w:val="none"/>
          <w14:textFill>
            <w14:solidFill>
              <w14:schemeClr w14:val="tx1"/>
            </w14:solidFill>
          </w14:textFill>
        </w:rPr>
        <w:t>1.3.1 编制背景</w:t>
      </w:r>
    </w:p>
    <w:p w14:paraId="592E4FDC">
      <w:pPr>
        <w:pStyle w:val="28"/>
        <w:spacing w:line="360" w:lineRule="auto"/>
        <w:ind w:firstLine="480"/>
        <w:rPr>
          <w:rFonts w:ascii="Segoe UI" w:hAnsi="Segoe UI" w:eastAsia="Segoe UI" w:cs="Segoe UI"/>
          <w:sz w:val="24"/>
          <w:szCs w:val="24"/>
          <w:highlight w:val="none"/>
          <w:shd w:val="clear" w:color="auto" w:fill="FFFFFF"/>
        </w:rPr>
      </w:pPr>
      <w:r>
        <w:rPr>
          <w:rFonts w:hint="eastAsia" w:ascii="Segoe UI" w:hAnsi="Segoe UI" w:eastAsia="Segoe UI" w:cs="Segoe UI"/>
          <w:sz w:val="24"/>
          <w:szCs w:val="24"/>
          <w:highlight w:val="none"/>
          <w:shd w:val="clear" w:color="auto" w:fill="FFFFFF"/>
        </w:rPr>
        <w:t>党的二十届三中全会明确提出 “以国家标准提升引领传统产业优化升级，支持企业用数智技术、绿色技术改造提升传统产业”。工业和信息化部《标准提升引领原材料工业优化升级行动方案（2025 - 2027 年）》，强调以升级传统产业、巩固优势产业、强化新兴产业、布局未来产业、夯实产业基础为主线，加快产业发展急需标准的制定。在此背景下，《加压法阻燃处理结构用木质材料》行业标准的修订工作成为推动木质材料产业优化升级、提升产业竞争力的必然要求，对于落实国家政策、促进产业高质量发展具有重要的现实意义。</w:t>
      </w:r>
    </w:p>
    <w:p w14:paraId="4AB4E3AA">
      <w:pPr>
        <w:pStyle w:val="28"/>
        <w:spacing w:line="360" w:lineRule="auto"/>
        <w:ind w:firstLine="480"/>
        <w:rPr>
          <w:rFonts w:ascii="Segoe UI" w:hAnsi="Segoe UI" w:eastAsia="Segoe UI" w:cs="Segoe UI"/>
          <w:sz w:val="24"/>
          <w:szCs w:val="24"/>
          <w:highlight w:val="none"/>
          <w:shd w:val="clear" w:color="auto" w:fill="FFFFFF"/>
        </w:rPr>
      </w:pPr>
      <w:r>
        <w:rPr>
          <w:rFonts w:hint="eastAsia" w:hAnsi="宋体" w:cs="宋体" w:eastAsiaTheme="minorEastAsia"/>
          <w:color w:val="000000" w:themeColor="text1"/>
          <w:sz w:val="24"/>
          <w:szCs w:val="28"/>
          <w:highlight w:val="none"/>
          <w14:textFill>
            <w14:solidFill>
              <w14:schemeClr w14:val="tx1"/>
            </w14:solidFill>
          </w14:textFill>
        </w:rPr>
        <w:t>木材作为一种广泛应用于建筑、家具、装修等众多领域的基础材料，在我国经济社会发展中占据重要地位。</w:t>
      </w:r>
      <w:r>
        <w:rPr>
          <w:rFonts w:ascii="Segoe UI" w:hAnsi="Segoe UI" w:eastAsia="Segoe UI" w:cs="Segoe UI"/>
          <w:sz w:val="24"/>
          <w:szCs w:val="24"/>
          <w:highlight w:val="none"/>
          <w:shd w:val="clear" w:color="auto" w:fill="FFFFFF"/>
        </w:rPr>
        <w:t>我国</w:t>
      </w:r>
      <w:r>
        <w:rPr>
          <w:rFonts w:hint="eastAsia" w:ascii="Segoe UI" w:hAnsi="Segoe UI" w:eastAsia="Segoe UI" w:cs="Segoe UI"/>
          <w:sz w:val="24"/>
          <w:szCs w:val="24"/>
          <w:highlight w:val="none"/>
          <w:shd w:val="clear" w:color="auto" w:fill="FFFFFF"/>
        </w:rPr>
        <w:t>已成为世界林产品生产、贸易、消费第一大国，林业产业总产值连续保持快速增长，202</w:t>
      </w:r>
      <w:r>
        <w:rPr>
          <w:rFonts w:hint="eastAsia" w:ascii="Segoe UI" w:hAnsi="Segoe UI" w:cs="Segoe UI"/>
          <w:sz w:val="24"/>
          <w:szCs w:val="24"/>
          <w:highlight w:val="none"/>
          <w:shd w:val="clear" w:color="auto" w:fill="FFFFFF"/>
        </w:rPr>
        <w:t>4</w:t>
      </w:r>
      <w:r>
        <w:rPr>
          <w:rFonts w:hint="eastAsia" w:ascii="Segoe UI" w:hAnsi="Segoe UI" w:eastAsia="Segoe UI" w:cs="Segoe UI"/>
          <w:sz w:val="24"/>
          <w:szCs w:val="24"/>
          <w:highlight w:val="none"/>
          <w:shd w:val="clear" w:color="auto" w:fill="FFFFFF"/>
        </w:rPr>
        <w:t>年年产值达到</w:t>
      </w:r>
      <w:r>
        <w:rPr>
          <w:rFonts w:hint="eastAsia" w:ascii="Segoe UI" w:hAnsi="Segoe UI" w:cs="Segoe UI"/>
          <w:sz w:val="24"/>
          <w:szCs w:val="24"/>
          <w:highlight w:val="none"/>
          <w:shd w:val="clear" w:color="auto" w:fill="FFFFFF"/>
        </w:rPr>
        <w:t>10.17</w:t>
      </w:r>
      <w:r>
        <w:rPr>
          <w:rFonts w:hint="eastAsia" w:ascii="Segoe UI" w:hAnsi="Segoe UI" w:eastAsia="Segoe UI" w:cs="Segoe UI"/>
          <w:sz w:val="24"/>
          <w:szCs w:val="24"/>
          <w:highlight w:val="none"/>
          <w:shd w:val="clear" w:color="auto" w:fill="FFFFFF"/>
        </w:rPr>
        <w:t>万亿元，林产品进出口贸易额超过1800亿美元，其中木浆、原木、锯材进口和木制家具、人造板、地板出口均居世界首位。</w:t>
      </w:r>
      <w:r>
        <w:rPr>
          <w:rFonts w:ascii="Segoe UI" w:hAnsi="Segoe UI" w:eastAsia="Segoe UI" w:cs="Segoe UI"/>
          <w:sz w:val="24"/>
          <w:szCs w:val="24"/>
          <w:highlight w:val="none"/>
          <w:shd w:val="clear" w:color="auto" w:fill="FFFFFF"/>
        </w:rPr>
        <w:t>然而人造板、实木结构等细分行业</w:t>
      </w:r>
      <w:r>
        <w:rPr>
          <w:rFonts w:hint="eastAsia" w:ascii="Segoe UI" w:hAnsi="Segoe UI" w:cs="Segoe UI"/>
          <w:sz w:val="24"/>
          <w:szCs w:val="24"/>
          <w:highlight w:val="none"/>
          <w:shd w:val="clear" w:color="auto" w:fill="FFFFFF"/>
        </w:rPr>
        <w:t>的阻燃方法</w:t>
      </w:r>
      <w:r>
        <w:rPr>
          <w:rFonts w:ascii="Segoe UI" w:hAnsi="Segoe UI" w:eastAsia="Segoe UI" w:cs="Segoe UI"/>
          <w:sz w:val="24"/>
          <w:szCs w:val="24"/>
          <w:highlight w:val="none"/>
          <w:shd w:val="clear" w:color="auto" w:fill="FFFFFF"/>
        </w:rPr>
        <w:t>仍以涂刷方式为主，阻燃剂载药量低、分布不均，难以满足GB 8624</w:t>
      </w:r>
      <w:r>
        <w:rPr>
          <w:rFonts w:hint="eastAsia" w:ascii="Segoe UI" w:hAnsi="Segoe UI" w:cs="Segoe UI" w:eastAsiaTheme="minorEastAsia"/>
          <w:sz w:val="24"/>
          <w:szCs w:val="24"/>
          <w:highlight w:val="none"/>
          <w:shd w:val="clear" w:color="auto" w:fill="FFFFFF"/>
        </w:rPr>
        <w:t xml:space="preserve"> </w:t>
      </w:r>
      <w:r>
        <w:rPr>
          <w:rFonts w:ascii="Segoe UI" w:hAnsi="Segoe UI" w:eastAsia="Segoe UI" w:cs="Segoe UI"/>
          <w:sz w:val="24"/>
          <w:szCs w:val="24"/>
          <w:highlight w:val="none"/>
          <w:shd w:val="clear" w:color="auto" w:fill="FFFFFF"/>
        </w:rPr>
        <w:t>《</w:t>
      </w:r>
      <w:r>
        <w:rPr>
          <w:rFonts w:hint="eastAsia" w:ascii="微软雅黑" w:hAnsi="微软雅黑" w:eastAsia="微软雅黑" w:cs="微软雅黑"/>
          <w:sz w:val="24"/>
          <w:szCs w:val="24"/>
          <w:highlight w:val="none"/>
          <w:shd w:val="clear" w:color="auto" w:fill="FFFFFF"/>
        </w:rPr>
        <w:t>（</w:t>
      </w:r>
      <w:r>
        <w:rPr>
          <w:rFonts w:ascii="Segoe UI" w:hAnsi="Segoe UI" w:eastAsia="Segoe UI" w:cs="Segoe UI"/>
          <w:sz w:val="24"/>
          <w:szCs w:val="24"/>
          <w:highlight w:val="none"/>
          <w:shd w:val="clear" w:color="auto" w:fill="FFFFFF"/>
        </w:rPr>
        <w:t>建筑</w:t>
      </w:r>
      <w:r>
        <w:rPr>
          <w:rFonts w:hint="eastAsia" w:ascii="微软雅黑" w:hAnsi="微软雅黑" w:eastAsia="微软雅黑" w:cs="微软雅黑"/>
          <w:sz w:val="24"/>
          <w:szCs w:val="24"/>
          <w:highlight w:val="none"/>
          <w:shd w:val="clear" w:color="auto" w:fill="FFFFFF"/>
        </w:rPr>
        <w:t>）</w:t>
      </w:r>
      <w:r>
        <w:rPr>
          <w:rFonts w:ascii="Segoe UI" w:hAnsi="Segoe UI" w:eastAsia="Segoe UI" w:cs="Segoe UI"/>
          <w:sz w:val="24"/>
          <w:szCs w:val="24"/>
          <w:highlight w:val="none"/>
          <w:shd w:val="clear" w:color="auto" w:fill="FFFFFF"/>
        </w:rPr>
        <w:t>材料及制品燃烧性能分级》对结构用途</w:t>
      </w:r>
      <w:r>
        <w:rPr>
          <w:rFonts w:hint="eastAsia" w:cs="Segoe UI" w:asciiTheme="minorEastAsia" w:hAnsiTheme="minorEastAsia" w:eastAsiaTheme="minorEastAsia"/>
          <w:sz w:val="24"/>
          <w:szCs w:val="24"/>
          <w:highlight w:val="none"/>
          <w:shd w:val="clear" w:color="auto" w:fill="FFFFFF"/>
        </w:rPr>
        <w:t>“</w:t>
      </w:r>
      <w:r>
        <w:rPr>
          <w:rFonts w:ascii="Segoe UI" w:hAnsi="Segoe UI" w:eastAsia="Segoe UI" w:cs="Segoe UI"/>
          <w:sz w:val="24"/>
          <w:szCs w:val="24"/>
          <w:highlight w:val="none"/>
          <w:shd w:val="clear" w:color="auto" w:fill="FFFFFF"/>
        </w:rPr>
        <w:t>难燃B1(B</w:t>
      </w:r>
      <w:r>
        <w:rPr>
          <w:rFonts w:hint="eastAsia" w:ascii="Segoe UI" w:hAnsi="Segoe UI" w:cs="Segoe UI"/>
          <w:sz w:val="24"/>
          <w:szCs w:val="24"/>
          <w:highlight w:val="none"/>
          <w:shd w:val="clear" w:color="auto" w:fill="FFFFFF"/>
        </w:rPr>
        <w:t>）</w:t>
      </w:r>
      <w:r>
        <w:rPr>
          <w:rFonts w:hint="eastAsia" w:cs="Segoe UI" w:asciiTheme="minorEastAsia" w:hAnsiTheme="minorEastAsia" w:eastAsiaTheme="minorEastAsia"/>
          <w:sz w:val="24"/>
          <w:szCs w:val="24"/>
          <w:highlight w:val="none"/>
          <w:shd w:val="clear" w:color="auto" w:fill="FFFFFF"/>
        </w:rPr>
        <w:t>”</w:t>
      </w:r>
      <w:r>
        <w:rPr>
          <w:rFonts w:hint="eastAsia" w:ascii="微软雅黑" w:hAnsi="微软雅黑" w:eastAsia="微软雅黑" w:cs="微软雅黑"/>
          <w:sz w:val="24"/>
          <w:szCs w:val="24"/>
          <w:highlight w:val="none"/>
          <w:shd w:val="clear" w:color="auto" w:fill="FFFFFF"/>
        </w:rPr>
        <w:t>及</w:t>
      </w:r>
      <w:r>
        <w:rPr>
          <w:rFonts w:ascii="Segoe UI" w:hAnsi="Segoe UI" w:eastAsia="Segoe UI" w:cs="Segoe UI"/>
          <w:sz w:val="24"/>
          <w:szCs w:val="24"/>
          <w:highlight w:val="none"/>
          <w:shd w:val="clear" w:color="auto" w:fill="FFFFFF"/>
        </w:rPr>
        <w:t>以上等级的要求，导致高端工程被迫高价进口阻燃木材。</w:t>
      </w:r>
      <w:r>
        <w:rPr>
          <w:rFonts w:hint="eastAsia" w:ascii="Segoe UI" w:hAnsi="Segoe UI" w:eastAsia="Segoe UI" w:cs="Segoe UI"/>
          <w:sz w:val="24"/>
          <w:szCs w:val="24"/>
          <w:highlight w:val="none"/>
          <w:shd w:val="clear" w:color="auto" w:fill="FFFFFF"/>
        </w:rPr>
        <w:t>《加压法阻燃处理结构用木质材料》行业标准的修订工作，可以对加压法阻燃处理结构用木质材料的生产技术、工艺参数等进行更新和规范，</w:t>
      </w:r>
      <w:r>
        <w:rPr>
          <w:rFonts w:hint="eastAsia" w:ascii="微软雅黑" w:hAnsi="微软雅黑" w:eastAsia="微软雅黑" w:cs="微软雅黑"/>
          <w:sz w:val="24"/>
          <w:szCs w:val="24"/>
          <w:highlight w:val="none"/>
          <w:shd w:val="clear" w:color="auto" w:fill="FFFFFF"/>
        </w:rPr>
        <w:t>促进相关生产企业不断</w:t>
      </w:r>
      <w:r>
        <w:rPr>
          <w:rFonts w:hint="eastAsia" w:ascii="Segoe UI" w:hAnsi="Segoe UI" w:eastAsia="Segoe UI" w:cs="Segoe UI"/>
          <w:sz w:val="24"/>
          <w:szCs w:val="24"/>
          <w:highlight w:val="none"/>
          <w:shd w:val="clear" w:color="auto" w:fill="FFFFFF"/>
        </w:rPr>
        <w:t>提高产品质量。</w:t>
      </w:r>
    </w:p>
    <w:p w14:paraId="327E2505">
      <w:pPr>
        <w:pStyle w:val="28"/>
        <w:spacing w:line="480" w:lineRule="auto"/>
        <w:ind w:firstLine="0" w:firstLineChars="0"/>
        <w:rPr>
          <w:rFonts w:ascii="Times New Roman" w:eastAsia="黑体"/>
          <w:color w:val="000000" w:themeColor="text1"/>
          <w:sz w:val="24"/>
          <w:szCs w:val="24"/>
          <w:highlight w:val="none"/>
          <w14:textFill>
            <w14:solidFill>
              <w14:schemeClr w14:val="tx1"/>
            </w14:solidFill>
          </w14:textFill>
        </w:rPr>
      </w:pPr>
      <w:r>
        <w:rPr>
          <w:rFonts w:hint="eastAsia" w:ascii="Times New Roman" w:eastAsia="黑体"/>
          <w:color w:val="000000" w:themeColor="text1"/>
          <w:sz w:val="24"/>
          <w:szCs w:val="24"/>
          <w:highlight w:val="none"/>
          <w14:textFill>
            <w14:solidFill>
              <w14:schemeClr w14:val="tx1"/>
            </w14:solidFill>
          </w14:textFill>
        </w:rPr>
        <w:t xml:space="preserve">1.3.2 </w:t>
      </w:r>
      <w:r>
        <w:rPr>
          <w:rFonts w:ascii="Times New Roman" w:eastAsia="黑体"/>
          <w:color w:val="000000" w:themeColor="text1"/>
          <w:sz w:val="24"/>
          <w:szCs w:val="24"/>
          <w:highlight w:val="none"/>
          <w14:textFill>
            <w14:solidFill>
              <w14:schemeClr w14:val="tx1"/>
            </w14:solidFill>
          </w14:textFill>
        </w:rPr>
        <w:t>主要工作过程</w:t>
      </w:r>
    </w:p>
    <w:p w14:paraId="078DAB77">
      <w:pPr>
        <w:spacing w:line="360" w:lineRule="auto"/>
        <w:ind w:firstLine="480" w:firstLineChars="200"/>
        <w:jc w:val="both"/>
        <w:rPr>
          <w:rFonts w:hint="eastAsia" w:eastAsiaTheme="minorEastAsia"/>
          <w:color w:val="000000" w:themeColor="text1"/>
          <w:szCs w:val="28"/>
          <w:highlight w:val="none"/>
          <w14:textFill>
            <w14:solidFill>
              <w14:schemeClr w14:val="tx1"/>
            </w14:solidFill>
          </w14:textFill>
        </w:rPr>
      </w:pPr>
      <w:r>
        <w:rPr>
          <w:rFonts w:hint="eastAsia" w:eastAsiaTheme="minorEastAsia"/>
          <w:color w:val="000000" w:themeColor="text1"/>
          <w:szCs w:val="28"/>
          <w:highlight w:val="none"/>
          <w14:textFill>
            <w14:solidFill>
              <w14:schemeClr w14:val="tx1"/>
            </w14:solidFill>
          </w14:textFill>
        </w:rPr>
        <w:t>以下是本标准主要工作过程：</w:t>
      </w:r>
    </w:p>
    <w:p w14:paraId="6A3FB6B1">
      <w:pPr>
        <w:spacing w:line="360" w:lineRule="auto"/>
        <w:ind w:firstLine="480" w:firstLineChars="200"/>
        <w:jc w:val="both"/>
        <w:rPr>
          <w:rFonts w:hint="eastAsia" w:eastAsiaTheme="minorEastAsia"/>
          <w:color w:val="000000" w:themeColor="text1"/>
          <w:szCs w:val="28"/>
          <w:highlight w:val="none"/>
          <w14:textFill>
            <w14:solidFill>
              <w14:schemeClr w14:val="tx1"/>
            </w14:solidFill>
          </w14:textFill>
        </w:rPr>
      </w:pPr>
      <w:r>
        <w:rPr>
          <w:rFonts w:hint="eastAsia" w:eastAsiaTheme="minorEastAsia"/>
          <w:color w:val="000000" w:themeColor="text1"/>
          <w:szCs w:val="28"/>
          <w:highlight w:val="none"/>
          <w14:textFill>
            <w14:solidFill>
              <w14:schemeClr w14:val="tx1"/>
            </w14:solidFill>
          </w14:textFill>
        </w:rPr>
        <w:t>2024年3月，工业和信息化部下达</w:t>
      </w:r>
      <w:r>
        <w:rPr>
          <w:rFonts w:eastAsiaTheme="minorEastAsia"/>
          <w:color w:val="000000" w:themeColor="text1"/>
          <w:szCs w:val="28"/>
          <w:highlight w:val="none"/>
          <w14:textFill>
            <w14:solidFill>
              <w14:schemeClr w14:val="tx1"/>
            </w14:solidFill>
          </w14:textFill>
        </w:rPr>
        <w:t>了《</w:t>
      </w:r>
      <w:r>
        <w:rPr>
          <w:rFonts w:hint="eastAsia" w:ascii="Segoe UI" w:hAnsi="Segoe UI" w:eastAsia="Segoe UI" w:cs="Segoe UI"/>
          <w:highlight w:val="none"/>
          <w:shd w:val="clear" w:color="auto" w:fill="FFFFFF"/>
        </w:rPr>
        <w:t>加压法阻燃处理结构用木质材料</w:t>
      </w:r>
      <w:r>
        <w:rPr>
          <w:rFonts w:eastAsiaTheme="minorEastAsia"/>
          <w:color w:val="000000" w:themeColor="text1"/>
          <w:szCs w:val="28"/>
          <w:highlight w:val="none"/>
          <w14:textFill>
            <w14:solidFill>
              <w14:schemeClr w14:val="tx1"/>
            </w14:solidFill>
          </w14:textFill>
        </w:rPr>
        <w:t>》</w:t>
      </w:r>
      <w:r>
        <w:rPr>
          <w:rFonts w:hint="eastAsia" w:eastAsiaTheme="minorEastAsia"/>
          <w:color w:val="000000" w:themeColor="text1"/>
          <w:szCs w:val="28"/>
          <w:highlight w:val="none"/>
          <w14:textFill>
            <w14:solidFill>
              <w14:schemeClr w14:val="tx1"/>
            </w14:solidFill>
          </w14:textFill>
        </w:rPr>
        <w:t>行业</w:t>
      </w:r>
      <w:r>
        <w:rPr>
          <w:rFonts w:eastAsiaTheme="minorEastAsia"/>
          <w:color w:val="000000" w:themeColor="text1"/>
          <w:szCs w:val="28"/>
          <w:highlight w:val="none"/>
          <w14:textFill>
            <w14:solidFill>
              <w14:schemeClr w14:val="tx1"/>
            </w14:solidFill>
          </w14:textFill>
        </w:rPr>
        <w:t>标准</w:t>
      </w:r>
      <w:r>
        <w:rPr>
          <w:rFonts w:hint="eastAsia"/>
          <w:color w:val="000000" w:themeColor="text1"/>
          <w:highlight w:val="none"/>
          <w14:textFill>
            <w14:solidFill>
              <w14:schemeClr w14:val="tx1"/>
            </w14:solidFill>
          </w14:textFill>
        </w:rPr>
        <w:t>项目修订计划</w:t>
      </w:r>
      <w:r>
        <w:rPr>
          <w:color w:val="000000" w:themeColor="text1"/>
          <w:highlight w:val="none"/>
          <w14:textFill>
            <w14:solidFill>
              <w14:schemeClr w14:val="tx1"/>
            </w14:solidFill>
          </w14:textFill>
        </w:rPr>
        <w:t>，计划编号</w:t>
      </w:r>
      <w:r>
        <w:rPr>
          <w:rFonts w:hint="eastAsia"/>
          <w:color w:val="000000" w:themeColor="text1"/>
          <w:highlight w:val="none"/>
          <w14:textFill>
            <w14:solidFill>
              <w14:schemeClr w14:val="tx1"/>
            </w14:solidFill>
          </w14:textFill>
        </w:rPr>
        <w:t>为2024-0226T-JC，代替标准SB/T10896-2012</w:t>
      </w:r>
      <w:r>
        <w:rPr>
          <w:rFonts w:hint="eastAsia" w:eastAsiaTheme="minorEastAsia"/>
          <w:color w:val="000000" w:themeColor="text1"/>
          <w:szCs w:val="28"/>
          <w:highlight w:val="none"/>
          <w14:textFill>
            <w14:solidFill>
              <w14:schemeClr w14:val="tx1"/>
            </w14:solidFill>
          </w14:textFill>
        </w:rPr>
        <w:t>。</w:t>
      </w:r>
    </w:p>
    <w:p w14:paraId="2950A6FA">
      <w:pPr>
        <w:spacing w:line="360" w:lineRule="auto"/>
        <w:ind w:firstLine="480" w:firstLineChars="200"/>
        <w:jc w:val="both"/>
        <w:rPr>
          <w:rFonts w:hint="eastAsia" w:eastAsiaTheme="minorEastAsia"/>
          <w:color w:val="000000" w:themeColor="text1"/>
          <w:szCs w:val="28"/>
          <w:highlight w:val="none"/>
          <w14:textFill>
            <w14:solidFill>
              <w14:schemeClr w14:val="tx1"/>
            </w14:solidFill>
          </w14:textFill>
        </w:rPr>
      </w:pPr>
      <w:r>
        <w:rPr>
          <w:rFonts w:hint="eastAsia" w:eastAsiaTheme="minorEastAsia"/>
          <w:color w:val="000000" w:themeColor="text1"/>
          <w:szCs w:val="28"/>
          <w:highlight w:val="none"/>
          <w14:textFill>
            <w14:solidFill>
              <w14:schemeClr w14:val="tx1"/>
            </w14:solidFill>
          </w14:textFill>
        </w:rPr>
        <w:t>2024年4月—8月</w:t>
      </w:r>
      <w:r>
        <w:rPr>
          <w:rFonts w:eastAsiaTheme="minorEastAsia"/>
          <w:color w:val="000000" w:themeColor="text1"/>
          <w:szCs w:val="28"/>
          <w:highlight w:val="none"/>
          <w14:textFill>
            <w14:solidFill>
              <w14:schemeClr w14:val="tx1"/>
            </w14:solidFill>
          </w14:textFill>
        </w:rPr>
        <w:t>，</w:t>
      </w:r>
      <w:r>
        <w:rPr>
          <w:rFonts w:hint="eastAsia" w:eastAsiaTheme="minorEastAsia"/>
          <w:color w:val="000000" w:themeColor="text1"/>
          <w:szCs w:val="28"/>
          <w:highlight w:val="none"/>
          <w14:textFill>
            <w14:solidFill>
              <w14:schemeClr w14:val="tx1"/>
            </w14:solidFill>
          </w14:textFill>
        </w:rPr>
        <w:t>编制组查阅和参考了相关标准和相关文献，并</w:t>
      </w:r>
      <w:r>
        <w:rPr>
          <w:rFonts w:eastAsiaTheme="minorEastAsia"/>
          <w:color w:val="000000" w:themeColor="text1"/>
          <w:szCs w:val="28"/>
          <w:highlight w:val="none"/>
          <w14:textFill>
            <w14:solidFill>
              <w14:schemeClr w14:val="tx1"/>
            </w14:solidFill>
          </w14:textFill>
        </w:rPr>
        <w:t>对</w:t>
      </w:r>
      <w:r>
        <w:rPr>
          <w:rFonts w:hint="eastAsia" w:eastAsiaTheme="minorEastAsia"/>
          <w:color w:val="000000" w:themeColor="text1"/>
          <w:szCs w:val="28"/>
          <w:highlight w:val="none"/>
          <w14:textFill>
            <w14:solidFill>
              <w14:schemeClr w14:val="tx1"/>
            </w14:solidFill>
          </w14:textFill>
        </w:rPr>
        <w:t>木材阻燃相关</w:t>
      </w:r>
      <w:r>
        <w:rPr>
          <w:rFonts w:eastAsiaTheme="minorEastAsia"/>
          <w:color w:val="000000" w:themeColor="text1"/>
          <w:szCs w:val="28"/>
          <w:highlight w:val="none"/>
          <w14:textFill>
            <w14:solidFill>
              <w14:schemeClr w14:val="tx1"/>
            </w14:solidFill>
          </w14:textFill>
        </w:rPr>
        <w:t>企业进行</w:t>
      </w:r>
      <w:r>
        <w:rPr>
          <w:rFonts w:hint="eastAsia" w:eastAsiaTheme="minorEastAsia"/>
          <w:color w:val="000000" w:themeColor="text1"/>
          <w:szCs w:val="28"/>
          <w:highlight w:val="none"/>
          <w14:textFill>
            <w14:solidFill>
              <w14:schemeClr w14:val="tx1"/>
            </w14:solidFill>
          </w14:textFill>
        </w:rPr>
        <w:t>实地调研</w:t>
      </w:r>
      <w:r>
        <w:rPr>
          <w:rFonts w:eastAsiaTheme="minorEastAsia"/>
          <w:color w:val="000000" w:themeColor="text1"/>
          <w:szCs w:val="28"/>
          <w:highlight w:val="none"/>
          <w14:textFill>
            <w14:solidFill>
              <w14:schemeClr w14:val="tx1"/>
            </w14:solidFill>
          </w14:textFill>
        </w:rPr>
        <w:t>，</w:t>
      </w:r>
      <w:r>
        <w:rPr>
          <w:rFonts w:hint="eastAsia" w:eastAsiaTheme="minorEastAsia"/>
          <w:color w:val="000000" w:themeColor="text1"/>
          <w:szCs w:val="28"/>
          <w:highlight w:val="none"/>
          <w14:textFill>
            <w14:solidFill>
              <w14:schemeClr w14:val="tx1"/>
            </w14:solidFill>
          </w14:textFill>
        </w:rPr>
        <w:t>搜集并分析了相关信息，编制完成标准草案。</w:t>
      </w:r>
    </w:p>
    <w:p w14:paraId="31DCFB79">
      <w:pPr>
        <w:spacing w:line="360" w:lineRule="auto"/>
        <w:ind w:left="480" w:leftChars="200"/>
        <w:jc w:val="both"/>
        <w:rPr>
          <w:rFonts w:hint="eastAsia" w:eastAsiaTheme="minorEastAsia"/>
          <w:color w:val="000000" w:themeColor="text1"/>
          <w:szCs w:val="28"/>
          <w:highlight w:val="none"/>
          <w14:textFill>
            <w14:solidFill>
              <w14:schemeClr w14:val="tx1"/>
            </w14:solidFill>
          </w14:textFill>
        </w:rPr>
      </w:pPr>
      <w:r>
        <w:rPr>
          <w:rFonts w:hint="eastAsia" w:eastAsiaTheme="minorEastAsia"/>
          <w:color w:val="000000" w:themeColor="text1"/>
          <w:szCs w:val="28"/>
          <w:highlight w:val="none"/>
          <w14:textFill>
            <w14:solidFill>
              <w14:schemeClr w14:val="tx1"/>
            </w14:solidFill>
          </w14:textFill>
        </w:rPr>
        <w:t>20</w:t>
      </w:r>
      <w:r>
        <w:rPr>
          <w:rFonts w:eastAsiaTheme="minorEastAsia"/>
          <w:color w:val="000000" w:themeColor="text1"/>
          <w:szCs w:val="28"/>
          <w:highlight w:val="none"/>
          <w14:textFill>
            <w14:solidFill>
              <w14:schemeClr w14:val="tx1"/>
            </w14:solidFill>
          </w14:textFill>
        </w:rPr>
        <w:t>2</w:t>
      </w:r>
      <w:r>
        <w:rPr>
          <w:rFonts w:hint="eastAsia" w:eastAsiaTheme="minorEastAsia"/>
          <w:color w:val="000000" w:themeColor="text1"/>
          <w:szCs w:val="28"/>
          <w:highlight w:val="none"/>
          <w14:textFill>
            <w14:solidFill>
              <w14:schemeClr w14:val="tx1"/>
            </w14:solidFill>
          </w14:textFill>
        </w:rPr>
        <w:t>4年8月6日，编制组组织召开标准工作研讨会，在会议上讨论了标准的主要内容。2024年9—12月</w:t>
      </w:r>
      <w:r>
        <w:rPr>
          <w:rFonts w:eastAsiaTheme="minorEastAsia"/>
          <w:color w:val="000000" w:themeColor="text1"/>
          <w:szCs w:val="28"/>
          <w:highlight w:val="none"/>
          <w14:textFill>
            <w14:solidFill>
              <w14:schemeClr w14:val="tx1"/>
            </w14:solidFill>
          </w14:textFill>
        </w:rPr>
        <w:t>，</w:t>
      </w:r>
      <w:r>
        <w:rPr>
          <w:rFonts w:hint="eastAsia" w:eastAsiaTheme="minorEastAsia"/>
          <w:color w:val="000000" w:themeColor="text1"/>
          <w:szCs w:val="28"/>
          <w:highlight w:val="none"/>
          <w14:textFill>
            <w14:solidFill>
              <w14:schemeClr w14:val="tx1"/>
            </w14:solidFill>
          </w14:textFill>
        </w:rPr>
        <w:t>编制组进一步完善了标准草稿，补充相关参数信息。</w:t>
      </w:r>
    </w:p>
    <w:p w14:paraId="44E9238D">
      <w:pPr>
        <w:spacing w:line="360" w:lineRule="auto"/>
        <w:ind w:firstLine="480" w:firstLineChars="200"/>
        <w:jc w:val="both"/>
        <w:rPr>
          <w:rFonts w:hint="eastAsia" w:eastAsiaTheme="minorEastAsia"/>
          <w:color w:val="000000" w:themeColor="text1"/>
          <w:szCs w:val="28"/>
          <w:highlight w:val="none"/>
          <w14:textFill>
            <w14:solidFill>
              <w14:schemeClr w14:val="tx1"/>
            </w14:solidFill>
          </w14:textFill>
        </w:rPr>
      </w:pPr>
      <w:r>
        <w:rPr>
          <w:rFonts w:hint="eastAsia" w:eastAsiaTheme="minorEastAsia"/>
          <w:color w:val="000000" w:themeColor="text1"/>
          <w:szCs w:val="28"/>
          <w:highlight w:val="none"/>
          <w14:textFill>
            <w14:solidFill>
              <w14:schemeClr w14:val="tx1"/>
            </w14:solidFill>
          </w14:textFill>
        </w:rPr>
        <w:t>2025年3月19日，编制组对标准草稿进行了讨论，进一步明确了相关参数，标准征求意见稿（初稿）。</w:t>
      </w:r>
    </w:p>
    <w:p w14:paraId="47EB998D">
      <w:pPr>
        <w:spacing w:line="360" w:lineRule="auto"/>
        <w:ind w:firstLine="480" w:firstLineChars="200"/>
        <w:jc w:val="both"/>
        <w:rPr>
          <w:rFonts w:hint="eastAsia" w:eastAsiaTheme="minorEastAsia"/>
          <w:color w:val="000000" w:themeColor="text1"/>
          <w:szCs w:val="28"/>
          <w:highlight w:val="none"/>
          <w14:textFill>
            <w14:solidFill>
              <w14:schemeClr w14:val="tx1"/>
            </w14:solidFill>
          </w14:textFill>
        </w:rPr>
      </w:pPr>
      <w:r>
        <w:rPr>
          <w:rFonts w:hint="eastAsia" w:eastAsiaTheme="minorEastAsia"/>
          <w:color w:val="000000" w:themeColor="text1"/>
          <w:szCs w:val="28"/>
          <w:highlight w:val="none"/>
          <w14:textFill>
            <w14:solidFill>
              <w14:schemeClr w14:val="tx1"/>
            </w14:solidFill>
          </w14:textFill>
        </w:rPr>
        <w:t>2025年4—8月，编制组对标准征求意见稿（初稿）进一步补充完善，形成了征求意见稿。</w:t>
      </w:r>
    </w:p>
    <w:p w14:paraId="1769569F">
      <w:pPr>
        <w:spacing w:line="360" w:lineRule="auto"/>
        <w:ind w:firstLine="480" w:firstLineChars="200"/>
        <w:jc w:val="both"/>
        <w:rPr>
          <w:rFonts w:hint="eastAsia" w:eastAsiaTheme="minorEastAsia"/>
          <w:color w:val="000000" w:themeColor="text1"/>
          <w:szCs w:val="28"/>
          <w:highlight w:val="none"/>
          <w14:textFill>
            <w14:solidFill>
              <w14:schemeClr w14:val="tx1"/>
            </w14:solidFill>
          </w14:textFill>
        </w:rPr>
      </w:pPr>
      <w:r>
        <w:rPr>
          <w:rFonts w:hint="eastAsia" w:eastAsiaTheme="minorEastAsia"/>
          <w:color w:val="000000" w:themeColor="text1"/>
          <w:szCs w:val="28"/>
          <w:highlight w:val="none"/>
          <w14:textFill>
            <w14:solidFill>
              <w14:schemeClr w14:val="tx1"/>
            </w14:solidFill>
          </w14:textFill>
        </w:rPr>
        <w:t>2</w:t>
      </w:r>
      <w:r>
        <w:rPr>
          <w:rFonts w:eastAsiaTheme="minorEastAsia"/>
          <w:color w:val="000000" w:themeColor="text1"/>
          <w:szCs w:val="28"/>
          <w:highlight w:val="none"/>
          <w14:textFill>
            <w14:solidFill>
              <w14:schemeClr w14:val="tx1"/>
            </w14:solidFill>
          </w14:textFill>
        </w:rPr>
        <w:t>02</w:t>
      </w:r>
      <w:r>
        <w:rPr>
          <w:rFonts w:hint="eastAsia" w:eastAsiaTheme="minorEastAsia"/>
          <w:color w:val="000000" w:themeColor="text1"/>
          <w:szCs w:val="28"/>
          <w:highlight w:val="none"/>
          <w:lang w:val="en-US" w:eastAsia="zh-CN"/>
          <w14:textFill>
            <w14:solidFill>
              <w14:schemeClr w14:val="tx1"/>
            </w14:solidFill>
          </w14:textFill>
        </w:rPr>
        <w:t>5</w:t>
      </w:r>
      <w:r>
        <w:rPr>
          <w:rFonts w:hint="eastAsia" w:eastAsiaTheme="minorEastAsia"/>
          <w:color w:val="000000" w:themeColor="text1"/>
          <w:szCs w:val="28"/>
          <w:highlight w:val="none"/>
          <w14:textFill>
            <w14:solidFill>
              <w14:schemeClr w14:val="tx1"/>
            </w14:solidFill>
          </w14:textFill>
        </w:rPr>
        <w:t>年9月—10月，在中国建筑材料联合会官网进行为期45天的公开征求意见。</w:t>
      </w:r>
    </w:p>
    <w:p w14:paraId="2D191A60">
      <w:pPr>
        <w:pStyle w:val="27"/>
        <w:spacing w:before="326" w:beforeLines="100" w:after="326" w:afterLines="100"/>
        <w:rPr>
          <w:rFonts w:ascii="Times New Roman"/>
          <w:color w:val="000000" w:themeColor="text1"/>
          <w:sz w:val="28"/>
          <w:szCs w:val="28"/>
          <w:highlight w:val="none"/>
          <w14:textFill>
            <w14:solidFill>
              <w14:schemeClr w14:val="tx1"/>
            </w14:solidFill>
          </w14:textFill>
        </w:rPr>
      </w:pPr>
      <w:bookmarkStart w:id="6" w:name="_Toc27602"/>
      <w:r>
        <w:rPr>
          <w:rFonts w:ascii="Times New Roman"/>
          <w:color w:val="000000" w:themeColor="text1"/>
          <w:sz w:val="28"/>
          <w:szCs w:val="28"/>
          <w:highlight w:val="none"/>
          <w14:textFill>
            <w14:solidFill>
              <w14:schemeClr w14:val="tx1"/>
            </w14:solidFill>
          </w14:textFill>
        </w:rPr>
        <w:t>2 标准编制的原则和主要内容</w:t>
      </w:r>
      <w:bookmarkEnd w:id="6"/>
    </w:p>
    <w:p w14:paraId="3715AB58">
      <w:pPr>
        <w:pStyle w:val="29"/>
        <w:spacing w:before="163" w:beforeLines="50" w:after="163" w:afterLines="50" w:line="500" w:lineRule="exact"/>
        <w:rPr>
          <w:rFonts w:hint="eastAsia" w:ascii="黑体" w:hAnsi="黑体" w:cs="黑体"/>
          <w:color w:val="000000" w:themeColor="text1"/>
          <w:sz w:val="24"/>
          <w:szCs w:val="24"/>
          <w:highlight w:val="none"/>
          <w14:textFill>
            <w14:solidFill>
              <w14:schemeClr w14:val="tx1"/>
            </w14:solidFill>
          </w14:textFill>
        </w:rPr>
      </w:pPr>
      <w:bookmarkStart w:id="7" w:name="_Toc14490"/>
      <w:r>
        <w:rPr>
          <w:rFonts w:hint="eastAsia" w:ascii="黑体" w:hAnsi="黑体" w:cs="黑体"/>
          <w:color w:val="000000" w:themeColor="text1"/>
          <w:sz w:val="24"/>
          <w:szCs w:val="24"/>
          <w:highlight w:val="none"/>
          <w14:textFill>
            <w14:solidFill>
              <w14:schemeClr w14:val="tx1"/>
            </w14:solidFill>
          </w14:textFill>
        </w:rPr>
        <w:t>2.1 标准</w:t>
      </w:r>
      <w:r>
        <w:rPr>
          <w:rFonts w:hint="eastAsia" w:ascii="黑体" w:hAnsi="黑体" w:cs="黑体"/>
          <w:color w:val="000000" w:themeColor="text1"/>
          <w:sz w:val="24"/>
          <w:szCs w:val="24"/>
          <w:highlight w:val="none"/>
          <w:lang w:val="en-US" w:eastAsia="zh-CN"/>
          <w14:textFill>
            <w14:solidFill>
              <w14:schemeClr w14:val="tx1"/>
            </w14:solidFill>
          </w14:textFill>
        </w:rPr>
        <w:t>修订</w:t>
      </w:r>
      <w:r>
        <w:rPr>
          <w:rFonts w:hint="eastAsia" w:ascii="黑体" w:hAnsi="黑体" w:cs="黑体"/>
          <w:color w:val="000000" w:themeColor="text1"/>
          <w:sz w:val="24"/>
          <w:szCs w:val="24"/>
          <w:highlight w:val="none"/>
          <w14:textFill>
            <w14:solidFill>
              <w14:schemeClr w14:val="tx1"/>
            </w14:solidFill>
          </w14:textFill>
        </w:rPr>
        <w:t>的原则</w:t>
      </w:r>
      <w:bookmarkEnd w:id="7"/>
    </w:p>
    <w:p w14:paraId="70A3933A">
      <w:pPr>
        <w:spacing w:line="360" w:lineRule="auto"/>
        <w:ind w:firstLine="480" w:firstLineChars="200"/>
        <w:jc w:val="both"/>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本标准按GB/T 1.1-2020《标准化工作导则 第1部分：标准化文件的结构和起草规则》编制，符合国家现行法律、法规政策文件要求。</w:t>
      </w:r>
    </w:p>
    <w:p w14:paraId="6DA51594">
      <w:pPr>
        <w:spacing w:line="360" w:lineRule="auto"/>
        <w:ind w:firstLine="480"/>
        <w:jc w:val="both"/>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协调性与</w:t>
      </w:r>
      <w:r>
        <w:rPr>
          <w:rFonts w:hint="eastAsia"/>
          <w:color w:val="000000" w:themeColor="text1"/>
          <w:highlight w:val="none"/>
          <w:lang w:val="en-US" w:eastAsia="zh-CN"/>
          <w14:textFill>
            <w14:solidFill>
              <w14:schemeClr w14:val="tx1"/>
            </w14:solidFill>
          </w14:textFill>
        </w:rPr>
        <w:t>先进性</w:t>
      </w:r>
      <w:r>
        <w:rPr>
          <w:rFonts w:hint="eastAsia"/>
          <w:color w:val="000000" w:themeColor="text1"/>
          <w:highlight w:val="none"/>
          <w14:textFill>
            <w14:solidFill>
              <w14:schemeClr w14:val="tx1"/>
            </w14:solidFill>
          </w14:textFill>
        </w:rPr>
        <w:t>：与产业相关的各项现行国家及行业标准协调一致；技术指标制定先进可行、规范合理</w:t>
      </w:r>
    </w:p>
    <w:p w14:paraId="73B99D46">
      <w:pPr>
        <w:spacing w:line="360" w:lineRule="auto"/>
        <w:ind w:firstLine="480"/>
        <w:jc w:val="both"/>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实用性与可操作性：</w:t>
      </w:r>
      <w:r>
        <w:rPr>
          <w:rFonts w:hint="eastAsia"/>
          <w:color w:val="000000" w:themeColor="text1"/>
          <w:highlight w:val="none"/>
          <w:lang w:val="en-US" w:eastAsia="zh-CN"/>
          <w14:textFill>
            <w14:solidFill>
              <w14:schemeClr w14:val="tx1"/>
            </w14:solidFill>
          </w14:textFill>
        </w:rPr>
        <w:t>标准制定突出产品特点</w:t>
      </w:r>
      <w:r>
        <w:rPr>
          <w:rFonts w:hint="eastAsia"/>
          <w:color w:val="000000" w:themeColor="text1"/>
          <w:highlight w:val="none"/>
          <w14:textFill>
            <w14:solidFill>
              <w14:schemeClr w14:val="tx1"/>
            </w14:solidFill>
          </w14:textFill>
        </w:rPr>
        <w:t>，促进行业健康发展和产品推广</w:t>
      </w:r>
      <w:r>
        <w:rPr>
          <w:rFonts w:hint="eastAsia"/>
          <w:color w:val="000000" w:themeColor="text1"/>
          <w:highlight w:val="none"/>
          <w:lang w:eastAsia="zh-CN"/>
          <w14:textFill>
            <w14:solidFill>
              <w14:schemeClr w14:val="tx1"/>
            </w14:solidFill>
          </w14:textFill>
        </w:rPr>
        <w:t>。</w:t>
      </w:r>
      <w:r>
        <w:rPr>
          <w:rFonts w:hint="eastAsia"/>
          <w:color w:val="000000" w:themeColor="text1"/>
          <w:highlight w:val="none"/>
          <w14:textFill>
            <w14:solidFill>
              <w14:schemeClr w14:val="tx1"/>
            </w14:solidFill>
          </w14:textFill>
        </w:rPr>
        <w:t>充分考虑行业实际应用需求</w:t>
      </w:r>
      <w:r>
        <w:rPr>
          <w:rFonts w:hint="eastAsia"/>
          <w:color w:val="000000" w:themeColor="text1"/>
          <w:highlight w:val="none"/>
          <w:lang w:eastAsia="zh-CN"/>
          <w14:textFill>
            <w14:solidFill>
              <w14:schemeClr w14:val="tx1"/>
            </w14:solidFill>
          </w14:textFill>
        </w:rPr>
        <w:t>，</w:t>
      </w:r>
      <w:r>
        <w:rPr>
          <w:rFonts w:hint="eastAsia"/>
          <w:color w:val="000000" w:themeColor="text1"/>
          <w:highlight w:val="none"/>
          <w14:textFill>
            <w14:solidFill>
              <w14:schemeClr w14:val="tx1"/>
            </w14:solidFill>
          </w14:textFill>
        </w:rPr>
        <w:t>确保标准中的各项条款清晰明确、易于理解和执行，便于企业和检测机构在实际操作中应用。</w:t>
      </w:r>
    </w:p>
    <w:p w14:paraId="7988FF02">
      <w:pPr>
        <w:spacing w:line="360" w:lineRule="auto"/>
        <w:ind w:firstLine="480" w:firstLineChars="200"/>
        <w:jc w:val="both"/>
        <w:rPr>
          <w:rFonts w:hint="eastAsia"/>
          <w:color w:val="0000FF"/>
          <w:highlight w:val="none"/>
        </w:rPr>
      </w:pPr>
      <w:r>
        <w:rPr>
          <w:rFonts w:hint="eastAsia"/>
          <w:color w:val="000000" w:themeColor="text1"/>
          <w:highlight w:val="none"/>
          <w:lang w:val="en-US" w:eastAsia="zh-CN"/>
          <w14:textFill>
            <w14:solidFill>
              <w14:schemeClr w14:val="tx1"/>
            </w14:solidFill>
          </w14:textFill>
        </w:rPr>
        <w:t>科学性与</w:t>
      </w:r>
      <w:r>
        <w:rPr>
          <w:rFonts w:hint="eastAsia"/>
          <w:color w:val="000000" w:themeColor="text1"/>
          <w:highlight w:val="none"/>
          <w14:textFill>
            <w14:solidFill>
              <w14:schemeClr w14:val="tx1"/>
            </w14:solidFill>
          </w14:textFill>
        </w:rPr>
        <w:t>一致性：标准</w:t>
      </w:r>
      <w:r>
        <w:rPr>
          <w:rFonts w:hint="eastAsia"/>
          <w:color w:val="000000" w:themeColor="text1"/>
          <w:highlight w:val="none"/>
          <w:lang w:val="en-US" w:eastAsia="zh-CN"/>
          <w14:textFill>
            <w14:solidFill>
              <w14:schemeClr w14:val="tx1"/>
            </w14:solidFill>
          </w14:textFill>
        </w:rPr>
        <w:t>制定</w:t>
      </w:r>
      <w:r>
        <w:rPr>
          <w:rFonts w:hint="eastAsia"/>
          <w:color w:val="000000" w:themeColor="text1"/>
          <w:highlight w:val="none"/>
          <w14:textFill>
            <w14:solidFill>
              <w14:schemeClr w14:val="tx1"/>
            </w14:solidFill>
          </w14:textFill>
        </w:rPr>
        <w:t>中的试验方法主要参照现行国家标准和行业标准，以保证技术指标的准确性、科学性与可比性</w:t>
      </w:r>
      <w:r>
        <w:rPr>
          <w:rFonts w:hint="eastAsia"/>
          <w:color w:val="0000FF"/>
          <w:highlight w:val="none"/>
        </w:rPr>
        <w:t>。</w:t>
      </w:r>
    </w:p>
    <w:p w14:paraId="2300387B">
      <w:pPr>
        <w:pStyle w:val="29"/>
        <w:spacing w:before="163" w:beforeLines="50" w:after="163" w:afterLines="50" w:line="500" w:lineRule="exact"/>
        <w:rPr>
          <w:rFonts w:hint="eastAsia" w:ascii="黑体" w:hAnsi="黑体" w:cs="黑体"/>
          <w:color w:val="000000" w:themeColor="text1"/>
          <w:sz w:val="24"/>
          <w:szCs w:val="24"/>
          <w:highlight w:val="none"/>
          <w14:textFill>
            <w14:solidFill>
              <w14:schemeClr w14:val="tx1"/>
            </w14:solidFill>
          </w14:textFill>
        </w:rPr>
      </w:pPr>
      <w:bookmarkStart w:id="8" w:name="_Toc25229"/>
      <w:r>
        <w:rPr>
          <w:rFonts w:hint="eastAsia" w:ascii="黑体" w:hAnsi="黑体" w:cs="黑体"/>
          <w:color w:val="000000" w:themeColor="text1"/>
          <w:sz w:val="24"/>
          <w:szCs w:val="24"/>
          <w:highlight w:val="none"/>
          <w14:textFill>
            <w14:solidFill>
              <w14:schemeClr w14:val="tx1"/>
            </w14:solidFill>
          </w14:textFill>
        </w:rPr>
        <w:t>2.2 标准</w:t>
      </w:r>
      <w:r>
        <w:rPr>
          <w:rFonts w:hint="eastAsia" w:ascii="黑体" w:hAnsi="黑体" w:cs="黑体"/>
          <w:color w:val="000000" w:themeColor="text1"/>
          <w:sz w:val="24"/>
          <w:szCs w:val="24"/>
          <w:highlight w:val="none"/>
          <w:lang w:val="en-US" w:eastAsia="zh-CN"/>
          <w14:textFill>
            <w14:solidFill>
              <w14:schemeClr w14:val="tx1"/>
            </w14:solidFill>
          </w14:textFill>
        </w:rPr>
        <w:t>修订</w:t>
      </w:r>
      <w:r>
        <w:rPr>
          <w:rFonts w:hint="eastAsia" w:ascii="黑体" w:hAnsi="黑体" w:cs="黑体"/>
          <w:color w:val="000000" w:themeColor="text1"/>
          <w:sz w:val="24"/>
          <w:szCs w:val="24"/>
          <w:highlight w:val="none"/>
          <w14:textFill>
            <w14:solidFill>
              <w14:schemeClr w14:val="tx1"/>
            </w14:solidFill>
          </w14:textFill>
        </w:rPr>
        <w:t>的主要内容</w:t>
      </w:r>
      <w:bookmarkEnd w:id="8"/>
    </w:p>
    <w:p w14:paraId="5A83840C">
      <w:pPr>
        <w:pStyle w:val="5"/>
        <w:rPr>
          <w:rFonts w:hint="eastAsia"/>
          <w:color w:val="000000" w:themeColor="text1"/>
          <w:highlight w:val="none"/>
          <w14:textFill>
            <w14:solidFill>
              <w14:schemeClr w14:val="tx1"/>
            </w14:solidFill>
          </w14:textFill>
        </w:rPr>
      </w:pPr>
      <w:bookmarkStart w:id="9" w:name="_Toc49883321"/>
      <w:bookmarkStart w:id="10" w:name="_Toc48292342"/>
      <w:r>
        <w:rPr>
          <w:color w:val="000000" w:themeColor="text1"/>
          <w:highlight w:val="none"/>
          <w14:textFill>
            <w14:solidFill>
              <w14:schemeClr w14:val="tx1"/>
            </w14:solidFill>
          </w14:textFill>
        </w:rPr>
        <w:t>2.2.1 范围</w:t>
      </w:r>
      <w:bookmarkEnd w:id="9"/>
      <w:bookmarkEnd w:id="10"/>
    </w:p>
    <w:p w14:paraId="41408995">
      <w:pPr>
        <w:spacing w:line="360" w:lineRule="auto"/>
        <w:ind w:firstLine="480" w:firstLineChars="200"/>
        <w:rPr>
          <w:rFonts w:hint="eastAsia"/>
          <w:color w:val="000000" w:themeColor="text1"/>
          <w:highlight w:val="none"/>
          <w14:textFill>
            <w14:solidFill>
              <w14:schemeClr w14:val="tx1"/>
            </w14:solidFill>
          </w14:textFill>
        </w:rPr>
      </w:pPr>
      <w:bookmarkStart w:id="11" w:name="_Toc48292343"/>
      <w:bookmarkStart w:id="12" w:name="_Toc49883322"/>
      <w:r>
        <w:rPr>
          <w:rFonts w:hint="eastAsia"/>
          <w:color w:val="000000" w:themeColor="text1"/>
          <w:highlight w:val="none"/>
          <w14:textFill>
            <w14:solidFill>
              <w14:schemeClr w14:val="tx1"/>
            </w14:solidFill>
          </w14:textFill>
        </w:rPr>
        <w:t>本文件适用于加压法阻燃处理的结构用木质材料。本文件规定了加压法阻燃处理的结构用木质材料的术语和定义、材料要求、处理工艺、性能要求、检测方法、检验规则、标识、包装、运输和贮存。</w:t>
      </w:r>
    </w:p>
    <w:p w14:paraId="48197289">
      <w:pPr>
        <w:spacing w:line="360" w:lineRule="auto"/>
        <w:ind w:firstLine="480" w:firstLineChars="200"/>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本文件适用于加压法阻燃处理的结构用木质材料，用于建筑结构承重或非承重部位的木质材料，包括原木、锯材、工程木产品（如定向结构板、胶合木、层积材等）以及其他装饰装修木质（复合）材料。</w:t>
      </w:r>
    </w:p>
    <w:p w14:paraId="2153012C">
      <w:pPr>
        <w:pStyle w:val="5"/>
        <w:rPr>
          <w:rFonts w:hint="eastAsia"/>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2.2.2 </w:t>
      </w:r>
      <w:r>
        <w:rPr>
          <w:rFonts w:hint="eastAsia"/>
          <w:color w:val="000000" w:themeColor="text1"/>
          <w:highlight w:val="none"/>
          <w14:textFill>
            <w14:solidFill>
              <w14:schemeClr w14:val="tx1"/>
            </w14:solidFill>
          </w14:textFill>
        </w:rPr>
        <w:t>规范性</w:t>
      </w:r>
      <w:r>
        <w:rPr>
          <w:color w:val="000000" w:themeColor="text1"/>
          <w:highlight w:val="none"/>
          <w14:textFill>
            <w14:solidFill>
              <w14:schemeClr w14:val="tx1"/>
            </w14:solidFill>
          </w14:textFill>
        </w:rPr>
        <w:t>引用文件</w:t>
      </w:r>
      <w:bookmarkEnd w:id="11"/>
      <w:bookmarkEnd w:id="12"/>
    </w:p>
    <w:p w14:paraId="58AF9E38">
      <w:pPr>
        <w:spacing w:line="360" w:lineRule="auto"/>
        <w:ind w:firstLine="480" w:firstLineChars="200"/>
        <w:rPr>
          <w:rFonts w:hint="eastAsia"/>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本标准在制定过程</w:t>
      </w:r>
      <w:r>
        <w:rPr>
          <w:rFonts w:hint="eastAsia"/>
          <w:color w:val="000000" w:themeColor="text1"/>
          <w:highlight w:val="none"/>
          <w14:textFill>
            <w14:solidFill>
              <w14:schemeClr w14:val="tx1"/>
            </w14:solidFill>
          </w14:textFill>
        </w:rPr>
        <w:t>中主要</w:t>
      </w:r>
      <w:r>
        <w:rPr>
          <w:color w:val="000000" w:themeColor="text1"/>
          <w:highlight w:val="none"/>
          <w14:textFill>
            <w14:solidFill>
              <w14:schemeClr w14:val="tx1"/>
            </w14:solidFill>
          </w14:textFill>
        </w:rPr>
        <w:t>引用</w:t>
      </w:r>
      <w:r>
        <w:rPr>
          <w:rFonts w:hint="eastAsia"/>
          <w:color w:val="000000" w:themeColor="text1"/>
          <w:highlight w:val="none"/>
          <w14:textFill>
            <w14:solidFill>
              <w14:schemeClr w14:val="tx1"/>
            </w14:solidFill>
          </w14:textFill>
        </w:rPr>
        <w:t>GB 8624《建筑材料及制品燃烧性能分级》、GB/T 29407 《阻燃木材及阻燃人造板生产技术规范》、GB 50005 《木结构设计标准》、GB 50206 《木结构工程施工质量验收规范》等强制性和推荐性国家标准</w:t>
      </w:r>
      <w:r>
        <w:rPr>
          <w:rFonts w:hint="eastAsia"/>
          <w:color w:val="000000" w:themeColor="text1"/>
          <w:highlight w:val="none"/>
          <w:lang w:val="en-US" w:eastAsia="zh-CN"/>
          <w14:textFill>
            <w14:solidFill>
              <w14:schemeClr w14:val="tx1"/>
            </w14:solidFill>
          </w14:textFill>
        </w:rPr>
        <w:t>13</w:t>
      </w:r>
      <w:r>
        <w:rPr>
          <w:rFonts w:hint="eastAsia"/>
          <w:color w:val="000000" w:themeColor="text1"/>
          <w:highlight w:val="none"/>
          <w14:textFill>
            <w14:solidFill>
              <w14:schemeClr w14:val="tx1"/>
            </w14:solidFill>
          </w14:textFill>
        </w:rPr>
        <w:t>件</w:t>
      </w:r>
      <w:r>
        <w:rPr>
          <w:color w:val="000000" w:themeColor="text1"/>
          <w:highlight w:val="none"/>
          <w14:textFill>
            <w14:solidFill>
              <w14:schemeClr w14:val="tx1"/>
            </w14:solidFill>
          </w14:textFill>
        </w:rPr>
        <w:t>。</w:t>
      </w:r>
    </w:p>
    <w:p w14:paraId="4B77438C">
      <w:pPr>
        <w:pStyle w:val="5"/>
        <w:rPr>
          <w:rFonts w:hint="eastAsia"/>
          <w:color w:val="000000" w:themeColor="text1"/>
          <w:highlight w:val="none"/>
          <w14:textFill>
            <w14:solidFill>
              <w14:schemeClr w14:val="tx1"/>
            </w14:solidFill>
          </w14:textFill>
        </w:rPr>
      </w:pPr>
      <w:bookmarkStart w:id="13" w:name="_Toc48292344"/>
      <w:bookmarkStart w:id="14" w:name="_Toc49883323"/>
      <w:r>
        <w:rPr>
          <w:color w:val="000000" w:themeColor="text1"/>
          <w:highlight w:val="none"/>
          <w14:textFill>
            <w14:solidFill>
              <w14:schemeClr w14:val="tx1"/>
            </w14:solidFill>
          </w14:textFill>
        </w:rPr>
        <w:t>2.2.3  术语和定义</w:t>
      </w:r>
      <w:bookmarkEnd w:id="13"/>
      <w:bookmarkEnd w:id="14"/>
    </w:p>
    <w:p w14:paraId="25D00B69">
      <w:pPr>
        <w:spacing w:line="360" w:lineRule="auto"/>
        <w:ind w:firstLine="480"/>
        <w:rPr>
          <w:rFonts w:hint="eastAsia" w:eastAsiaTheme="minorEastAsia"/>
          <w:color w:val="000000" w:themeColor="text1"/>
          <w:szCs w:val="28"/>
          <w:highlight w:val="none"/>
          <w14:textFill>
            <w14:solidFill>
              <w14:schemeClr w14:val="tx1"/>
            </w14:solidFill>
          </w14:textFill>
        </w:rPr>
      </w:pPr>
      <w:r>
        <w:rPr>
          <w:rFonts w:hint="eastAsia" w:eastAsiaTheme="minorEastAsia"/>
          <w:color w:val="000000" w:themeColor="text1"/>
          <w:szCs w:val="28"/>
          <w:highlight w:val="none"/>
          <w14:textFill>
            <w14:solidFill>
              <w14:schemeClr w14:val="tx1"/>
            </w14:solidFill>
          </w14:textFill>
        </w:rPr>
        <w:t>本文对加</w:t>
      </w:r>
      <w:bookmarkStart w:id="31" w:name="_GoBack"/>
      <w:bookmarkEnd w:id="31"/>
      <w:r>
        <w:rPr>
          <w:rFonts w:hint="eastAsia" w:eastAsiaTheme="minorEastAsia"/>
          <w:color w:val="000000" w:themeColor="text1"/>
          <w:szCs w:val="28"/>
          <w:highlight w:val="none"/>
          <w14:textFill>
            <w14:solidFill>
              <w14:schemeClr w14:val="tx1"/>
            </w14:solidFill>
          </w14:textFill>
        </w:rPr>
        <w:t>压法、结构用木质材料等进行了定义。</w:t>
      </w:r>
    </w:p>
    <w:p w14:paraId="6E25DA1F">
      <w:pPr>
        <w:pStyle w:val="5"/>
        <w:jc w:val="both"/>
        <w:rPr>
          <w:rFonts w:hint="eastAsia" w:eastAsiaTheme="minorEastAsia"/>
          <w:b w:val="0"/>
          <w:bCs w:val="0"/>
          <w:color w:val="000000" w:themeColor="text1"/>
          <w:szCs w:val="28"/>
          <w:highlight w:val="none"/>
          <w14:textFill>
            <w14:solidFill>
              <w14:schemeClr w14:val="tx1"/>
            </w14:solidFill>
          </w14:textFill>
        </w:rPr>
      </w:pPr>
      <w:bookmarkStart w:id="15" w:name="_Toc49883324"/>
      <w:bookmarkStart w:id="16" w:name="_Toc48292345"/>
      <w:r>
        <w:rPr>
          <w:color w:val="000000" w:themeColor="text1"/>
          <w:highlight w:val="none"/>
          <w14:textFill>
            <w14:solidFill>
              <w14:schemeClr w14:val="tx1"/>
            </w14:solidFill>
          </w14:textFill>
        </w:rPr>
        <w:t xml:space="preserve">2.2.4  </w:t>
      </w:r>
      <w:bookmarkEnd w:id="15"/>
      <w:bookmarkEnd w:id="16"/>
      <w:r>
        <w:rPr>
          <w:rFonts w:hint="eastAsia" w:eastAsiaTheme="minorEastAsia"/>
          <w:color w:val="000000" w:themeColor="text1"/>
          <w:szCs w:val="28"/>
          <w:highlight w:val="none"/>
          <w14:textFill>
            <w14:solidFill>
              <w14:schemeClr w14:val="tx1"/>
            </w14:solidFill>
          </w14:textFill>
        </w:rPr>
        <w:t>要求</w:t>
      </w:r>
    </w:p>
    <w:p w14:paraId="7C1EDB45">
      <w:pPr>
        <w:spacing w:line="360" w:lineRule="auto"/>
        <w:ind w:firstLine="480" w:firstLineChars="200"/>
        <w:jc w:val="both"/>
        <w:rPr>
          <w:rFonts w:eastAsiaTheme="minorEastAsia"/>
          <w:color w:val="000000" w:themeColor="text1"/>
          <w:szCs w:val="28"/>
          <w:highlight w:val="none"/>
          <w14:textFill>
            <w14:solidFill>
              <w14:schemeClr w14:val="tx1"/>
            </w14:solidFill>
          </w14:textFill>
        </w:rPr>
      </w:pPr>
      <w:r>
        <w:rPr>
          <w:rFonts w:hint="eastAsia" w:eastAsiaTheme="minorEastAsia"/>
          <w:color w:val="000000" w:themeColor="text1"/>
          <w:szCs w:val="28"/>
          <w:highlight w:val="none"/>
          <w14:textFill>
            <w14:solidFill>
              <w14:schemeClr w14:val="tx1"/>
            </w14:solidFill>
          </w14:textFill>
        </w:rPr>
        <w:t>结合前期市场调研及验证试验结果，现确定主要性能包括</w:t>
      </w:r>
      <w:r>
        <w:rPr>
          <w:rFonts w:eastAsiaTheme="minorEastAsia"/>
          <w:color w:val="000000" w:themeColor="text1"/>
          <w:szCs w:val="28"/>
          <w:highlight w:val="none"/>
          <w14:textFill>
            <w14:solidFill>
              <w14:schemeClr w14:val="tx1"/>
            </w14:solidFill>
          </w14:textFill>
        </w:rPr>
        <w:t>燃烧性能</w:t>
      </w:r>
      <w:r>
        <w:rPr>
          <w:rFonts w:hint="eastAsia" w:eastAsiaTheme="minorEastAsia"/>
          <w:color w:val="000000" w:themeColor="text1"/>
          <w:szCs w:val="28"/>
          <w:highlight w:val="none"/>
          <w14:textFill>
            <w14:solidFill>
              <w14:schemeClr w14:val="tx1"/>
            </w14:solidFill>
          </w14:textFill>
        </w:rPr>
        <w:t>、</w:t>
      </w:r>
      <w:r>
        <w:rPr>
          <w:rFonts w:eastAsiaTheme="minorEastAsia"/>
          <w:color w:val="000000" w:themeColor="text1"/>
          <w:szCs w:val="28"/>
          <w:highlight w:val="none"/>
          <w14:textFill>
            <w14:solidFill>
              <w14:schemeClr w14:val="tx1"/>
            </w14:solidFill>
          </w14:textFill>
        </w:rPr>
        <w:t>力学性能</w:t>
      </w:r>
      <w:r>
        <w:rPr>
          <w:rFonts w:hint="eastAsia" w:eastAsiaTheme="minorEastAsia"/>
          <w:color w:val="000000" w:themeColor="text1"/>
          <w:szCs w:val="28"/>
          <w:highlight w:val="none"/>
          <w14:textFill>
            <w14:solidFill>
              <w14:schemeClr w14:val="tx1"/>
            </w14:solidFill>
          </w14:textFill>
        </w:rPr>
        <w:t>、耐</w:t>
      </w:r>
      <w:r>
        <w:rPr>
          <w:rFonts w:eastAsiaTheme="minorEastAsia"/>
          <w:color w:val="000000" w:themeColor="text1"/>
          <w:szCs w:val="28"/>
          <w:highlight w:val="none"/>
          <w14:textFill>
            <w14:solidFill>
              <w14:schemeClr w14:val="tx1"/>
            </w14:solidFill>
          </w14:textFill>
        </w:rPr>
        <w:t>含水率</w:t>
      </w:r>
      <w:r>
        <w:rPr>
          <w:rFonts w:hint="eastAsia" w:eastAsiaTheme="minorEastAsia"/>
          <w:color w:val="000000" w:themeColor="text1"/>
          <w:szCs w:val="28"/>
          <w:highlight w:val="none"/>
          <w14:textFill>
            <w14:solidFill>
              <w14:schemeClr w14:val="tx1"/>
            </w14:solidFill>
          </w14:textFill>
        </w:rPr>
        <w:t>、久性、环保性能等。详细可见该标准文件。</w:t>
      </w:r>
    </w:p>
    <w:p w14:paraId="0D1AECDF">
      <w:pPr>
        <w:spacing w:line="360" w:lineRule="auto"/>
        <w:ind w:firstLine="480" w:firstLineChars="200"/>
        <w:jc w:val="both"/>
        <w:rPr>
          <w:rFonts w:hint="eastAsia" w:eastAsiaTheme="minorEastAsia"/>
          <w:color w:val="000000" w:themeColor="text1"/>
          <w:szCs w:val="28"/>
          <w:highlight w:val="none"/>
          <w14:textFill>
            <w14:solidFill>
              <w14:schemeClr w14:val="tx1"/>
            </w14:solidFill>
          </w14:textFill>
        </w:rPr>
      </w:pPr>
      <w:r>
        <w:rPr>
          <w:rFonts w:hint="eastAsia" w:eastAsiaTheme="minorEastAsia"/>
          <w:color w:val="000000" w:themeColor="text1"/>
          <w:szCs w:val="28"/>
          <w:highlight w:val="none"/>
          <w14:textFill>
            <w14:solidFill>
              <w14:schemeClr w14:val="tx1"/>
            </w14:solidFill>
          </w14:textFill>
        </w:rPr>
        <w:t>2.2.4.1 燃烧性能</w:t>
      </w:r>
    </w:p>
    <w:p w14:paraId="5CFDE20E">
      <w:pPr>
        <w:spacing w:line="360" w:lineRule="auto"/>
        <w:ind w:firstLine="480" w:firstLineChars="200"/>
        <w:jc w:val="both"/>
        <w:rPr>
          <w:rFonts w:hint="eastAsia" w:eastAsiaTheme="minorEastAsia"/>
          <w:color w:val="000000" w:themeColor="text1"/>
          <w:szCs w:val="28"/>
          <w:highlight w:val="none"/>
          <w14:textFill>
            <w14:solidFill>
              <w14:schemeClr w14:val="tx1"/>
            </w14:solidFill>
          </w14:textFill>
        </w:rPr>
      </w:pPr>
      <w:r>
        <w:rPr>
          <w:rFonts w:hint="eastAsia" w:eastAsiaTheme="minorEastAsia"/>
          <w:color w:val="000000" w:themeColor="text1"/>
          <w:szCs w:val="28"/>
          <w:highlight w:val="none"/>
          <w14:textFill>
            <w14:solidFill>
              <w14:schemeClr w14:val="tx1"/>
            </w14:solidFill>
          </w14:textFill>
        </w:rPr>
        <w:t>（1） 经加压阻燃处理后的结构用木质材料的燃烧性能，应根据其作为建筑构件种类达到相应的防火等级，符合GB 50005、GB 50222、GB 55005等的防火要求。</w:t>
      </w:r>
    </w:p>
    <w:p w14:paraId="12D61206">
      <w:pPr>
        <w:spacing w:line="360" w:lineRule="auto"/>
        <w:ind w:firstLine="480" w:firstLineChars="200"/>
        <w:jc w:val="both"/>
        <w:rPr>
          <w:rFonts w:hint="eastAsia" w:eastAsiaTheme="minorEastAsia"/>
          <w:color w:val="000000" w:themeColor="text1"/>
          <w:szCs w:val="28"/>
          <w:highlight w:val="none"/>
          <w14:textFill>
            <w14:solidFill>
              <w14:schemeClr w14:val="tx1"/>
            </w14:solidFill>
          </w14:textFill>
        </w:rPr>
      </w:pPr>
      <w:r>
        <w:rPr>
          <w:rFonts w:hint="eastAsia" w:eastAsiaTheme="minorEastAsia"/>
          <w:color w:val="000000" w:themeColor="text1"/>
          <w:szCs w:val="28"/>
          <w:highlight w:val="none"/>
          <w14:textFill>
            <w14:solidFill>
              <w14:schemeClr w14:val="tx1"/>
            </w14:solidFill>
          </w14:textFill>
        </w:rPr>
        <w:t>（2） 烟气毒性等级应达到 GB 8624 中规定的 t1 级要求。</w:t>
      </w:r>
    </w:p>
    <w:p w14:paraId="397E28FA">
      <w:pPr>
        <w:spacing w:line="360" w:lineRule="auto"/>
        <w:ind w:firstLine="480" w:firstLineChars="200"/>
        <w:jc w:val="both"/>
        <w:rPr>
          <w:rFonts w:hint="eastAsia" w:eastAsiaTheme="minorEastAsia"/>
          <w:color w:val="000000" w:themeColor="text1"/>
          <w:szCs w:val="28"/>
          <w:highlight w:val="none"/>
          <w14:textFill>
            <w14:solidFill>
              <w14:schemeClr w14:val="tx1"/>
            </w14:solidFill>
          </w14:textFill>
        </w:rPr>
      </w:pPr>
      <w:r>
        <w:rPr>
          <w:rFonts w:hint="eastAsia" w:eastAsiaTheme="minorEastAsia"/>
          <w:color w:val="000000" w:themeColor="text1"/>
          <w:szCs w:val="28"/>
          <w:highlight w:val="none"/>
          <w14:textFill>
            <w14:solidFill>
              <w14:schemeClr w14:val="tx1"/>
            </w14:solidFill>
          </w14:textFill>
        </w:rPr>
        <w:t>2.2.4.2 力学性能</w:t>
      </w:r>
    </w:p>
    <w:p w14:paraId="37F6CC86">
      <w:pPr>
        <w:spacing w:line="360" w:lineRule="auto"/>
        <w:ind w:firstLine="480" w:firstLineChars="200"/>
        <w:jc w:val="both"/>
        <w:rPr>
          <w:rFonts w:hint="eastAsia" w:eastAsiaTheme="minorEastAsia"/>
          <w:color w:val="000000" w:themeColor="text1"/>
          <w:szCs w:val="28"/>
          <w:highlight w:val="none"/>
          <w14:textFill>
            <w14:solidFill>
              <w14:schemeClr w14:val="tx1"/>
            </w14:solidFill>
          </w14:textFill>
        </w:rPr>
      </w:pPr>
      <w:r>
        <w:rPr>
          <w:rFonts w:hint="eastAsia" w:eastAsiaTheme="minorEastAsia"/>
          <w:color w:val="000000" w:themeColor="text1"/>
          <w:szCs w:val="28"/>
          <w:highlight w:val="none"/>
          <w14:textFill>
            <w14:solidFill>
              <w14:schemeClr w14:val="tx1"/>
            </w14:solidFill>
          </w14:textFill>
        </w:rPr>
        <w:t>经加压阻燃处理后的结构用木质材料的力学性能应符合结构设计文件或供需双方合同的规定。</w:t>
      </w:r>
    </w:p>
    <w:p w14:paraId="1210F205">
      <w:pPr>
        <w:spacing w:line="360" w:lineRule="auto"/>
        <w:ind w:firstLine="480" w:firstLineChars="200"/>
        <w:jc w:val="both"/>
        <w:rPr>
          <w:rFonts w:hint="eastAsia" w:eastAsiaTheme="minorEastAsia"/>
          <w:color w:val="000000" w:themeColor="text1"/>
          <w:szCs w:val="28"/>
          <w:highlight w:val="none"/>
          <w14:textFill>
            <w14:solidFill>
              <w14:schemeClr w14:val="tx1"/>
            </w14:solidFill>
          </w14:textFill>
        </w:rPr>
      </w:pPr>
      <w:r>
        <w:rPr>
          <w:rFonts w:hint="eastAsia" w:eastAsiaTheme="minorEastAsia"/>
          <w:color w:val="000000" w:themeColor="text1"/>
          <w:szCs w:val="28"/>
          <w:highlight w:val="none"/>
          <w14:textFill>
            <w14:solidFill>
              <w14:schemeClr w14:val="tx1"/>
            </w14:solidFill>
          </w14:textFill>
        </w:rPr>
        <w:t>2.2.4.3 含水率</w:t>
      </w:r>
    </w:p>
    <w:p w14:paraId="2F216C47">
      <w:pPr>
        <w:spacing w:line="360" w:lineRule="auto"/>
        <w:ind w:firstLine="480" w:firstLineChars="200"/>
        <w:jc w:val="both"/>
        <w:rPr>
          <w:rFonts w:hint="eastAsia" w:eastAsiaTheme="minorEastAsia"/>
          <w:color w:val="000000" w:themeColor="text1"/>
          <w:szCs w:val="28"/>
          <w:highlight w:val="none"/>
          <w14:textFill>
            <w14:solidFill>
              <w14:schemeClr w14:val="tx1"/>
            </w14:solidFill>
          </w14:textFill>
        </w:rPr>
      </w:pPr>
      <w:r>
        <w:rPr>
          <w:rFonts w:hint="eastAsia" w:eastAsiaTheme="minorEastAsia"/>
          <w:color w:val="000000" w:themeColor="text1"/>
          <w:szCs w:val="28"/>
          <w:highlight w:val="none"/>
          <w14:textFill>
            <w14:solidFill>
              <w14:schemeClr w14:val="tx1"/>
            </w14:solidFill>
          </w14:textFill>
        </w:rPr>
        <w:t>干燥后的木质材料含水率应满足产品使用环境的要求，尽量避免产生含水率梯度而影响后期使用效果。</w:t>
      </w:r>
    </w:p>
    <w:p w14:paraId="4F264E9E">
      <w:pPr>
        <w:spacing w:line="360" w:lineRule="auto"/>
        <w:ind w:firstLine="480" w:firstLineChars="200"/>
        <w:jc w:val="both"/>
        <w:rPr>
          <w:rFonts w:hint="eastAsia" w:eastAsiaTheme="minorEastAsia"/>
          <w:color w:val="000000" w:themeColor="text1"/>
          <w:szCs w:val="28"/>
          <w:highlight w:val="none"/>
          <w14:textFill>
            <w14:solidFill>
              <w14:schemeClr w14:val="tx1"/>
            </w14:solidFill>
          </w14:textFill>
        </w:rPr>
      </w:pPr>
      <w:r>
        <w:rPr>
          <w:rFonts w:hint="eastAsia" w:eastAsiaTheme="minorEastAsia"/>
          <w:color w:val="000000" w:themeColor="text1"/>
          <w:szCs w:val="28"/>
          <w:highlight w:val="none"/>
          <w14:textFill>
            <w14:solidFill>
              <w14:schemeClr w14:val="tx1"/>
            </w14:solidFill>
          </w14:textFill>
        </w:rPr>
        <w:t>2.2.4.4 环保性能</w:t>
      </w:r>
    </w:p>
    <w:p w14:paraId="0BA2E7BB">
      <w:pPr>
        <w:spacing w:line="360" w:lineRule="auto"/>
        <w:ind w:firstLine="480" w:firstLineChars="200"/>
        <w:jc w:val="both"/>
        <w:rPr>
          <w:rFonts w:hint="eastAsia" w:eastAsiaTheme="minorEastAsia"/>
          <w:color w:val="000000" w:themeColor="text1"/>
          <w:szCs w:val="28"/>
          <w:highlight w:val="none"/>
          <w14:textFill>
            <w14:solidFill>
              <w14:schemeClr w14:val="tx1"/>
            </w14:solidFill>
          </w14:textFill>
        </w:rPr>
      </w:pPr>
      <w:r>
        <w:rPr>
          <w:rFonts w:hint="eastAsia" w:eastAsiaTheme="minorEastAsia"/>
          <w:color w:val="000000" w:themeColor="text1"/>
          <w:szCs w:val="28"/>
          <w:highlight w:val="none"/>
          <w14:textFill>
            <w14:solidFill>
              <w14:schemeClr w14:val="tx1"/>
            </w14:solidFill>
          </w14:textFill>
        </w:rPr>
        <w:t>（1） 甲醛释放量：不应超过0.124mg/m³（E1 级），优选达到ENF 级（≤0.025mg/m³）。</w:t>
      </w:r>
    </w:p>
    <w:p w14:paraId="03A0ACBB">
      <w:pPr>
        <w:spacing w:line="360" w:lineRule="auto"/>
        <w:ind w:firstLine="480" w:firstLineChars="200"/>
        <w:jc w:val="both"/>
        <w:rPr>
          <w:rFonts w:hint="eastAsia" w:eastAsiaTheme="minorEastAsia"/>
          <w:color w:val="000000" w:themeColor="text1"/>
          <w:szCs w:val="28"/>
          <w:highlight w:val="none"/>
          <w14:textFill>
            <w14:solidFill>
              <w14:schemeClr w14:val="tx1"/>
            </w14:solidFill>
          </w14:textFill>
        </w:rPr>
      </w:pPr>
      <w:r>
        <w:rPr>
          <w:rFonts w:hint="eastAsia" w:eastAsiaTheme="minorEastAsia"/>
          <w:color w:val="000000" w:themeColor="text1"/>
          <w:szCs w:val="28"/>
          <w:highlight w:val="none"/>
          <w14:textFill>
            <w14:solidFill>
              <w14:schemeClr w14:val="tx1"/>
            </w14:solidFill>
          </w14:textFill>
        </w:rPr>
        <w:t>（2） TVOC 释放率：72小时释放率不应超过0.50mg/m³（室内型）或 0.20mg/m³（环保型）。</w:t>
      </w:r>
    </w:p>
    <w:p w14:paraId="4431C81F">
      <w:pPr>
        <w:spacing w:line="360" w:lineRule="auto"/>
        <w:ind w:firstLine="480" w:firstLineChars="200"/>
        <w:jc w:val="both"/>
        <w:rPr>
          <w:rFonts w:hint="eastAsia" w:eastAsiaTheme="minorEastAsia"/>
          <w:color w:val="000000" w:themeColor="text1"/>
          <w:szCs w:val="28"/>
          <w:highlight w:val="none"/>
          <w14:textFill>
            <w14:solidFill>
              <w14:schemeClr w14:val="tx1"/>
            </w14:solidFill>
          </w14:textFill>
        </w:rPr>
      </w:pPr>
      <w:r>
        <w:rPr>
          <w:rFonts w:hint="eastAsia" w:eastAsiaTheme="minorEastAsia"/>
          <w:color w:val="000000" w:themeColor="text1"/>
          <w:szCs w:val="28"/>
          <w:highlight w:val="none"/>
          <w14:textFill>
            <w14:solidFill>
              <w14:schemeClr w14:val="tx1"/>
            </w14:solidFill>
          </w14:textFill>
        </w:rPr>
        <w:t>（3） 重金属含量：对于暴露在消费者触手可及环境中的加压法阻燃结构用木质材料，其中金属含量可参照GB 18584的限量要求或供需双方协定。</w:t>
      </w:r>
    </w:p>
    <w:p w14:paraId="7F4109A2">
      <w:pPr>
        <w:pStyle w:val="27"/>
        <w:spacing w:before="326" w:beforeLines="100" w:after="326" w:afterLines="100"/>
        <w:rPr>
          <w:rFonts w:ascii="Times New Roman"/>
          <w:color w:val="000000" w:themeColor="text1"/>
          <w:sz w:val="28"/>
          <w:szCs w:val="28"/>
          <w:highlight w:val="none"/>
          <w14:textFill>
            <w14:solidFill>
              <w14:schemeClr w14:val="tx1"/>
            </w14:solidFill>
          </w14:textFill>
        </w:rPr>
      </w:pPr>
      <w:bookmarkStart w:id="17" w:name="_Toc6146"/>
      <w:r>
        <w:rPr>
          <w:rFonts w:hint="eastAsia" w:ascii="Times New Roman"/>
          <w:color w:val="000000" w:themeColor="text1"/>
          <w:sz w:val="28"/>
          <w:szCs w:val="28"/>
          <w:highlight w:val="none"/>
          <w14:textFill>
            <w14:solidFill>
              <w14:schemeClr w14:val="tx1"/>
            </w14:solidFill>
          </w14:textFill>
        </w:rPr>
        <w:t>3 主要试验（或验证）情况分析</w:t>
      </w:r>
      <w:bookmarkEnd w:id="17"/>
    </w:p>
    <w:p w14:paraId="1AB6A647">
      <w:pPr>
        <w:spacing w:line="360" w:lineRule="auto"/>
        <w:ind w:firstLine="480" w:firstLineChars="200"/>
        <w:jc w:val="both"/>
        <w:rPr>
          <w:rFonts w:hint="eastAsia" w:eastAsiaTheme="minorEastAsia"/>
          <w:color w:val="0000FF"/>
          <w:szCs w:val="28"/>
          <w:highlight w:val="none"/>
        </w:rPr>
      </w:pPr>
      <w:r>
        <w:rPr>
          <w:rFonts w:hint="eastAsia" w:eastAsiaTheme="minorEastAsia"/>
          <w:color w:val="0000FF"/>
          <w:szCs w:val="28"/>
          <w:highlight w:val="none"/>
        </w:rPr>
        <w:t>本标准修订过程中，标准编制组充分调研了国内主要加压浸注处理木质材料的各项性能，征求了业界专家及技术支撑单位的意见建议，并选取几种典型加压阻燃处理的结构用木质材料按照本标准规定进行检测，试验验证了本标准的适用性、可靠性和重复性。试验程序稳定可靠，试验数据重复性较好，标准内容科学、合理、先进，试验可操作性强。标准的测试方法、技术要求以及标准的应用符合我国国情。</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36"/>
        <w:gridCol w:w="1937"/>
        <w:gridCol w:w="1937"/>
        <w:gridCol w:w="1937"/>
        <w:gridCol w:w="1937"/>
      </w:tblGrid>
      <w:tr w14:paraId="0484CD7A">
        <w:trPr>
          <w:trHeight w:val="344" w:hRule="atLeast"/>
        </w:trPr>
        <w:tc>
          <w:tcPr>
            <w:tcW w:w="3873" w:type="dxa"/>
            <w:gridSpan w:val="2"/>
            <w:vAlign w:val="top"/>
          </w:tcPr>
          <w:p w14:paraId="07564F98">
            <w:pPr>
              <w:spacing w:line="360" w:lineRule="auto"/>
              <w:jc w:val="center"/>
              <w:rPr>
                <w:rFonts w:hint="default" w:eastAsiaTheme="minorEastAsia"/>
                <w:color w:val="0000FF"/>
                <w:szCs w:val="28"/>
                <w:highlight w:val="none"/>
                <w:vertAlign w:val="baseline"/>
                <w:lang w:val="en-US" w:eastAsia="zh-CN"/>
              </w:rPr>
            </w:pPr>
            <w:r>
              <w:rPr>
                <w:rFonts w:hint="eastAsia" w:eastAsiaTheme="minorEastAsia"/>
                <w:color w:val="0000FF"/>
                <w:szCs w:val="28"/>
                <w:highlight w:val="none"/>
                <w:vertAlign w:val="baseline"/>
                <w:lang w:val="en-US" w:eastAsia="zh-CN"/>
              </w:rPr>
              <w:t>项目名称</w:t>
            </w:r>
          </w:p>
        </w:tc>
        <w:tc>
          <w:tcPr>
            <w:tcW w:w="1937" w:type="dxa"/>
            <w:vAlign w:val="top"/>
          </w:tcPr>
          <w:p w14:paraId="23FF7F79">
            <w:pPr>
              <w:spacing w:line="360" w:lineRule="auto"/>
              <w:jc w:val="center"/>
              <w:rPr>
                <w:rFonts w:hint="eastAsia" w:eastAsiaTheme="minorEastAsia"/>
                <w:color w:val="0000FF"/>
                <w:szCs w:val="28"/>
                <w:highlight w:val="none"/>
                <w:vertAlign w:val="baseline"/>
              </w:rPr>
            </w:pPr>
            <w:r>
              <w:rPr>
                <w:rFonts w:hint="eastAsia" w:eastAsiaTheme="minorEastAsia"/>
                <w:color w:val="0000FF"/>
                <w:szCs w:val="28"/>
                <w:highlight w:val="none"/>
                <w:vertAlign w:val="baseline"/>
                <w:lang w:val="en-US" w:eastAsia="zh-CN"/>
              </w:rPr>
              <w:t>样品1</w:t>
            </w:r>
          </w:p>
        </w:tc>
        <w:tc>
          <w:tcPr>
            <w:tcW w:w="1937" w:type="dxa"/>
            <w:vAlign w:val="top"/>
          </w:tcPr>
          <w:p w14:paraId="519F2D6B">
            <w:pPr>
              <w:spacing w:line="360" w:lineRule="auto"/>
              <w:jc w:val="center"/>
              <w:rPr>
                <w:rFonts w:hint="eastAsia" w:eastAsiaTheme="minorEastAsia"/>
                <w:color w:val="0000FF"/>
                <w:szCs w:val="28"/>
                <w:highlight w:val="none"/>
                <w:vertAlign w:val="baseline"/>
              </w:rPr>
            </w:pPr>
            <w:r>
              <w:rPr>
                <w:rFonts w:hint="eastAsia" w:eastAsiaTheme="minorEastAsia"/>
                <w:color w:val="0000FF"/>
                <w:szCs w:val="28"/>
                <w:highlight w:val="none"/>
                <w:vertAlign w:val="baseline"/>
                <w:lang w:val="en-US" w:eastAsia="zh-CN"/>
              </w:rPr>
              <w:t>样品2</w:t>
            </w:r>
          </w:p>
        </w:tc>
        <w:tc>
          <w:tcPr>
            <w:tcW w:w="1937" w:type="dxa"/>
            <w:vAlign w:val="top"/>
          </w:tcPr>
          <w:p w14:paraId="09A996BC">
            <w:pPr>
              <w:spacing w:line="360" w:lineRule="auto"/>
              <w:jc w:val="center"/>
              <w:rPr>
                <w:rFonts w:hint="eastAsia" w:eastAsiaTheme="minorEastAsia"/>
                <w:color w:val="0000FF"/>
                <w:szCs w:val="28"/>
                <w:highlight w:val="none"/>
                <w:vertAlign w:val="baseline"/>
              </w:rPr>
            </w:pPr>
            <w:r>
              <w:rPr>
                <w:rFonts w:hint="eastAsia" w:eastAsiaTheme="minorEastAsia"/>
                <w:color w:val="0000FF"/>
                <w:szCs w:val="28"/>
                <w:highlight w:val="none"/>
                <w:vertAlign w:val="baseline"/>
                <w:lang w:val="en-US" w:eastAsia="zh-CN"/>
              </w:rPr>
              <w:t>样品3</w:t>
            </w:r>
          </w:p>
        </w:tc>
      </w:tr>
      <w:tr w14:paraId="5EF4156A">
        <w:tc>
          <w:tcPr>
            <w:tcW w:w="1936" w:type="dxa"/>
            <w:vMerge w:val="restart"/>
            <w:vAlign w:val="top"/>
          </w:tcPr>
          <w:p w14:paraId="07D08C66">
            <w:pPr>
              <w:spacing w:line="360" w:lineRule="auto"/>
              <w:jc w:val="center"/>
              <w:rPr>
                <w:rFonts w:hint="eastAsia" w:eastAsiaTheme="minorEastAsia"/>
                <w:color w:val="0000FF"/>
                <w:szCs w:val="28"/>
                <w:highlight w:val="none"/>
                <w:vertAlign w:val="baseline"/>
              </w:rPr>
            </w:pPr>
            <w:r>
              <w:rPr>
                <w:rFonts w:hint="eastAsia" w:eastAsiaTheme="minorEastAsia"/>
                <w:color w:val="000000" w:themeColor="text1"/>
                <w:szCs w:val="28"/>
                <w:highlight w:val="none"/>
                <w14:textFill>
                  <w14:solidFill>
                    <w14:schemeClr w14:val="tx1"/>
                  </w14:solidFill>
                </w14:textFill>
              </w:rPr>
              <w:t>燃烧性能</w:t>
            </w:r>
          </w:p>
        </w:tc>
        <w:tc>
          <w:tcPr>
            <w:tcW w:w="1937" w:type="dxa"/>
            <w:vAlign w:val="top"/>
          </w:tcPr>
          <w:p w14:paraId="44256D3E">
            <w:pPr>
              <w:spacing w:line="360" w:lineRule="auto"/>
              <w:jc w:val="center"/>
              <w:rPr>
                <w:rFonts w:hint="eastAsia" w:eastAsiaTheme="minorEastAsia"/>
                <w:color w:val="0000FF"/>
                <w:szCs w:val="28"/>
                <w:highlight w:val="none"/>
                <w:vertAlign w:val="baseline"/>
              </w:rPr>
            </w:pPr>
            <w:r>
              <w:rPr>
                <w:rFonts w:hint="eastAsia"/>
                <w:highlight w:val="none"/>
              </w:rPr>
              <w:t>防火等级</w:t>
            </w:r>
          </w:p>
        </w:tc>
        <w:tc>
          <w:tcPr>
            <w:tcW w:w="1937" w:type="dxa"/>
            <w:vAlign w:val="top"/>
          </w:tcPr>
          <w:p w14:paraId="1C05388C">
            <w:pPr>
              <w:spacing w:line="360" w:lineRule="auto"/>
              <w:jc w:val="center"/>
              <w:rPr>
                <w:rFonts w:hint="default" w:eastAsiaTheme="minorEastAsia"/>
                <w:color w:val="0000FF"/>
                <w:szCs w:val="28"/>
                <w:highlight w:val="none"/>
                <w:vertAlign w:val="baseline"/>
                <w:lang w:val="en-US" w:eastAsia="zh-CN"/>
              </w:rPr>
            </w:pPr>
            <w:r>
              <w:rPr>
                <w:rFonts w:hint="eastAsia" w:eastAsiaTheme="minorEastAsia"/>
                <w:color w:val="0000FF"/>
                <w:szCs w:val="28"/>
                <w:highlight w:val="none"/>
                <w:vertAlign w:val="baseline"/>
                <w:lang w:val="en-US" w:eastAsia="zh-CN"/>
              </w:rPr>
              <w:t>B1</w:t>
            </w:r>
          </w:p>
        </w:tc>
        <w:tc>
          <w:tcPr>
            <w:tcW w:w="1937" w:type="dxa"/>
            <w:vAlign w:val="top"/>
          </w:tcPr>
          <w:p w14:paraId="0DE8416B">
            <w:pPr>
              <w:spacing w:line="360" w:lineRule="auto"/>
              <w:jc w:val="center"/>
              <w:rPr>
                <w:rFonts w:hint="eastAsia" w:eastAsiaTheme="minorEastAsia"/>
                <w:color w:val="0000FF"/>
                <w:szCs w:val="28"/>
                <w:highlight w:val="none"/>
                <w:vertAlign w:val="baseline"/>
              </w:rPr>
            </w:pPr>
            <w:r>
              <w:rPr>
                <w:rFonts w:hint="eastAsia" w:eastAsiaTheme="minorEastAsia"/>
                <w:color w:val="0000FF"/>
                <w:szCs w:val="28"/>
                <w:highlight w:val="none"/>
                <w:vertAlign w:val="baseline"/>
                <w:lang w:val="en-US" w:eastAsia="zh-CN"/>
              </w:rPr>
              <w:t>B1</w:t>
            </w:r>
          </w:p>
        </w:tc>
        <w:tc>
          <w:tcPr>
            <w:tcW w:w="1937" w:type="dxa"/>
            <w:vAlign w:val="top"/>
          </w:tcPr>
          <w:p w14:paraId="2F62F4B5">
            <w:pPr>
              <w:spacing w:line="360" w:lineRule="auto"/>
              <w:jc w:val="center"/>
              <w:rPr>
                <w:rFonts w:hint="eastAsia" w:eastAsiaTheme="minorEastAsia"/>
                <w:color w:val="0000FF"/>
                <w:szCs w:val="28"/>
                <w:highlight w:val="none"/>
                <w:vertAlign w:val="baseline"/>
              </w:rPr>
            </w:pPr>
            <w:r>
              <w:rPr>
                <w:rFonts w:hint="eastAsia" w:eastAsiaTheme="minorEastAsia"/>
                <w:color w:val="0000FF"/>
                <w:szCs w:val="28"/>
                <w:highlight w:val="none"/>
                <w:vertAlign w:val="baseline"/>
                <w:lang w:val="en-US" w:eastAsia="zh-CN"/>
              </w:rPr>
              <w:t>B1</w:t>
            </w:r>
          </w:p>
        </w:tc>
      </w:tr>
      <w:tr w14:paraId="1073435B">
        <w:tc>
          <w:tcPr>
            <w:tcW w:w="1936" w:type="dxa"/>
            <w:vMerge w:val="continue"/>
            <w:vAlign w:val="top"/>
          </w:tcPr>
          <w:p w14:paraId="000AABE8">
            <w:pPr>
              <w:spacing w:line="360" w:lineRule="auto"/>
              <w:jc w:val="center"/>
              <w:rPr>
                <w:rFonts w:hint="eastAsia" w:eastAsiaTheme="minorEastAsia"/>
                <w:color w:val="0000FF"/>
                <w:szCs w:val="28"/>
                <w:highlight w:val="none"/>
                <w:vertAlign w:val="baseline"/>
              </w:rPr>
            </w:pPr>
          </w:p>
        </w:tc>
        <w:tc>
          <w:tcPr>
            <w:tcW w:w="1937" w:type="dxa"/>
            <w:vAlign w:val="top"/>
          </w:tcPr>
          <w:p w14:paraId="494DDCCE">
            <w:pPr>
              <w:spacing w:line="360" w:lineRule="auto"/>
              <w:jc w:val="center"/>
              <w:rPr>
                <w:rFonts w:hint="eastAsia" w:eastAsiaTheme="minorEastAsia"/>
                <w:color w:val="0000FF"/>
                <w:szCs w:val="28"/>
                <w:highlight w:val="none"/>
                <w:vertAlign w:val="baseline"/>
              </w:rPr>
            </w:pPr>
            <w:r>
              <w:rPr>
                <w:highlight w:val="none"/>
              </w:rPr>
              <w:t>烟气毒性等级</w:t>
            </w:r>
          </w:p>
        </w:tc>
        <w:tc>
          <w:tcPr>
            <w:tcW w:w="1937" w:type="dxa"/>
            <w:vAlign w:val="top"/>
          </w:tcPr>
          <w:p w14:paraId="3B95FE90">
            <w:pPr>
              <w:spacing w:line="360" w:lineRule="auto"/>
              <w:jc w:val="center"/>
              <w:rPr>
                <w:rFonts w:hint="eastAsia" w:eastAsiaTheme="minorEastAsia"/>
                <w:color w:val="0000FF"/>
                <w:szCs w:val="28"/>
                <w:highlight w:val="none"/>
                <w:vertAlign w:val="baseline"/>
              </w:rPr>
            </w:pPr>
            <w:r>
              <w:rPr>
                <w:highlight w:val="none"/>
              </w:rPr>
              <w:t>t1</w:t>
            </w:r>
          </w:p>
        </w:tc>
        <w:tc>
          <w:tcPr>
            <w:tcW w:w="1937" w:type="dxa"/>
            <w:vAlign w:val="top"/>
          </w:tcPr>
          <w:p w14:paraId="2A2307D7">
            <w:pPr>
              <w:spacing w:line="360" w:lineRule="auto"/>
              <w:jc w:val="center"/>
              <w:rPr>
                <w:rFonts w:hint="eastAsia" w:eastAsiaTheme="minorEastAsia"/>
                <w:color w:val="0000FF"/>
                <w:szCs w:val="28"/>
                <w:highlight w:val="none"/>
                <w:vertAlign w:val="baseline"/>
              </w:rPr>
            </w:pPr>
            <w:r>
              <w:rPr>
                <w:highlight w:val="none"/>
              </w:rPr>
              <w:t>t1</w:t>
            </w:r>
          </w:p>
        </w:tc>
        <w:tc>
          <w:tcPr>
            <w:tcW w:w="1937" w:type="dxa"/>
            <w:vAlign w:val="top"/>
          </w:tcPr>
          <w:p w14:paraId="3AC1AD89">
            <w:pPr>
              <w:spacing w:line="360" w:lineRule="auto"/>
              <w:jc w:val="center"/>
              <w:rPr>
                <w:rFonts w:hint="eastAsia" w:eastAsiaTheme="minorEastAsia"/>
                <w:color w:val="0000FF"/>
                <w:szCs w:val="28"/>
                <w:highlight w:val="none"/>
                <w:vertAlign w:val="baseline"/>
              </w:rPr>
            </w:pPr>
            <w:r>
              <w:rPr>
                <w:highlight w:val="none"/>
              </w:rPr>
              <w:t>t1</w:t>
            </w:r>
          </w:p>
        </w:tc>
      </w:tr>
      <w:tr w14:paraId="5F43A641">
        <w:tc>
          <w:tcPr>
            <w:tcW w:w="3873" w:type="dxa"/>
            <w:gridSpan w:val="2"/>
            <w:vAlign w:val="top"/>
          </w:tcPr>
          <w:p w14:paraId="39F97ADD">
            <w:pPr>
              <w:spacing w:line="360" w:lineRule="auto"/>
              <w:jc w:val="center"/>
              <w:rPr>
                <w:rFonts w:hint="eastAsia" w:eastAsiaTheme="minorEastAsia"/>
                <w:color w:val="0000FF"/>
                <w:szCs w:val="28"/>
                <w:highlight w:val="none"/>
                <w:vertAlign w:val="baseline"/>
              </w:rPr>
            </w:pPr>
            <w:r>
              <w:rPr>
                <w:highlight w:val="none"/>
              </w:rPr>
              <w:t>力学性能</w:t>
            </w:r>
          </w:p>
        </w:tc>
        <w:tc>
          <w:tcPr>
            <w:tcW w:w="1937" w:type="dxa"/>
            <w:vAlign w:val="top"/>
          </w:tcPr>
          <w:p w14:paraId="11B1A734">
            <w:pPr>
              <w:spacing w:line="360" w:lineRule="auto"/>
              <w:jc w:val="center"/>
              <w:rPr>
                <w:rFonts w:hint="default" w:eastAsiaTheme="minorEastAsia"/>
                <w:color w:val="0000FF"/>
                <w:szCs w:val="28"/>
                <w:highlight w:val="none"/>
                <w:vertAlign w:val="baseline"/>
                <w:lang w:val="en-US" w:eastAsia="zh-CN"/>
              </w:rPr>
            </w:pPr>
            <w:r>
              <w:rPr>
                <w:rFonts w:hint="eastAsia" w:eastAsiaTheme="minorEastAsia"/>
                <w:color w:val="0000FF"/>
                <w:szCs w:val="28"/>
                <w:highlight w:val="none"/>
                <w:vertAlign w:val="baseline"/>
                <w:lang w:val="en-US" w:eastAsia="zh-CN"/>
              </w:rPr>
              <w:t>符合</w:t>
            </w:r>
          </w:p>
        </w:tc>
        <w:tc>
          <w:tcPr>
            <w:tcW w:w="1937" w:type="dxa"/>
            <w:vAlign w:val="top"/>
          </w:tcPr>
          <w:p w14:paraId="1E385C4A">
            <w:pPr>
              <w:spacing w:line="360" w:lineRule="auto"/>
              <w:jc w:val="center"/>
              <w:rPr>
                <w:rFonts w:hint="eastAsia" w:eastAsiaTheme="minorEastAsia"/>
                <w:color w:val="0000FF"/>
                <w:szCs w:val="28"/>
                <w:highlight w:val="none"/>
                <w:vertAlign w:val="baseline"/>
              </w:rPr>
            </w:pPr>
            <w:r>
              <w:rPr>
                <w:rFonts w:hint="eastAsia" w:eastAsiaTheme="minorEastAsia"/>
                <w:color w:val="0000FF"/>
                <w:szCs w:val="28"/>
                <w:highlight w:val="none"/>
                <w:vertAlign w:val="baseline"/>
                <w:lang w:val="en-US" w:eastAsia="zh-CN"/>
              </w:rPr>
              <w:t>符合</w:t>
            </w:r>
          </w:p>
        </w:tc>
        <w:tc>
          <w:tcPr>
            <w:tcW w:w="1937" w:type="dxa"/>
            <w:vAlign w:val="top"/>
          </w:tcPr>
          <w:p w14:paraId="55422925">
            <w:pPr>
              <w:spacing w:line="360" w:lineRule="auto"/>
              <w:jc w:val="center"/>
              <w:rPr>
                <w:rFonts w:hint="eastAsia" w:eastAsiaTheme="minorEastAsia"/>
                <w:color w:val="0000FF"/>
                <w:szCs w:val="28"/>
                <w:highlight w:val="none"/>
                <w:vertAlign w:val="baseline"/>
              </w:rPr>
            </w:pPr>
            <w:r>
              <w:rPr>
                <w:rFonts w:hint="eastAsia" w:eastAsiaTheme="minorEastAsia"/>
                <w:color w:val="0000FF"/>
                <w:szCs w:val="28"/>
                <w:highlight w:val="none"/>
                <w:vertAlign w:val="baseline"/>
                <w:lang w:val="en-US" w:eastAsia="zh-CN"/>
              </w:rPr>
              <w:t>符合</w:t>
            </w:r>
          </w:p>
        </w:tc>
      </w:tr>
      <w:tr w14:paraId="3E81436C">
        <w:tc>
          <w:tcPr>
            <w:tcW w:w="3873" w:type="dxa"/>
            <w:gridSpan w:val="2"/>
            <w:vAlign w:val="top"/>
          </w:tcPr>
          <w:p w14:paraId="77DDC2EC">
            <w:pPr>
              <w:spacing w:line="360" w:lineRule="auto"/>
              <w:jc w:val="center"/>
              <w:rPr>
                <w:rFonts w:hint="eastAsia" w:eastAsiaTheme="minorEastAsia"/>
                <w:color w:val="0000FF"/>
                <w:szCs w:val="28"/>
                <w:highlight w:val="none"/>
                <w:vertAlign w:val="baseline"/>
              </w:rPr>
            </w:pPr>
            <w:r>
              <w:rPr>
                <w:rFonts w:hint="eastAsia"/>
                <w:highlight w:val="none"/>
              </w:rPr>
              <w:t>含水率</w:t>
            </w:r>
          </w:p>
        </w:tc>
        <w:tc>
          <w:tcPr>
            <w:tcW w:w="1937" w:type="dxa"/>
            <w:vAlign w:val="top"/>
          </w:tcPr>
          <w:p w14:paraId="4D52781F">
            <w:pPr>
              <w:spacing w:line="360" w:lineRule="auto"/>
              <w:jc w:val="center"/>
              <w:rPr>
                <w:rFonts w:hint="eastAsia" w:eastAsiaTheme="minorEastAsia"/>
                <w:color w:val="0000FF"/>
                <w:szCs w:val="28"/>
                <w:highlight w:val="none"/>
                <w:vertAlign w:val="baseline"/>
              </w:rPr>
            </w:pPr>
            <w:r>
              <w:rPr>
                <w:rFonts w:hint="eastAsia" w:eastAsiaTheme="minorEastAsia"/>
                <w:color w:val="0000FF"/>
                <w:szCs w:val="28"/>
                <w:highlight w:val="none"/>
                <w:vertAlign w:val="baseline"/>
                <w:lang w:val="en-US" w:eastAsia="zh-CN"/>
              </w:rPr>
              <w:t>符合</w:t>
            </w:r>
          </w:p>
        </w:tc>
        <w:tc>
          <w:tcPr>
            <w:tcW w:w="1937" w:type="dxa"/>
            <w:vAlign w:val="top"/>
          </w:tcPr>
          <w:p w14:paraId="61ADF878">
            <w:pPr>
              <w:spacing w:line="360" w:lineRule="auto"/>
              <w:jc w:val="center"/>
              <w:rPr>
                <w:rFonts w:hint="eastAsia" w:eastAsiaTheme="minorEastAsia"/>
                <w:color w:val="0000FF"/>
                <w:szCs w:val="28"/>
                <w:highlight w:val="none"/>
                <w:vertAlign w:val="baseline"/>
              </w:rPr>
            </w:pPr>
            <w:r>
              <w:rPr>
                <w:rFonts w:hint="eastAsia" w:eastAsiaTheme="minorEastAsia"/>
                <w:color w:val="0000FF"/>
                <w:szCs w:val="28"/>
                <w:highlight w:val="none"/>
                <w:vertAlign w:val="baseline"/>
                <w:lang w:val="en-US" w:eastAsia="zh-CN"/>
              </w:rPr>
              <w:t>符合</w:t>
            </w:r>
          </w:p>
        </w:tc>
        <w:tc>
          <w:tcPr>
            <w:tcW w:w="1937" w:type="dxa"/>
            <w:vAlign w:val="top"/>
          </w:tcPr>
          <w:p w14:paraId="759AE935">
            <w:pPr>
              <w:spacing w:line="360" w:lineRule="auto"/>
              <w:jc w:val="center"/>
              <w:rPr>
                <w:rFonts w:hint="eastAsia" w:eastAsiaTheme="minorEastAsia"/>
                <w:color w:val="0000FF"/>
                <w:szCs w:val="28"/>
                <w:highlight w:val="none"/>
                <w:vertAlign w:val="baseline"/>
              </w:rPr>
            </w:pPr>
            <w:r>
              <w:rPr>
                <w:rFonts w:hint="eastAsia" w:eastAsiaTheme="minorEastAsia"/>
                <w:color w:val="0000FF"/>
                <w:szCs w:val="28"/>
                <w:highlight w:val="none"/>
                <w:vertAlign w:val="baseline"/>
                <w:lang w:val="en-US" w:eastAsia="zh-CN"/>
              </w:rPr>
              <w:t>符合</w:t>
            </w:r>
          </w:p>
        </w:tc>
      </w:tr>
      <w:tr w14:paraId="626DA499">
        <w:tc>
          <w:tcPr>
            <w:tcW w:w="1936" w:type="dxa"/>
            <w:vMerge w:val="restart"/>
            <w:shd w:val="clear" w:color="auto" w:fill="auto"/>
            <w:vAlign w:val="top"/>
          </w:tcPr>
          <w:p w14:paraId="1CE05663">
            <w:pPr>
              <w:spacing w:line="360" w:lineRule="auto"/>
              <w:jc w:val="center"/>
              <w:rPr>
                <w:rFonts w:hint="eastAsia" w:ascii="宋体" w:hAnsi="宋体" w:cs="宋体" w:eastAsiaTheme="minorEastAsia"/>
                <w:color w:val="0000FF"/>
                <w:sz w:val="24"/>
                <w:szCs w:val="28"/>
                <w:highlight w:val="none"/>
                <w:vertAlign w:val="baseline"/>
                <w:lang w:val="en-US" w:eastAsia="zh-CN" w:bidi="ar-SA"/>
              </w:rPr>
            </w:pPr>
            <w:r>
              <w:rPr>
                <w:highlight w:val="none"/>
              </w:rPr>
              <w:t>环保性能</w:t>
            </w:r>
          </w:p>
        </w:tc>
        <w:tc>
          <w:tcPr>
            <w:tcW w:w="1937" w:type="dxa"/>
            <w:shd w:val="clear" w:color="auto" w:fill="auto"/>
            <w:vAlign w:val="top"/>
          </w:tcPr>
          <w:p w14:paraId="48316906">
            <w:pPr>
              <w:spacing w:line="360" w:lineRule="auto"/>
              <w:jc w:val="center"/>
              <w:rPr>
                <w:rFonts w:hint="eastAsia" w:ascii="宋体" w:hAnsi="宋体" w:cs="宋体" w:eastAsiaTheme="minorEastAsia"/>
                <w:color w:val="0000FF"/>
                <w:sz w:val="24"/>
                <w:szCs w:val="28"/>
                <w:highlight w:val="none"/>
                <w:vertAlign w:val="baseline"/>
                <w:lang w:val="en-US" w:eastAsia="zh-CN" w:bidi="ar-SA"/>
              </w:rPr>
            </w:pPr>
            <w:r>
              <w:rPr>
                <w:highlight w:val="none"/>
              </w:rPr>
              <w:t>甲醛释放量</w:t>
            </w:r>
          </w:p>
        </w:tc>
        <w:tc>
          <w:tcPr>
            <w:tcW w:w="1937" w:type="dxa"/>
            <w:vAlign w:val="top"/>
          </w:tcPr>
          <w:p w14:paraId="798BEC87">
            <w:pPr>
              <w:spacing w:line="360" w:lineRule="auto"/>
              <w:jc w:val="center"/>
              <w:rPr>
                <w:rFonts w:hint="default" w:eastAsiaTheme="minorEastAsia"/>
                <w:color w:val="0000FF"/>
                <w:szCs w:val="28"/>
                <w:highlight w:val="none"/>
                <w:vertAlign w:val="baseline"/>
                <w:lang w:val="en-US" w:eastAsia="zh-CN"/>
              </w:rPr>
            </w:pPr>
            <w:r>
              <w:rPr>
                <w:rFonts w:hint="eastAsia" w:eastAsiaTheme="minorEastAsia"/>
                <w:color w:val="0000FF"/>
                <w:szCs w:val="28"/>
                <w:highlight w:val="none"/>
                <w:vertAlign w:val="baseline"/>
                <w:lang w:val="en-US" w:eastAsia="zh-CN"/>
              </w:rPr>
              <w:t>低于检出线</w:t>
            </w:r>
          </w:p>
        </w:tc>
        <w:tc>
          <w:tcPr>
            <w:tcW w:w="1937" w:type="dxa"/>
            <w:vAlign w:val="top"/>
          </w:tcPr>
          <w:p w14:paraId="5C70487C">
            <w:pPr>
              <w:spacing w:line="360" w:lineRule="auto"/>
              <w:jc w:val="center"/>
              <w:rPr>
                <w:rFonts w:hint="default" w:eastAsiaTheme="minorEastAsia"/>
                <w:color w:val="0000FF"/>
                <w:szCs w:val="28"/>
                <w:highlight w:val="none"/>
                <w:vertAlign w:val="baseline"/>
                <w:lang w:val="en-US"/>
              </w:rPr>
            </w:pPr>
            <w:r>
              <w:rPr>
                <w:rFonts w:hint="eastAsia" w:eastAsiaTheme="minorEastAsia"/>
                <w:color w:val="0000FF"/>
                <w:szCs w:val="28"/>
                <w:highlight w:val="none"/>
                <w:vertAlign w:val="baseline"/>
                <w:lang w:val="en-US" w:eastAsia="zh-CN"/>
              </w:rPr>
              <w:t>低于检出线</w:t>
            </w:r>
          </w:p>
        </w:tc>
        <w:tc>
          <w:tcPr>
            <w:tcW w:w="1937" w:type="dxa"/>
            <w:vAlign w:val="top"/>
          </w:tcPr>
          <w:p w14:paraId="00B94DE4">
            <w:pPr>
              <w:spacing w:line="360" w:lineRule="auto"/>
              <w:jc w:val="center"/>
              <w:rPr>
                <w:rFonts w:hint="eastAsia" w:eastAsiaTheme="minorEastAsia"/>
                <w:color w:val="0000FF"/>
                <w:szCs w:val="28"/>
                <w:highlight w:val="none"/>
                <w:vertAlign w:val="baseline"/>
              </w:rPr>
            </w:pPr>
            <w:r>
              <w:rPr>
                <w:rFonts w:hint="eastAsia" w:eastAsiaTheme="minorEastAsia"/>
                <w:color w:val="0000FF"/>
                <w:szCs w:val="28"/>
                <w:highlight w:val="none"/>
                <w:vertAlign w:val="baseline"/>
                <w:lang w:val="en-US" w:eastAsia="zh-CN"/>
              </w:rPr>
              <w:t>低于检出线</w:t>
            </w:r>
          </w:p>
        </w:tc>
      </w:tr>
      <w:tr w14:paraId="5B5AF408">
        <w:tc>
          <w:tcPr>
            <w:tcW w:w="1936" w:type="dxa"/>
            <w:vMerge w:val="continue"/>
            <w:shd w:val="clear" w:color="auto" w:fill="auto"/>
            <w:vAlign w:val="top"/>
          </w:tcPr>
          <w:p w14:paraId="18A476C1">
            <w:pPr>
              <w:spacing w:line="360" w:lineRule="auto"/>
              <w:jc w:val="center"/>
              <w:rPr>
                <w:rFonts w:hint="eastAsia" w:ascii="宋体" w:hAnsi="宋体" w:cs="宋体" w:eastAsiaTheme="minorEastAsia"/>
                <w:color w:val="0000FF"/>
                <w:sz w:val="24"/>
                <w:szCs w:val="28"/>
                <w:highlight w:val="none"/>
                <w:vertAlign w:val="baseline"/>
                <w:lang w:val="en-US" w:eastAsia="zh-CN" w:bidi="ar-SA"/>
              </w:rPr>
            </w:pPr>
          </w:p>
        </w:tc>
        <w:tc>
          <w:tcPr>
            <w:tcW w:w="1937" w:type="dxa"/>
            <w:shd w:val="clear" w:color="auto" w:fill="auto"/>
            <w:vAlign w:val="top"/>
          </w:tcPr>
          <w:p w14:paraId="6281C795">
            <w:pPr>
              <w:spacing w:line="360" w:lineRule="auto"/>
              <w:jc w:val="center"/>
              <w:rPr>
                <w:rFonts w:hint="eastAsia" w:ascii="宋体" w:hAnsi="宋体" w:cs="宋体" w:eastAsiaTheme="minorEastAsia"/>
                <w:color w:val="0000FF"/>
                <w:sz w:val="24"/>
                <w:szCs w:val="28"/>
                <w:highlight w:val="none"/>
                <w:vertAlign w:val="baseline"/>
                <w:lang w:val="en-US" w:eastAsia="zh-CN" w:bidi="ar-SA"/>
              </w:rPr>
            </w:pPr>
            <w:r>
              <w:rPr>
                <w:highlight w:val="none"/>
              </w:rPr>
              <w:t>TVOC 释放率</w:t>
            </w:r>
          </w:p>
        </w:tc>
        <w:tc>
          <w:tcPr>
            <w:tcW w:w="1937" w:type="dxa"/>
            <w:vAlign w:val="top"/>
          </w:tcPr>
          <w:p w14:paraId="0B0996FB">
            <w:pPr>
              <w:spacing w:line="360" w:lineRule="auto"/>
              <w:jc w:val="center"/>
              <w:rPr>
                <w:rFonts w:hint="default" w:eastAsiaTheme="minorEastAsia"/>
                <w:color w:val="0000FF"/>
                <w:szCs w:val="28"/>
                <w:highlight w:val="none"/>
                <w:vertAlign w:val="baseline"/>
                <w:lang w:val="en-US" w:eastAsia="zh-CN"/>
              </w:rPr>
            </w:pPr>
            <w:r>
              <w:rPr>
                <w:rFonts w:hint="eastAsia" w:eastAsiaTheme="minorEastAsia"/>
                <w:color w:val="0000FF"/>
                <w:szCs w:val="28"/>
                <w:highlight w:val="none"/>
                <w:vertAlign w:val="baseline"/>
                <w:lang w:val="en-US" w:eastAsia="zh-CN"/>
              </w:rPr>
              <w:t>0.42</w:t>
            </w:r>
          </w:p>
        </w:tc>
        <w:tc>
          <w:tcPr>
            <w:tcW w:w="1937" w:type="dxa"/>
            <w:vAlign w:val="top"/>
          </w:tcPr>
          <w:p w14:paraId="0E901A76">
            <w:pPr>
              <w:spacing w:line="360" w:lineRule="auto"/>
              <w:jc w:val="center"/>
              <w:rPr>
                <w:rFonts w:hint="default" w:eastAsiaTheme="minorEastAsia"/>
                <w:color w:val="0000FF"/>
                <w:szCs w:val="28"/>
                <w:highlight w:val="none"/>
                <w:vertAlign w:val="baseline"/>
                <w:lang w:val="en-US" w:eastAsia="zh-CN"/>
              </w:rPr>
            </w:pPr>
            <w:r>
              <w:rPr>
                <w:rFonts w:hint="eastAsia" w:eastAsiaTheme="minorEastAsia"/>
                <w:color w:val="0000FF"/>
                <w:szCs w:val="28"/>
                <w:highlight w:val="none"/>
                <w:vertAlign w:val="baseline"/>
                <w:lang w:val="en-US" w:eastAsia="zh-CN"/>
              </w:rPr>
              <w:t>0.44</w:t>
            </w:r>
          </w:p>
        </w:tc>
        <w:tc>
          <w:tcPr>
            <w:tcW w:w="1937" w:type="dxa"/>
            <w:vAlign w:val="top"/>
          </w:tcPr>
          <w:p w14:paraId="0B23C300">
            <w:pPr>
              <w:spacing w:line="360" w:lineRule="auto"/>
              <w:jc w:val="center"/>
              <w:rPr>
                <w:rFonts w:hint="eastAsia" w:eastAsiaTheme="minorEastAsia"/>
                <w:color w:val="0000FF"/>
                <w:szCs w:val="28"/>
                <w:highlight w:val="none"/>
                <w:vertAlign w:val="baseline"/>
              </w:rPr>
            </w:pPr>
            <w:r>
              <w:rPr>
                <w:rFonts w:hint="eastAsia" w:eastAsiaTheme="minorEastAsia"/>
                <w:color w:val="0000FF"/>
                <w:szCs w:val="28"/>
                <w:highlight w:val="none"/>
                <w:vertAlign w:val="baseline"/>
                <w:lang w:val="en-US" w:eastAsia="zh-CN"/>
              </w:rPr>
              <w:t>0.45</w:t>
            </w:r>
          </w:p>
        </w:tc>
      </w:tr>
    </w:tbl>
    <w:p w14:paraId="731AE4AF">
      <w:pPr>
        <w:spacing w:line="360" w:lineRule="auto"/>
        <w:ind w:firstLine="480" w:firstLineChars="200"/>
        <w:jc w:val="both"/>
        <w:rPr>
          <w:rFonts w:hint="eastAsia" w:eastAsiaTheme="minorEastAsia"/>
          <w:color w:val="0000FF"/>
          <w:szCs w:val="28"/>
          <w:highlight w:val="none"/>
        </w:rPr>
      </w:pPr>
    </w:p>
    <w:p w14:paraId="3D077CA6">
      <w:pPr>
        <w:pStyle w:val="27"/>
        <w:spacing w:before="326" w:beforeLines="100" w:after="326" w:afterLines="100"/>
        <w:rPr>
          <w:rFonts w:ascii="Times New Roman"/>
          <w:color w:val="000000" w:themeColor="text1"/>
          <w:sz w:val="28"/>
          <w:szCs w:val="28"/>
          <w:highlight w:val="none"/>
          <w14:textFill>
            <w14:solidFill>
              <w14:schemeClr w14:val="tx1"/>
            </w14:solidFill>
          </w14:textFill>
        </w:rPr>
      </w:pPr>
      <w:bookmarkStart w:id="18" w:name="_Toc28968"/>
      <w:r>
        <w:rPr>
          <w:rFonts w:hint="eastAsia" w:ascii="Times New Roman"/>
          <w:color w:val="000000" w:themeColor="text1"/>
          <w:sz w:val="28"/>
          <w:szCs w:val="28"/>
          <w:highlight w:val="none"/>
          <w14:textFill>
            <w14:solidFill>
              <w14:schemeClr w14:val="tx1"/>
            </w14:solidFill>
          </w14:textFill>
        </w:rPr>
        <w:t>4</w:t>
      </w:r>
      <w:r>
        <w:rPr>
          <w:rFonts w:ascii="Times New Roman"/>
          <w:color w:val="000000" w:themeColor="text1"/>
          <w:sz w:val="28"/>
          <w:szCs w:val="28"/>
          <w:highlight w:val="none"/>
          <w14:textFill>
            <w14:solidFill>
              <w14:schemeClr w14:val="tx1"/>
            </w14:solidFill>
          </w14:textFill>
        </w:rPr>
        <w:t xml:space="preserve"> 标准中涉及专利</w:t>
      </w:r>
      <w:r>
        <w:rPr>
          <w:rFonts w:hint="eastAsia" w:ascii="Times New Roman"/>
          <w:color w:val="000000" w:themeColor="text1"/>
          <w:sz w:val="28"/>
          <w:szCs w:val="28"/>
          <w:highlight w:val="none"/>
          <w14:textFill>
            <w14:solidFill>
              <w14:schemeClr w14:val="tx1"/>
            </w14:solidFill>
          </w14:textFill>
        </w:rPr>
        <w:t>、知识产权</w:t>
      </w:r>
      <w:r>
        <w:rPr>
          <w:rFonts w:ascii="Times New Roman"/>
          <w:color w:val="000000" w:themeColor="text1"/>
          <w:sz w:val="28"/>
          <w:szCs w:val="28"/>
          <w:highlight w:val="none"/>
          <w14:textFill>
            <w14:solidFill>
              <w14:schemeClr w14:val="tx1"/>
            </w14:solidFill>
          </w14:textFill>
        </w:rPr>
        <w:t>情况说明</w:t>
      </w:r>
      <w:bookmarkEnd w:id="18"/>
    </w:p>
    <w:p w14:paraId="6345C7CA">
      <w:pPr>
        <w:spacing w:line="360" w:lineRule="auto"/>
        <w:ind w:firstLine="480"/>
        <w:jc w:val="both"/>
        <w:rPr>
          <w:rFonts w:hint="eastAsia" w:eastAsiaTheme="minorEastAsia"/>
          <w:color w:val="000000" w:themeColor="text1"/>
          <w:szCs w:val="28"/>
          <w:highlight w:val="none"/>
          <w14:textFill>
            <w14:solidFill>
              <w14:schemeClr w14:val="tx1"/>
            </w14:solidFill>
          </w14:textFill>
        </w:rPr>
      </w:pPr>
      <w:r>
        <w:rPr>
          <w:rFonts w:eastAsiaTheme="minorEastAsia"/>
          <w:color w:val="000000" w:themeColor="text1"/>
          <w:szCs w:val="28"/>
          <w:highlight w:val="none"/>
          <w14:textFill>
            <w14:solidFill>
              <w14:schemeClr w14:val="tx1"/>
            </w14:solidFill>
          </w14:textFill>
        </w:rPr>
        <w:t>本标准</w:t>
      </w:r>
      <w:r>
        <w:rPr>
          <w:rFonts w:hint="eastAsia" w:eastAsiaTheme="minorEastAsia"/>
          <w:color w:val="000000" w:themeColor="text1"/>
          <w:szCs w:val="28"/>
          <w:highlight w:val="none"/>
          <w14:textFill>
            <w14:solidFill>
              <w14:schemeClr w14:val="tx1"/>
            </w14:solidFill>
          </w14:textFill>
        </w:rPr>
        <w:t>不</w:t>
      </w:r>
      <w:r>
        <w:rPr>
          <w:rFonts w:eastAsiaTheme="minorEastAsia"/>
          <w:color w:val="000000" w:themeColor="text1"/>
          <w:szCs w:val="28"/>
          <w:highlight w:val="none"/>
          <w14:textFill>
            <w14:solidFill>
              <w14:schemeClr w14:val="tx1"/>
            </w14:solidFill>
          </w14:textFill>
        </w:rPr>
        <w:t>涉及</w:t>
      </w:r>
      <w:r>
        <w:rPr>
          <w:rFonts w:hint="eastAsia" w:eastAsiaTheme="minorEastAsia"/>
          <w:color w:val="000000" w:themeColor="text1"/>
          <w:szCs w:val="28"/>
          <w:highlight w:val="none"/>
          <w14:textFill>
            <w14:solidFill>
              <w14:schemeClr w14:val="tx1"/>
            </w14:solidFill>
          </w14:textFill>
        </w:rPr>
        <w:t>相关</w:t>
      </w:r>
      <w:r>
        <w:rPr>
          <w:rFonts w:eastAsiaTheme="minorEastAsia"/>
          <w:color w:val="000000" w:themeColor="text1"/>
          <w:szCs w:val="28"/>
          <w:highlight w:val="none"/>
          <w14:textFill>
            <w14:solidFill>
              <w14:schemeClr w14:val="tx1"/>
            </w14:solidFill>
          </w14:textFill>
        </w:rPr>
        <w:t>专利</w:t>
      </w:r>
      <w:r>
        <w:rPr>
          <w:rFonts w:hint="eastAsia" w:eastAsiaTheme="minorEastAsia"/>
          <w:color w:val="000000" w:themeColor="text1"/>
          <w:szCs w:val="28"/>
          <w:highlight w:val="none"/>
          <w14:textFill>
            <w14:solidFill>
              <w14:schemeClr w14:val="tx1"/>
            </w14:solidFill>
          </w14:textFill>
        </w:rPr>
        <w:t>问题</w:t>
      </w:r>
      <w:r>
        <w:rPr>
          <w:rFonts w:eastAsiaTheme="minorEastAsia"/>
          <w:color w:val="000000" w:themeColor="text1"/>
          <w:szCs w:val="28"/>
          <w:highlight w:val="none"/>
          <w14:textFill>
            <w14:solidFill>
              <w14:schemeClr w14:val="tx1"/>
            </w14:solidFill>
          </w14:textFill>
        </w:rPr>
        <w:t>。</w:t>
      </w:r>
    </w:p>
    <w:p w14:paraId="04CAECBA">
      <w:pPr>
        <w:pStyle w:val="27"/>
        <w:spacing w:before="326" w:beforeLines="100" w:after="326" w:afterLines="100"/>
        <w:rPr>
          <w:rFonts w:ascii="Times New Roman"/>
          <w:color w:val="000000" w:themeColor="text1"/>
          <w:sz w:val="28"/>
          <w:szCs w:val="28"/>
          <w:highlight w:val="none"/>
          <w14:textFill>
            <w14:solidFill>
              <w14:schemeClr w14:val="tx1"/>
            </w14:solidFill>
          </w14:textFill>
        </w:rPr>
      </w:pPr>
      <w:bookmarkStart w:id="19" w:name="_Toc32470"/>
      <w:r>
        <w:rPr>
          <w:rFonts w:hint="eastAsia" w:ascii="Times New Roman"/>
          <w:color w:val="000000" w:themeColor="text1"/>
          <w:sz w:val="28"/>
          <w:szCs w:val="28"/>
          <w:highlight w:val="none"/>
          <w14:textFill>
            <w14:solidFill>
              <w14:schemeClr w14:val="tx1"/>
            </w14:solidFill>
          </w14:textFill>
        </w:rPr>
        <w:t>5</w:t>
      </w:r>
      <w:r>
        <w:rPr>
          <w:rFonts w:ascii="Times New Roman"/>
          <w:color w:val="000000" w:themeColor="text1"/>
          <w:sz w:val="28"/>
          <w:szCs w:val="28"/>
          <w:highlight w:val="none"/>
          <w14:textFill>
            <w14:solidFill>
              <w14:schemeClr w14:val="tx1"/>
            </w14:solidFill>
          </w14:textFill>
        </w:rPr>
        <w:t xml:space="preserve"> </w:t>
      </w:r>
      <w:r>
        <w:rPr>
          <w:rFonts w:hint="eastAsia" w:ascii="Times New Roman"/>
          <w:color w:val="000000" w:themeColor="text1"/>
          <w:sz w:val="28"/>
          <w:szCs w:val="28"/>
          <w:highlight w:val="none"/>
          <w14:textFill>
            <w14:solidFill>
              <w14:schemeClr w14:val="tx1"/>
            </w14:solidFill>
          </w14:textFill>
        </w:rPr>
        <w:t>产业化情况、推广应用论证和预期达到的经济效果等情况</w:t>
      </w:r>
      <w:bookmarkEnd w:id="19"/>
    </w:p>
    <w:p w14:paraId="51D3F349">
      <w:pPr>
        <w:spacing w:line="360" w:lineRule="auto"/>
        <w:ind w:firstLine="480" w:firstLineChars="200"/>
        <w:jc w:val="both"/>
        <w:rPr>
          <w:rFonts w:hint="eastAsia" w:eastAsiaTheme="majorEastAsia"/>
          <w:color w:val="000000" w:themeColor="text1"/>
          <w:highlight w:val="none"/>
          <w14:textFill>
            <w14:solidFill>
              <w14:schemeClr w14:val="tx1"/>
            </w14:solidFill>
          </w14:textFill>
        </w:rPr>
      </w:pPr>
      <w:r>
        <w:rPr>
          <w:rFonts w:hint="eastAsia" w:eastAsiaTheme="majorEastAsia"/>
          <w:color w:val="000000" w:themeColor="text1"/>
          <w:highlight w:val="none"/>
          <w14:textFill>
            <w14:solidFill>
              <w14:schemeClr w14:val="tx1"/>
            </w14:solidFill>
          </w14:textFill>
        </w:rPr>
        <w:t>随着人们生活水平的提高和对居住环境安全、舒适要求的提升，市场对阻燃木质材料的需求日益增长。在建筑行业，新建建筑项目需要符合严格的消防安全标准，加压法阻燃处理结构用木质材料因其良好的防火性能成为建筑结构和内部装修的理想选择。同时，既有建筑的改造和翻新也对该类材料产生了大量需求，以提升建筑的防火安全性。在家具市场，消费者对家具的安全性和环保性关注度不断提高。阻燃处理的木质家具能够为家庭提供更安全的使用环境，尤其是有儿童和老人的家庭，对阻燃家具的需求更为迫切。此外，酒店、商场、学校、医院等公共场所对家具的防火性能也有明确的规定，这进一步推动了加压法阻燃处理结构用木质材料在家具领域的应用。装饰行业同样对该材料有着旺盛的需求。无论是室内墙面、天花板的装饰，还是户外景观设施的建设，加压法阻燃处理结构用木质材料都能凭借其美观、耐用、防火等特点，满足装饰设计的多样化需求。</w:t>
      </w:r>
    </w:p>
    <w:p w14:paraId="4F838BD9">
      <w:pPr>
        <w:spacing w:line="360" w:lineRule="auto"/>
        <w:ind w:firstLine="480" w:firstLineChars="200"/>
        <w:jc w:val="both"/>
        <w:rPr>
          <w:rFonts w:hint="eastAsia" w:eastAsiaTheme="majorEastAsia"/>
          <w:color w:val="000000" w:themeColor="text1"/>
          <w:highlight w:val="none"/>
          <w14:textFill>
            <w14:solidFill>
              <w14:schemeClr w14:val="tx1"/>
            </w14:solidFill>
          </w14:textFill>
        </w:rPr>
      </w:pPr>
      <w:r>
        <w:rPr>
          <w:rFonts w:hint="eastAsia" w:eastAsiaTheme="majorEastAsia"/>
          <w:color w:val="000000" w:themeColor="text1"/>
          <w:highlight w:val="none"/>
          <w14:textFill>
            <w14:solidFill>
              <w14:schemeClr w14:val="tx1"/>
            </w14:solidFill>
          </w14:textFill>
        </w:rPr>
        <w:t>加压法阻燃处理结构用木质材料在性能方面具有诸多显著优势。通过真空加压浸渍处理，可大幅提高木材密度、强度及尺寸稳定性，且可赋予木材阻燃、耐腐等新功能。加压浸渍改性处理后木材密度提高20%～60%，静曲强度（MOR）和弹性模量（MOE）分别提高30%和20%以上，抗胀率≥50%；甲醛释放量达到日本F☆☆☆☆标准（≤0.3mg/L）；阻燃性能达到GB8624-2012 规定的B1级水平；防腐性能达到GB/T13942.1-2009规定的耐腐等级Ⅱ级。这些优异的性能使得该材料在建筑、家具、装饰等领域具有广泛的应用前景。</w:t>
      </w:r>
    </w:p>
    <w:p w14:paraId="4D675133">
      <w:pPr>
        <w:pStyle w:val="27"/>
        <w:spacing w:before="326" w:beforeLines="100" w:after="326" w:afterLines="100"/>
        <w:rPr>
          <w:rFonts w:ascii="Times New Roman"/>
          <w:color w:val="000000" w:themeColor="text1"/>
          <w:sz w:val="28"/>
          <w:szCs w:val="28"/>
          <w:highlight w:val="none"/>
          <w14:textFill>
            <w14:solidFill>
              <w14:schemeClr w14:val="tx1"/>
            </w14:solidFill>
          </w14:textFill>
        </w:rPr>
      </w:pPr>
      <w:bookmarkStart w:id="20" w:name="_Toc14685"/>
      <w:r>
        <w:rPr>
          <w:rFonts w:hint="eastAsia" w:ascii="Times New Roman"/>
          <w:color w:val="000000" w:themeColor="text1"/>
          <w:sz w:val="28"/>
          <w:szCs w:val="28"/>
          <w:highlight w:val="none"/>
          <w14:textFill>
            <w14:solidFill>
              <w14:schemeClr w14:val="tx1"/>
            </w14:solidFill>
          </w14:textFill>
        </w:rPr>
        <w:t>6</w:t>
      </w:r>
      <w:r>
        <w:rPr>
          <w:rFonts w:ascii="Times New Roman"/>
          <w:color w:val="000000" w:themeColor="text1"/>
          <w:sz w:val="28"/>
          <w:szCs w:val="28"/>
          <w:highlight w:val="none"/>
          <w14:textFill>
            <w14:solidFill>
              <w14:schemeClr w14:val="tx1"/>
            </w14:solidFill>
          </w14:textFill>
        </w:rPr>
        <w:t xml:space="preserve"> 采用国际标准</w:t>
      </w:r>
      <w:bookmarkEnd w:id="20"/>
    </w:p>
    <w:p w14:paraId="0FA2F543">
      <w:pPr>
        <w:ind w:firstLine="480" w:firstLineChars="200"/>
        <w:jc w:val="both"/>
        <w:rPr>
          <w:rFonts w:hint="eastAsia"/>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无。</w:t>
      </w:r>
    </w:p>
    <w:p w14:paraId="79A7B5BF">
      <w:pPr>
        <w:pStyle w:val="27"/>
        <w:spacing w:before="326" w:beforeLines="100" w:after="326" w:afterLines="100"/>
        <w:rPr>
          <w:rFonts w:ascii="Times New Roman"/>
          <w:color w:val="000000" w:themeColor="text1"/>
          <w:sz w:val="28"/>
          <w:szCs w:val="28"/>
          <w:highlight w:val="none"/>
          <w14:textFill>
            <w14:solidFill>
              <w14:schemeClr w14:val="tx1"/>
            </w14:solidFill>
          </w14:textFill>
        </w:rPr>
      </w:pPr>
      <w:bookmarkStart w:id="21" w:name="_Toc4672"/>
      <w:r>
        <w:rPr>
          <w:rFonts w:hint="eastAsia" w:ascii="Times New Roman"/>
          <w:color w:val="000000" w:themeColor="text1"/>
          <w:sz w:val="28"/>
          <w:szCs w:val="28"/>
          <w:highlight w:val="none"/>
          <w14:textFill>
            <w14:solidFill>
              <w14:schemeClr w14:val="tx1"/>
            </w14:solidFill>
          </w14:textFill>
        </w:rPr>
        <w:t>7</w:t>
      </w:r>
      <w:r>
        <w:rPr>
          <w:rFonts w:ascii="Times New Roman"/>
          <w:color w:val="000000" w:themeColor="text1"/>
          <w:sz w:val="28"/>
          <w:szCs w:val="28"/>
          <w:highlight w:val="none"/>
          <w14:textFill>
            <w14:solidFill>
              <w14:schemeClr w14:val="tx1"/>
            </w14:solidFill>
          </w14:textFill>
        </w:rPr>
        <w:t xml:space="preserve"> 与现行相关法律、法规、规章及相关标准</w:t>
      </w:r>
      <w:r>
        <w:rPr>
          <w:rFonts w:hint="eastAsia" w:ascii="Times New Roman"/>
          <w:color w:val="000000" w:themeColor="text1"/>
          <w:sz w:val="28"/>
          <w:szCs w:val="28"/>
          <w:highlight w:val="none"/>
          <w14:textFill>
            <w14:solidFill>
              <w14:schemeClr w14:val="tx1"/>
            </w14:solidFill>
          </w14:textFill>
        </w:rPr>
        <w:t>，特别是强制性标准</w:t>
      </w:r>
      <w:r>
        <w:rPr>
          <w:rFonts w:ascii="Times New Roman"/>
          <w:color w:val="000000" w:themeColor="text1"/>
          <w:sz w:val="28"/>
          <w:szCs w:val="28"/>
          <w:highlight w:val="none"/>
          <w14:textFill>
            <w14:solidFill>
              <w14:schemeClr w14:val="tx1"/>
            </w14:solidFill>
          </w14:textFill>
        </w:rPr>
        <w:t>的协调</w:t>
      </w:r>
      <w:r>
        <w:rPr>
          <w:rFonts w:hint="eastAsia" w:ascii="Times New Roman"/>
          <w:color w:val="000000" w:themeColor="text1"/>
          <w:sz w:val="28"/>
          <w:szCs w:val="28"/>
          <w:highlight w:val="none"/>
          <w14:textFill>
            <w14:solidFill>
              <w14:schemeClr w14:val="tx1"/>
            </w14:solidFill>
          </w14:textFill>
        </w:rPr>
        <w:t>性</w:t>
      </w:r>
      <w:bookmarkEnd w:id="21"/>
    </w:p>
    <w:p w14:paraId="45ACBA98">
      <w:pPr>
        <w:spacing w:line="360" w:lineRule="auto"/>
        <w:ind w:firstLine="480" w:firstLineChars="200"/>
        <w:jc w:val="both"/>
        <w:rPr>
          <w:rFonts w:hint="eastAsia" w:eastAsiaTheme="majorEastAsia"/>
          <w:color w:val="000000" w:themeColor="text1"/>
          <w:highlight w:val="none"/>
          <w14:textFill>
            <w14:solidFill>
              <w14:schemeClr w14:val="tx1"/>
            </w14:solidFill>
          </w14:textFill>
        </w:rPr>
      </w:pPr>
      <w:r>
        <w:rPr>
          <w:rFonts w:hint="eastAsia" w:eastAsiaTheme="majorEastAsia"/>
          <w:color w:val="000000" w:themeColor="text1"/>
          <w:highlight w:val="none"/>
          <w14:textFill>
            <w14:solidFill>
              <w14:schemeClr w14:val="tx1"/>
            </w14:solidFill>
          </w14:textFill>
        </w:rPr>
        <w:t>本文件符合国家现行法律、法规、规章的规定，符合 GB/T 1.1《标准化工作导则》系列标准的要求，并与相关现行的国家标准、行业标准和规范协调一致。</w:t>
      </w:r>
    </w:p>
    <w:p w14:paraId="06109F48">
      <w:pPr>
        <w:pStyle w:val="27"/>
        <w:spacing w:before="326" w:beforeLines="100" w:after="326" w:afterLines="100"/>
        <w:rPr>
          <w:rFonts w:ascii="Times New Roman"/>
          <w:color w:val="000000" w:themeColor="text1"/>
          <w:sz w:val="28"/>
          <w:szCs w:val="28"/>
          <w:highlight w:val="none"/>
          <w14:textFill>
            <w14:solidFill>
              <w14:schemeClr w14:val="tx1"/>
            </w14:solidFill>
          </w14:textFill>
        </w:rPr>
      </w:pPr>
      <w:bookmarkStart w:id="22" w:name="_Toc5282"/>
      <w:r>
        <w:rPr>
          <w:rFonts w:hint="eastAsia" w:ascii="Times New Roman"/>
          <w:color w:val="000000" w:themeColor="text1"/>
          <w:sz w:val="28"/>
          <w:szCs w:val="28"/>
          <w:highlight w:val="none"/>
          <w14:textFill>
            <w14:solidFill>
              <w14:schemeClr w14:val="tx1"/>
            </w14:solidFill>
          </w14:textFill>
        </w:rPr>
        <w:t>8</w:t>
      </w:r>
      <w:r>
        <w:rPr>
          <w:rFonts w:ascii="Times New Roman"/>
          <w:color w:val="000000" w:themeColor="text1"/>
          <w:sz w:val="28"/>
          <w:szCs w:val="28"/>
          <w:highlight w:val="none"/>
          <w14:textFill>
            <w14:solidFill>
              <w14:schemeClr w14:val="tx1"/>
            </w14:solidFill>
          </w14:textFill>
        </w:rPr>
        <w:t xml:space="preserve"> 重大意见分歧的处理依据和结果</w:t>
      </w:r>
      <w:bookmarkEnd w:id="22"/>
    </w:p>
    <w:p w14:paraId="46BB3505">
      <w:pPr>
        <w:spacing w:line="360" w:lineRule="auto"/>
        <w:ind w:firstLine="480" w:firstLineChars="200"/>
        <w:jc w:val="both"/>
        <w:rPr>
          <w:rFonts w:hint="eastAsia" w:eastAsiaTheme="minorEastAsia"/>
          <w:color w:val="000000" w:themeColor="text1"/>
          <w:szCs w:val="28"/>
          <w:highlight w:val="none"/>
          <w14:textFill>
            <w14:solidFill>
              <w14:schemeClr w14:val="tx1"/>
            </w14:solidFill>
          </w14:textFill>
        </w:rPr>
      </w:pPr>
      <w:r>
        <w:rPr>
          <w:rFonts w:hint="eastAsia" w:eastAsiaTheme="minorEastAsia"/>
          <w:color w:val="000000" w:themeColor="text1"/>
          <w:szCs w:val="28"/>
          <w:highlight w:val="none"/>
          <w14:textFill>
            <w14:solidFill>
              <w14:schemeClr w14:val="tx1"/>
            </w14:solidFill>
          </w14:textFill>
        </w:rPr>
        <w:t>无。</w:t>
      </w:r>
    </w:p>
    <w:p w14:paraId="5A54F6B1">
      <w:pPr>
        <w:pStyle w:val="27"/>
        <w:spacing w:before="326" w:beforeLines="100" w:after="326" w:afterLines="100"/>
        <w:rPr>
          <w:rFonts w:ascii="Times New Roman"/>
          <w:color w:val="000000" w:themeColor="text1"/>
          <w:sz w:val="28"/>
          <w:szCs w:val="28"/>
          <w:highlight w:val="none"/>
          <w14:textFill>
            <w14:solidFill>
              <w14:schemeClr w14:val="tx1"/>
            </w14:solidFill>
          </w14:textFill>
        </w:rPr>
      </w:pPr>
      <w:bookmarkStart w:id="23" w:name="_Toc13065"/>
      <w:r>
        <w:rPr>
          <w:rFonts w:hint="eastAsia" w:ascii="Times New Roman"/>
          <w:color w:val="000000" w:themeColor="text1"/>
          <w:sz w:val="28"/>
          <w:szCs w:val="28"/>
          <w:highlight w:val="none"/>
          <w14:textFill>
            <w14:solidFill>
              <w14:schemeClr w14:val="tx1"/>
            </w14:solidFill>
          </w14:textFill>
        </w:rPr>
        <w:t>9</w:t>
      </w:r>
      <w:r>
        <w:rPr>
          <w:rFonts w:ascii="Times New Roman"/>
          <w:color w:val="000000" w:themeColor="text1"/>
          <w:sz w:val="28"/>
          <w:szCs w:val="28"/>
          <w:highlight w:val="none"/>
          <w14:textFill>
            <w14:solidFill>
              <w14:schemeClr w14:val="tx1"/>
            </w14:solidFill>
          </w14:textFill>
        </w:rPr>
        <w:t xml:space="preserve"> </w:t>
      </w:r>
      <w:r>
        <w:rPr>
          <w:rFonts w:hint="eastAsia" w:ascii="Times New Roman"/>
          <w:color w:val="000000" w:themeColor="text1"/>
          <w:sz w:val="28"/>
          <w:szCs w:val="28"/>
          <w:highlight w:val="none"/>
          <w14:textFill>
            <w14:solidFill>
              <w14:schemeClr w14:val="tx1"/>
            </w14:solidFill>
          </w14:textFill>
        </w:rPr>
        <w:t>标准性质的建议说明</w:t>
      </w:r>
      <w:bookmarkEnd w:id="23"/>
    </w:p>
    <w:p w14:paraId="1C409677">
      <w:pPr>
        <w:spacing w:line="360" w:lineRule="auto"/>
        <w:ind w:firstLine="480" w:firstLineChars="200"/>
        <w:jc w:val="both"/>
        <w:rPr>
          <w:rFonts w:hint="eastAsia" w:eastAsiaTheme="minorEastAsia"/>
          <w:color w:val="000000" w:themeColor="text1"/>
          <w:szCs w:val="28"/>
          <w:highlight w:val="none"/>
          <w14:textFill>
            <w14:solidFill>
              <w14:schemeClr w14:val="tx1"/>
            </w14:solidFill>
          </w14:textFill>
        </w:rPr>
      </w:pPr>
      <w:r>
        <w:rPr>
          <w:rFonts w:hint="eastAsia" w:eastAsiaTheme="minorEastAsia"/>
          <w:color w:val="000000" w:themeColor="text1"/>
          <w:szCs w:val="28"/>
          <w:highlight w:val="none"/>
          <w14:textFill>
            <w14:solidFill>
              <w14:schemeClr w14:val="tx1"/>
            </w14:solidFill>
          </w14:textFill>
        </w:rPr>
        <w:t>建议本标准为推荐性，发布后立即实施。</w:t>
      </w:r>
    </w:p>
    <w:p w14:paraId="60A57F55">
      <w:pPr>
        <w:pStyle w:val="27"/>
        <w:spacing w:before="326" w:beforeLines="100" w:after="326" w:afterLines="100"/>
        <w:rPr>
          <w:rFonts w:ascii="Times New Roman"/>
          <w:color w:val="000000" w:themeColor="text1"/>
          <w:sz w:val="28"/>
          <w:szCs w:val="28"/>
          <w:highlight w:val="none"/>
          <w14:textFill>
            <w14:solidFill>
              <w14:schemeClr w14:val="tx1"/>
            </w14:solidFill>
          </w14:textFill>
        </w:rPr>
      </w:pPr>
      <w:bookmarkStart w:id="24" w:name="_Toc16667"/>
      <w:r>
        <w:rPr>
          <w:rFonts w:hint="eastAsia" w:ascii="Times New Roman"/>
          <w:color w:val="000000" w:themeColor="text1"/>
          <w:sz w:val="28"/>
          <w:szCs w:val="28"/>
          <w:highlight w:val="none"/>
          <w14:textFill>
            <w14:solidFill>
              <w14:schemeClr w14:val="tx1"/>
            </w14:solidFill>
          </w14:textFill>
        </w:rPr>
        <w:t>10</w:t>
      </w:r>
      <w:r>
        <w:rPr>
          <w:rFonts w:ascii="Times New Roman"/>
          <w:color w:val="000000" w:themeColor="text1"/>
          <w:sz w:val="28"/>
          <w:szCs w:val="28"/>
          <w:highlight w:val="none"/>
          <w14:textFill>
            <w14:solidFill>
              <w14:schemeClr w14:val="tx1"/>
            </w14:solidFill>
          </w14:textFill>
        </w:rPr>
        <w:t xml:space="preserve"> 贯彻标准的措施建议</w:t>
      </w:r>
      <w:bookmarkEnd w:id="24"/>
    </w:p>
    <w:p w14:paraId="06FFC087">
      <w:pPr>
        <w:pStyle w:val="27"/>
        <w:spacing w:before="326" w:beforeLines="100" w:after="326" w:afterLines="100"/>
        <w:ind w:firstLine="480" w:firstLineChars="200"/>
        <w:rPr>
          <w:rFonts w:hint="eastAsia" w:ascii="宋体" w:hAnsi="宋体" w:cs="宋体" w:eastAsiaTheme="majorEastAsia"/>
          <w:color w:val="000000" w:themeColor="text1"/>
          <w:sz w:val="24"/>
          <w:szCs w:val="24"/>
          <w:highlight w:val="none"/>
          <w14:textFill>
            <w14:solidFill>
              <w14:schemeClr w14:val="tx1"/>
            </w14:solidFill>
          </w14:textFill>
        </w:rPr>
      </w:pPr>
      <w:bookmarkStart w:id="25" w:name="_Toc17267"/>
      <w:bookmarkStart w:id="26" w:name="_Toc22297"/>
      <w:bookmarkStart w:id="27" w:name="_Toc12074"/>
      <w:bookmarkStart w:id="28" w:name="_Toc3394"/>
      <w:r>
        <w:rPr>
          <w:rFonts w:hint="eastAsia" w:ascii="宋体" w:hAnsi="宋体" w:cs="宋体" w:eastAsiaTheme="majorEastAsia"/>
          <w:color w:val="000000" w:themeColor="text1"/>
          <w:sz w:val="24"/>
          <w:szCs w:val="24"/>
          <w:highlight w:val="none"/>
          <w14:textFill>
            <w14:solidFill>
              <w14:schemeClr w14:val="tx1"/>
            </w14:solidFill>
          </w14:textFill>
        </w:rPr>
        <w:t>本标准批准发布后，建议由主编单位组织相关阻燃处理木质材料生产企业、质量检验、施工应用等单位进行宣贯。</w:t>
      </w:r>
      <w:bookmarkEnd w:id="25"/>
      <w:bookmarkEnd w:id="26"/>
      <w:bookmarkEnd w:id="27"/>
      <w:bookmarkEnd w:id="28"/>
    </w:p>
    <w:p w14:paraId="0FE3AF55">
      <w:pPr>
        <w:pStyle w:val="27"/>
        <w:spacing w:before="326" w:beforeLines="100" w:after="326" w:afterLines="100"/>
        <w:rPr>
          <w:rFonts w:ascii="Times New Roman"/>
          <w:color w:val="000000" w:themeColor="text1"/>
          <w:sz w:val="28"/>
          <w:szCs w:val="28"/>
          <w:highlight w:val="none"/>
          <w14:textFill>
            <w14:solidFill>
              <w14:schemeClr w14:val="tx1"/>
            </w14:solidFill>
          </w14:textFill>
        </w:rPr>
      </w:pPr>
      <w:bookmarkStart w:id="29" w:name="_Toc28456"/>
      <w:r>
        <w:rPr>
          <w:rFonts w:ascii="Times New Roman"/>
          <w:color w:val="000000" w:themeColor="text1"/>
          <w:sz w:val="28"/>
          <w:szCs w:val="28"/>
          <w:highlight w:val="none"/>
          <w14:textFill>
            <w14:solidFill>
              <w14:schemeClr w14:val="tx1"/>
            </w14:solidFill>
          </w14:textFill>
        </w:rPr>
        <w:t>1</w:t>
      </w:r>
      <w:r>
        <w:rPr>
          <w:rFonts w:hint="eastAsia" w:ascii="Times New Roman"/>
          <w:color w:val="000000" w:themeColor="text1"/>
          <w:sz w:val="28"/>
          <w:szCs w:val="28"/>
          <w:highlight w:val="none"/>
          <w14:textFill>
            <w14:solidFill>
              <w14:schemeClr w14:val="tx1"/>
            </w14:solidFill>
          </w14:textFill>
        </w:rPr>
        <w:t>1</w:t>
      </w:r>
      <w:r>
        <w:rPr>
          <w:rFonts w:ascii="Times New Roman"/>
          <w:color w:val="000000" w:themeColor="text1"/>
          <w:sz w:val="28"/>
          <w:szCs w:val="28"/>
          <w:highlight w:val="none"/>
          <w14:textFill>
            <w14:solidFill>
              <w14:schemeClr w14:val="tx1"/>
            </w14:solidFill>
          </w14:textFill>
        </w:rPr>
        <w:t xml:space="preserve"> 废止现行有关标准的建议</w:t>
      </w:r>
      <w:bookmarkEnd w:id="29"/>
    </w:p>
    <w:p w14:paraId="2CCA1498">
      <w:pPr>
        <w:spacing w:line="360" w:lineRule="auto"/>
        <w:ind w:firstLine="480"/>
        <w:jc w:val="both"/>
        <w:rPr>
          <w:rFonts w:hint="eastAsia" w:eastAsiaTheme="minorEastAsia"/>
          <w:color w:val="000000" w:themeColor="text1"/>
          <w:szCs w:val="28"/>
          <w:highlight w:val="none"/>
          <w14:textFill>
            <w14:solidFill>
              <w14:schemeClr w14:val="tx1"/>
            </w14:solidFill>
          </w14:textFill>
        </w:rPr>
      </w:pPr>
      <w:r>
        <w:rPr>
          <w:rFonts w:eastAsiaTheme="minorEastAsia"/>
          <w:color w:val="000000" w:themeColor="text1"/>
          <w:szCs w:val="28"/>
          <w:highlight w:val="none"/>
          <w14:textFill>
            <w14:solidFill>
              <w14:schemeClr w14:val="tx1"/>
            </w14:solidFill>
          </w14:textFill>
        </w:rPr>
        <w:t>无。</w:t>
      </w:r>
    </w:p>
    <w:p w14:paraId="5F84C4FD">
      <w:pPr>
        <w:pStyle w:val="27"/>
        <w:spacing w:before="326" w:beforeLines="100" w:after="326" w:afterLines="100"/>
        <w:rPr>
          <w:rFonts w:ascii="Times New Roman"/>
          <w:color w:val="000000" w:themeColor="text1"/>
          <w:sz w:val="28"/>
          <w:szCs w:val="28"/>
          <w:highlight w:val="none"/>
          <w14:textFill>
            <w14:solidFill>
              <w14:schemeClr w14:val="tx1"/>
            </w14:solidFill>
          </w14:textFill>
        </w:rPr>
      </w:pPr>
      <w:bookmarkStart w:id="30" w:name="_Toc14863"/>
      <w:r>
        <w:rPr>
          <w:rFonts w:ascii="Times New Roman"/>
          <w:color w:val="000000" w:themeColor="text1"/>
          <w:sz w:val="28"/>
          <w:szCs w:val="28"/>
          <w:highlight w:val="none"/>
          <w14:textFill>
            <w14:solidFill>
              <w14:schemeClr w14:val="tx1"/>
            </w14:solidFill>
          </w14:textFill>
        </w:rPr>
        <w:t>1</w:t>
      </w:r>
      <w:r>
        <w:rPr>
          <w:rFonts w:hint="eastAsia" w:ascii="Times New Roman"/>
          <w:color w:val="000000" w:themeColor="text1"/>
          <w:sz w:val="28"/>
          <w:szCs w:val="28"/>
          <w:highlight w:val="none"/>
          <w14:textFill>
            <w14:solidFill>
              <w14:schemeClr w14:val="tx1"/>
            </w14:solidFill>
          </w14:textFill>
        </w:rPr>
        <w:t>2</w:t>
      </w:r>
      <w:r>
        <w:rPr>
          <w:rFonts w:ascii="Times New Roman"/>
          <w:color w:val="000000" w:themeColor="text1"/>
          <w:sz w:val="28"/>
          <w:szCs w:val="28"/>
          <w:highlight w:val="none"/>
          <w14:textFill>
            <w14:solidFill>
              <w14:schemeClr w14:val="tx1"/>
            </w14:solidFill>
          </w14:textFill>
        </w:rPr>
        <w:t xml:space="preserve"> 其他应说明的事项</w:t>
      </w:r>
      <w:bookmarkEnd w:id="30"/>
    </w:p>
    <w:p w14:paraId="0385F97A">
      <w:pPr>
        <w:spacing w:line="360" w:lineRule="auto"/>
        <w:ind w:firstLine="495"/>
        <w:jc w:val="both"/>
        <w:rPr>
          <w:rFonts w:hint="eastAsia" w:eastAsiaTheme="minorEastAsia"/>
          <w:color w:val="000000" w:themeColor="text1"/>
          <w:szCs w:val="28"/>
          <w:highlight w:val="none"/>
          <w14:textFill>
            <w14:solidFill>
              <w14:schemeClr w14:val="tx1"/>
            </w14:solidFill>
          </w14:textFill>
        </w:rPr>
      </w:pPr>
      <w:r>
        <w:rPr>
          <w:rFonts w:eastAsiaTheme="minorEastAsia"/>
          <w:color w:val="000000" w:themeColor="text1"/>
          <w:szCs w:val="28"/>
          <w:highlight w:val="none"/>
          <w14:textFill>
            <w14:solidFill>
              <w14:schemeClr w14:val="tx1"/>
            </w14:solidFill>
          </w14:textFill>
        </w:rPr>
        <w:t>无。</w:t>
      </w:r>
    </w:p>
    <w:sectPr>
      <w:footerReference r:id="rId3" w:type="default"/>
      <w:pgSz w:w="11906" w:h="16838"/>
      <w:pgMar w:top="1134" w:right="1134" w:bottom="1134" w:left="1304" w:header="851" w:footer="992" w:gutter="0"/>
      <w:cols w:space="425" w:num="1"/>
      <w:docGrid w:type="lines" w:linePitch="32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0A831769-38EA-86E2-6323-C968EDCD0D0D}"/>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Cambria">
    <w:altName w:val="苹方-简"/>
    <w:panose1 w:val="02040503050406030204"/>
    <w:charset w:val="00"/>
    <w:family w:val="roman"/>
    <w:pitch w:val="default"/>
    <w:sig w:usb0="00000000" w:usb1="00000000" w:usb2="02000000" w:usb3="00000000" w:csb0="2000019F" w:csb1="00000000"/>
  </w:font>
  <w:font w:name="Verdana">
    <w:panose1 w:val="020B0804030504040204"/>
    <w:charset w:val="00"/>
    <w:family w:val="swiss"/>
    <w:pitch w:val="default"/>
    <w:sig w:usb0="A10006FF" w:usb1="4000205B" w:usb2="00000010" w:usb3="00000000" w:csb0="2000019F" w:csb1="00000000"/>
  </w:font>
  <w:font w:name="等线">
    <w:altName w:val="汉仪中等线KW"/>
    <w:panose1 w:val="02010600030101010101"/>
    <w:charset w:val="86"/>
    <w:family w:val="auto"/>
    <w:pitch w:val="default"/>
    <w:sig w:usb0="00000000" w:usb1="00000000" w:usb2="00000016" w:usb3="00000000" w:csb0="0004000F" w:csb1="00000000"/>
  </w:font>
  <w:font w:name="仿宋">
    <w:altName w:val="方正仿宋_GBK"/>
    <w:panose1 w:val="02010609060101010101"/>
    <w:charset w:val="86"/>
    <w:family w:val="modern"/>
    <w:pitch w:val="default"/>
    <w:sig w:usb0="00000000" w:usb1="00000000" w:usb2="00000016" w:usb3="00000000" w:csb0="00040001" w:csb1="00000000"/>
  </w:font>
  <w:font w:name="方正小标宋简体">
    <w:panose1 w:val="03000509000000000000"/>
    <w:charset w:val="86"/>
    <w:family w:val="auto"/>
    <w:pitch w:val="default"/>
    <w:sig w:usb0="00000001" w:usb1="080E0000" w:usb2="00000000" w:usb3="00000000" w:csb0="00040000" w:csb1="00000000"/>
    <w:embedRegular r:id="rId2" w:fontKey="{C3FF707C-BF0B-629E-6323-C96892A9475B}"/>
  </w:font>
  <w:font w:name="Segoe UI">
    <w:panose1 w:val="020B0502040204020203"/>
    <w:charset w:val="00"/>
    <w:family w:val="swiss"/>
    <w:pitch w:val="default"/>
    <w:sig w:usb0="E4002EFF" w:usb1="C000E47F" w:usb2="00000009" w:usb3="00000000" w:csb0="200001FF" w:csb1="00000000"/>
    <w:embedRegular r:id="rId3" w:fontKey="{90D88427-DBC7-154A-6323-C968A1BA1140}"/>
  </w:font>
  <w:font w:name="微软雅黑">
    <w:altName w:val="汉仪旗黑"/>
    <w:panose1 w:val="020B0503020204020204"/>
    <w:charset w:val="86"/>
    <w:family w:val="swiss"/>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冬青黑体简体中文">
    <w:panose1 w:val="020B0300000000000000"/>
    <w:charset w:val="86"/>
    <w:family w:val="auto"/>
    <w:pitch w:val="default"/>
    <w:sig w:usb0="A00002BF" w:usb1="1ACF7CFA" w:usb2="00000016" w:usb3="00000000" w:csb0="00060007" w:csb1="00000000"/>
  </w:font>
  <w:font w:name="汉仪中黑KW">
    <w:panose1 w:val="00020600040101010101"/>
    <w:charset w:val="86"/>
    <w:family w:val="auto"/>
    <w:pitch w:val="default"/>
    <w:sig w:usb0="A00002BF" w:usb1="18EF7CFA" w:usb2="00000016" w:usb3="00000000" w:csb0="00040000" w:csb1="00000000"/>
  </w:font>
  <w:font w:name="宋体-简">
    <w:panose1 w:val="02010800040101010101"/>
    <w:charset w:val="86"/>
    <w:family w:val="auto"/>
    <w:pitch w:val="default"/>
    <w:sig w:usb0="00000001" w:usb1="080F0000" w:usb2="00000000" w:usb3="00000000" w:csb0="00040000" w:csb1="00000000"/>
  </w:font>
  <w:font w:name="汉仪旗黑">
    <w:panose1 w:val="00020600040101010101"/>
    <w:charset w:val="86"/>
    <w:family w:val="auto"/>
    <w:pitch w:val="default"/>
    <w:sig w:usb0="A00002BF" w:usb1="1ACF7CFA" w:usb2="00000016" w:usb3="00000000" w:csb0="0004009F" w:csb1="DFD70000"/>
  </w:font>
  <w:font w:name="Kingsoft Sign">
    <w:panose1 w:val="05050102010706020507"/>
    <w:charset w:val="00"/>
    <w:family w:val="auto"/>
    <w:pitch w:val="default"/>
    <w:sig w:usb0="00000000" w:usb1="10000000" w:usb2="00000000" w:usb3="00000000" w:csb0="00000001" w:csb1="00000000"/>
  </w:font>
  <w:font w:name="Helvetica Neue">
    <w:panose1 w:val="02000503000000020004"/>
    <w:charset w:val="00"/>
    <w:family w:val="auto"/>
    <w:pitch w:val="default"/>
    <w:sig w:usb0="E50002FF" w:usb1="500079DB" w:usb2="00000010" w:usb3="00000000" w:csb0="00000000" w:csb1="00000000"/>
  </w:font>
  <w:font w:name="苹方-简">
    <w:panose1 w:val="020B0400000000000000"/>
    <w:charset w:val="86"/>
    <w:family w:val="auto"/>
    <w:pitch w:val="default"/>
    <w:sig w:usb0="A00002FF" w:usb1="7ACFFDFB" w:usb2="00000017" w:usb3="00000000" w:csb0="00040001" w:csb1="00000000"/>
  </w:font>
  <w:font w:name="汉仪中等线KW">
    <w:panose1 w:val="01010104010101010101"/>
    <w:charset w:val="86"/>
    <w:family w:val="auto"/>
    <w:pitch w:val="default"/>
    <w:sig w:usb0="800002BF" w:usb1="004F7CFA" w:usb2="00000000" w:usb3="00000000" w:csb0="00040001" w:csb1="00000000"/>
  </w:font>
  <w:font w:name="方正仿宋_GBK">
    <w:panose1 w:val="02000000000000000000"/>
    <w:charset w:val="86"/>
    <w:family w:val="auto"/>
    <w:pitch w:val="default"/>
    <w:sig w:usb0="A00002BF" w:usb1="38CF7CFA" w:usb2="00082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C02AC2">
    <w:pPr>
      <w:pStyle w:val="12"/>
      <w:jc w:val="right"/>
      <w:rPr>
        <w:rFonts w:hint="eastAsia"/>
      </w:rPr>
    </w:pPr>
    <w:r>
      <w:fldChar w:fldCharType="begin"/>
    </w:r>
    <w:r>
      <w:instrText xml:space="preserve"> PAGE   \* MERGEFORMAT </w:instrText>
    </w:r>
    <w:r>
      <w:fldChar w:fldCharType="separate"/>
    </w:r>
    <w:r>
      <w:rPr>
        <w:lang w:val="zh-CN"/>
      </w:rPr>
      <w:t>29</w:t>
    </w:r>
    <w:r>
      <w:rPr>
        <w:lang w:val="zh-CN"/>
      </w:rPr>
      <w:fldChar w:fldCharType="end"/>
    </w:r>
  </w:p>
  <w:p w14:paraId="6335100B">
    <w:pPr>
      <w:pStyle w:val="12"/>
      <w:rPr>
        <w:rFonts w:hint="eastAsia"/>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AE367E9"/>
    <w:multiLevelType w:val="multilevel"/>
    <w:tmpl w:val="0AE367E9"/>
    <w:lvl w:ilvl="0" w:tentative="0">
      <w:start w:val="1"/>
      <w:numFmt w:val="none"/>
      <w:pStyle w:val="43"/>
      <w:suff w:val="nothing"/>
      <w:lvlText w:val="%1示例："/>
      <w:lvlJc w:val="left"/>
      <w:pPr>
        <w:ind w:left="0" w:firstLine="363"/>
      </w:pPr>
      <w:rPr>
        <w:rFonts w:hint="eastAsia" w:ascii="黑体" w:eastAsia="黑体"/>
        <w:b w:val="0"/>
        <w:i w:val="0"/>
        <w:sz w:val="18"/>
        <w:szCs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1">
    <w:nsid w:val="1DCB3BFD"/>
    <w:multiLevelType w:val="multilevel"/>
    <w:tmpl w:val="1DCB3BFD"/>
    <w:lvl w:ilvl="0" w:tentative="0">
      <w:start w:val="1"/>
      <w:numFmt w:val="lowerLetter"/>
      <w:pStyle w:val="106"/>
      <w:lvlText w:val="%1）"/>
      <w:lvlJc w:val="left"/>
      <w:pPr>
        <w:tabs>
          <w:tab w:val="left" w:pos="840"/>
        </w:tabs>
        <w:ind w:left="839" w:hanging="419"/>
      </w:pPr>
      <w:rPr>
        <w:rFonts w:hint="eastAsia" w:ascii="宋体" w:eastAsia="宋体"/>
        <w:b w:val="0"/>
        <w:i w:val="0"/>
        <w:sz w:val="21"/>
        <w:szCs w:val="21"/>
      </w:rPr>
    </w:lvl>
    <w:lvl w:ilvl="1" w:tentative="0">
      <w:start w:val="1"/>
      <w:numFmt w:val="decimal"/>
      <w:pStyle w:val="105"/>
      <w:lvlText w:val="%2)"/>
      <w:lvlJc w:val="left"/>
      <w:pPr>
        <w:tabs>
          <w:tab w:val="left" w:pos="1260"/>
        </w:tabs>
        <w:ind w:left="1259" w:hanging="419"/>
      </w:pPr>
      <w:rPr>
        <w:rFonts w:hint="eastAsia"/>
      </w:rPr>
    </w:lvl>
    <w:lvl w:ilvl="2" w:tentative="0">
      <w:start w:val="1"/>
      <w:numFmt w:val="decimal"/>
      <w:pStyle w:val="107"/>
      <w:lvlText w:val="(%3)"/>
      <w:lvlJc w:val="left"/>
      <w:pPr>
        <w:tabs>
          <w:tab w:val="left" w:pos="0"/>
        </w:tabs>
        <w:ind w:left="1679" w:hanging="420"/>
      </w:pPr>
      <w:rPr>
        <w:rFonts w:hint="eastAsia" w:ascii="宋体" w:eastAsia="宋体"/>
        <w:b w:val="0"/>
        <w:i w:val="0"/>
        <w:sz w:val="21"/>
        <w:szCs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2">
    <w:nsid w:val="1FC91163"/>
    <w:multiLevelType w:val="multilevel"/>
    <w:tmpl w:val="1FC91163"/>
    <w:lvl w:ilvl="0" w:tentative="0">
      <w:start w:val="1"/>
      <w:numFmt w:val="decimal"/>
      <w:suff w:val="nothing"/>
      <w:lvlText w:val="%1　"/>
      <w:lvlJc w:val="left"/>
      <w:pPr>
        <w:ind w:left="710" w:firstLine="0"/>
      </w:pPr>
      <w:rPr>
        <w:rFonts w:hint="eastAsia" w:ascii="黑体" w:hAnsi="Times New Roman" w:eastAsia="黑体"/>
        <w:b w:val="0"/>
        <w:i w:val="0"/>
        <w:sz w:val="21"/>
        <w:szCs w:val="21"/>
      </w:rPr>
    </w:lvl>
    <w:lvl w:ilvl="1" w:tentative="0">
      <w:start w:val="1"/>
      <w:numFmt w:val="decimal"/>
      <w:suff w:val="nothing"/>
      <w:lvlText w:val="%1.%2　"/>
      <w:lvlJc w:val="left"/>
      <w:pPr>
        <w:ind w:left="1135"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142"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557C2AF5"/>
    <w:multiLevelType w:val="multilevel"/>
    <w:tmpl w:val="557C2AF5"/>
    <w:lvl w:ilvl="0" w:tentative="0">
      <w:start w:val="1"/>
      <w:numFmt w:val="decimal"/>
      <w:pStyle w:val="46"/>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646260FA"/>
    <w:multiLevelType w:val="multilevel"/>
    <w:tmpl w:val="646260FA"/>
    <w:lvl w:ilvl="0" w:tentative="0">
      <w:start w:val="1"/>
      <w:numFmt w:val="decimal"/>
      <w:pStyle w:val="45"/>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5">
    <w:nsid w:val="657D3FBC"/>
    <w:multiLevelType w:val="multilevel"/>
    <w:tmpl w:val="657D3FBC"/>
    <w:lvl w:ilvl="0" w:tentative="0">
      <w:start w:val="1"/>
      <w:numFmt w:val="upperLetter"/>
      <w:pStyle w:val="108"/>
      <w:suff w:val="nothing"/>
      <w:lvlText w:val="附录%1"/>
      <w:lvlJc w:val="left"/>
      <w:pPr>
        <w:ind w:left="0" w:firstLine="0"/>
      </w:pPr>
      <w:rPr>
        <w:rFonts w:hint="eastAsia"/>
        <w:spacing w:val="100"/>
      </w:rPr>
    </w:lvl>
    <w:lvl w:ilvl="1" w:tentative="0">
      <w:start w:val="1"/>
      <w:numFmt w:val="decimal"/>
      <w:pStyle w:val="109"/>
      <w:suff w:val="nothing"/>
      <w:lvlText w:val="%1.%2　"/>
      <w:lvlJc w:val="left"/>
      <w:pPr>
        <w:ind w:left="0" w:firstLine="0"/>
      </w:pPr>
      <w:rPr>
        <w:rFonts w:hint="eastAsia" w:ascii="黑体" w:eastAsia="黑体"/>
        <w:b w:val="0"/>
        <w:i w:val="0"/>
        <w:sz w:val="21"/>
      </w:rPr>
    </w:lvl>
    <w:lvl w:ilvl="2" w:tentative="0">
      <w:start w:val="1"/>
      <w:numFmt w:val="decimal"/>
      <w:pStyle w:val="110"/>
      <w:suff w:val="nothing"/>
      <w:lvlText w:val="%1.%2.%3　"/>
      <w:lvlJc w:val="left"/>
      <w:pPr>
        <w:ind w:left="0" w:firstLine="0"/>
      </w:pPr>
      <w:rPr>
        <w:rFonts w:hint="eastAsia" w:ascii="黑体" w:eastAsia="黑体"/>
        <w:b w:val="0"/>
        <w:i w:val="0"/>
        <w:sz w:val="21"/>
      </w:rPr>
    </w:lvl>
    <w:lvl w:ilvl="3" w:tentative="0">
      <w:start w:val="1"/>
      <w:numFmt w:val="decimal"/>
      <w:pStyle w:val="111"/>
      <w:suff w:val="nothing"/>
      <w:lvlText w:val="%1.%2.%3.%4　"/>
      <w:lvlJc w:val="left"/>
      <w:pPr>
        <w:ind w:left="0" w:firstLine="0"/>
      </w:pPr>
      <w:rPr>
        <w:rFonts w:hint="eastAsia" w:ascii="黑体" w:eastAsia="黑体"/>
        <w:b w:val="0"/>
        <w:i w:val="0"/>
        <w:sz w:val="21"/>
      </w:rPr>
    </w:lvl>
    <w:lvl w:ilvl="4" w:tentative="0">
      <w:start w:val="1"/>
      <w:numFmt w:val="decimal"/>
      <w:pStyle w:val="112"/>
      <w:suff w:val="nothing"/>
      <w:lvlText w:val="%1.%2.%3.%4.%5　"/>
      <w:lvlJc w:val="left"/>
      <w:pPr>
        <w:ind w:left="0" w:firstLine="0"/>
      </w:pPr>
      <w:rPr>
        <w:rFonts w:hint="eastAsia" w:ascii="黑体" w:eastAsia="黑体"/>
        <w:b w:val="0"/>
        <w:i w:val="0"/>
        <w:sz w:val="21"/>
      </w:rPr>
    </w:lvl>
    <w:lvl w:ilvl="5" w:tentative="0">
      <w:start w:val="1"/>
      <w:numFmt w:val="decimal"/>
      <w:pStyle w:val="113"/>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num w:numId="1">
    <w:abstractNumId w:val="0"/>
  </w:num>
  <w:num w:numId="2">
    <w:abstractNumId w:val="4"/>
  </w:num>
  <w:num w:numId="3">
    <w:abstractNumId w:val="3"/>
  </w:num>
  <w:num w:numId="4">
    <w:abstractNumId w:val="1"/>
  </w:num>
  <w:num w:numId="5">
    <w:abstractNumId w:val="5"/>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2"/>
  <w:embedTrueTypeFonts/>
  <w:saveSubsetFonts/>
  <w:bordersDoNotSurroundHeader w:val="1"/>
  <w:bordersDoNotSurroundFooter w:val="1"/>
  <w:documentProtection w:enforcement="0"/>
  <w:defaultTabStop w:val="420"/>
  <w:drawingGridHorizontalSpacing w:val="120"/>
  <w:drawingGridVerticalSpacing w:val="163"/>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3E0F"/>
    <w:rsid w:val="000001E5"/>
    <w:rsid w:val="000007AC"/>
    <w:rsid w:val="00000A35"/>
    <w:rsid w:val="0000141D"/>
    <w:rsid w:val="000022B1"/>
    <w:rsid w:val="00003AFF"/>
    <w:rsid w:val="0001042F"/>
    <w:rsid w:val="00010A8B"/>
    <w:rsid w:val="000129F4"/>
    <w:rsid w:val="00013B79"/>
    <w:rsid w:val="00015A6C"/>
    <w:rsid w:val="000166C4"/>
    <w:rsid w:val="00017084"/>
    <w:rsid w:val="00017C80"/>
    <w:rsid w:val="00020415"/>
    <w:rsid w:val="00024525"/>
    <w:rsid w:val="00025B48"/>
    <w:rsid w:val="000269F6"/>
    <w:rsid w:val="00027763"/>
    <w:rsid w:val="00030247"/>
    <w:rsid w:val="0003190D"/>
    <w:rsid w:val="00031DAF"/>
    <w:rsid w:val="00033768"/>
    <w:rsid w:val="00033ECC"/>
    <w:rsid w:val="00034BDB"/>
    <w:rsid w:val="000354EE"/>
    <w:rsid w:val="00037C38"/>
    <w:rsid w:val="0004092A"/>
    <w:rsid w:val="00040A03"/>
    <w:rsid w:val="000434B8"/>
    <w:rsid w:val="000455BE"/>
    <w:rsid w:val="00045870"/>
    <w:rsid w:val="00045E4A"/>
    <w:rsid w:val="0005158F"/>
    <w:rsid w:val="0005301A"/>
    <w:rsid w:val="00056209"/>
    <w:rsid w:val="00056E5B"/>
    <w:rsid w:val="00056E94"/>
    <w:rsid w:val="000618F5"/>
    <w:rsid w:val="00062D78"/>
    <w:rsid w:val="00062F18"/>
    <w:rsid w:val="00063AB8"/>
    <w:rsid w:val="000658C5"/>
    <w:rsid w:val="00071468"/>
    <w:rsid w:val="00071497"/>
    <w:rsid w:val="00072999"/>
    <w:rsid w:val="00076334"/>
    <w:rsid w:val="00076DC9"/>
    <w:rsid w:val="00076E00"/>
    <w:rsid w:val="00077386"/>
    <w:rsid w:val="0008016C"/>
    <w:rsid w:val="000819C0"/>
    <w:rsid w:val="00081DC3"/>
    <w:rsid w:val="000821A1"/>
    <w:rsid w:val="00082BD1"/>
    <w:rsid w:val="00083D72"/>
    <w:rsid w:val="000844C5"/>
    <w:rsid w:val="00084FF3"/>
    <w:rsid w:val="00085FD8"/>
    <w:rsid w:val="0008622A"/>
    <w:rsid w:val="00090AAF"/>
    <w:rsid w:val="00090BB7"/>
    <w:rsid w:val="00091EC0"/>
    <w:rsid w:val="00092504"/>
    <w:rsid w:val="00092B00"/>
    <w:rsid w:val="00092C34"/>
    <w:rsid w:val="000973F8"/>
    <w:rsid w:val="000A2A34"/>
    <w:rsid w:val="000A3998"/>
    <w:rsid w:val="000A4C17"/>
    <w:rsid w:val="000A61FC"/>
    <w:rsid w:val="000A61FE"/>
    <w:rsid w:val="000A7210"/>
    <w:rsid w:val="000B051F"/>
    <w:rsid w:val="000B0A70"/>
    <w:rsid w:val="000B1507"/>
    <w:rsid w:val="000B226A"/>
    <w:rsid w:val="000B4363"/>
    <w:rsid w:val="000B593F"/>
    <w:rsid w:val="000B5D25"/>
    <w:rsid w:val="000C3198"/>
    <w:rsid w:val="000C32D4"/>
    <w:rsid w:val="000C35B5"/>
    <w:rsid w:val="000C53E0"/>
    <w:rsid w:val="000C5E7B"/>
    <w:rsid w:val="000C7B3C"/>
    <w:rsid w:val="000D29F4"/>
    <w:rsid w:val="000D6CF5"/>
    <w:rsid w:val="000E023D"/>
    <w:rsid w:val="000E0AB2"/>
    <w:rsid w:val="000E1B6C"/>
    <w:rsid w:val="000E4AE2"/>
    <w:rsid w:val="000E577F"/>
    <w:rsid w:val="000E6630"/>
    <w:rsid w:val="000F19D8"/>
    <w:rsid w:val="000F1B97"/>
    <w:rsid w:val="000F3C33"/>
    <w:rsid w:val="000F4A3B"/>
    <w:rsid w:val="000F4CE8"/>
    <w:rsid w:val="001018E2"/>
    <w:rsid w:val="0010305D"/>
    <w:rsid w:val="001036AD"/>
    <w:rsid w:val="001040D5"/>
    <w:rsid w:val="001050DA"/>
    <w:rsid w:val="001064D7"/>
    <w:rsid w:val="00111084"/>
    <w:rsid w:val="001117AF"/>
    <w:rsid w:val="00113794"/>
    <w:rsid w:val="00115B5E"/>
    <w:rsid w:val="00117C75"/>
    <w:rsid w:val="00122E38"/>
    <w:rsid w:val="00123381"/>
    <w:rsid w:val="00124C46"/>
    <w:rsid w:val="001250C7"/>
    <w:rsid w:val="0012660A"/>
    <w:rsid w:val="00126D94"/>
    <w:rsid w:val="00131914"/>
    <w:rsid w:val="0013245B"/>
    <w:rsid w:val="00134A81"/>
    <w:rsid w:val="00135688"/>
    <w:rsid w:val="00136191"/>
    <w:rsid w:val="00141391"/>
    <w:rsid w:val="00142FAD"/>
    <w:rsid w:val="0014686E"/>
    <w:rsid w:val="00147B81"/>
    <w:rsid w:val="00150ABB"/>
    <w:rsid w:val="001532ED"/>
    <w:rsid w:val="001602C5"/>
    <w:rsid w:val="0016215B"/>
    <w:rsid w:val="001622C0"/>
    <w:rsid w:val="00162784"/>
    <w:rsid w:val="001647BB"/>
    <w:rsid w:val="0016491D"/>
    <w:rsid w:val="00167CE9"/>
    <w:rsid w:val="00173530"/>
    <w:rsid w:val="0017400A"/>
    <w:rsid w:val="00176EFD"/>
    <w:rsid w:val="00177FA6"/>
    <w:rsid w:val="001809AD"/>
    <w:rsid w:val="001818CE"/>
    <w:rsid w:val="00181DCA"/>
    <w:rsid w:val="00182654"/>
    <w:rsid w:val="00182FBA"/>
    <w:rsid w:val="001844FC"/>
    <w:rsid w:val="00184AF2"/>
    <w:rsid w:val="00190A45"/>
    <w:rsid w:val="001922C3"/>
    <w:rsid w:val="00192A5B"/>
    <w:rsid w:val="001966BA"/>
    <w:rsid w:val="001A05C7"/>
    <w:rsid w:val="001A1D91"/>
    <w:rsid w:val="001A344D"/>
    <w:rsid w:val="001A36A9"/>
    <w:rsid w:val="001A7E28"/>
    <w:rsid w:val="001B03ED"/>
    <w:rsid w:val="001B0B72"/>
    <w:rsid w:val="001B145A"/>
    <w:rsid w:val="001B2B09"/>
    <w:rsid w:val="001B3029"/>
    <w:rsid w:val="001B47CF"/>
    <w:rsid w:val="001B6249"/>
    <w:rsid w:val="001B7FB5"/>
    <w:rsid w:val="001C19B4"/>
    <w:rsid w:val="001C209D"/>
    <w:rsid w:val="001C49C9"/>
    <w:rsid w:val="001C5350"/>
    <w:rsid w:val="001C7E50"/>
    <w:rsid w:val="001D0624"/>
    <w:rsid w:val="001D2C4D"/>
    <w:rsid w:val="001D3388"/>
    <w:rsid w:val="001D421B"/>
    <w:rsid w:val="001D466C"/>
    <w:rsid w:val="001D5FEA"/>
    <w:rsid w:val="001D7791"/>
    <w:rsid w:val="001E216C"/>
    <w:rsid w:val="001E2A4B"/>
    <w:rsid w:val="001E2D15"/>
    <w:rsid w:val="001E3871"/>
    <w:rsid w:val="001E56A7"/>
    <w:rsid w:val="001E7665"/>
    <w:rsid w:val="001E7CEE"/>
    <w:rsid w:val="001F0376"/>
    <w:rsid w:val="001F4B34"/>
    <w:rsid w:val="001F7A32"/>
    <w:rsid w:val="00201456"/>
    <w:rsid w:val="00201C5F"/>
    <w:rsid w:val="00205CEE"/>
    <w:rsid w:val="00210503"/>
    <w:rsid w:val="002118AB"/>
    <w:rsid w:val="002126D9"/>
    <w:rsid w:val="00213E30"/>
    <w:rsid w:val="0021604E"/>
    <w:rsid w:val="00217B16"/>
    <w:rsid w:val="002206C6"/>
    <w:rsid w:val="002211F8"/>
    <w:rsid w:val="002306B0"/>
    <w:rsid w:val="00233834"/>
    <w:rsid w:val="00234126"/>
    <w:rsid w:val="002347B5"/>
    <w:rsid w:val="002348A6"/>
    <w:rsid w:val="00236B80"/>
    <w:rsid w:val="00240F1D"/>
    <w:rsid w:val="002431FA"/>
    <w:rsid w:val="0024408E"/>
    <w:rsid w:val="002446E2"/>
    <w:rsid w:val="00247197"/>
    <w:rsid w:val="0025034B"/>
    <w:rsid w:val="00250A16"/>
    <w:rsid w:val="0025217B"/>
    <w:rsid w:val="00254E39"/>
    <w:rsid w:val="00255F9C"/>
    <w:rsid w:val="0026107B"/>
    <w:rsid w:val="00261162"/>
    <w:rsid w:val="00262D99"/>
    <w:rsid w:val="00263789"/>
    <w:rsid w:val="0026418B"/>
    <w:rsid w:val="002666A7"/>
    <w:rsid w:val="00266E7D"/>
    <w:rsid w:val="0026725F"/>
    <w:rsid w:val="00274526"/>
    <w:rsid w:val="00275782"/>
    <w:rsid w:val="00275CE1"/>
    <w:rsid w:val="002768F3"/>
    <w:rsid w:val="00277890"/>
    <w:rsid w:val="002813D0"/>
    <w:rsid w:val="00284FE2"/>
    <w:rsid w:val="00285718"/>
    <w:rsid w:val="002863DE"/>
    <w:rsid w:val="00290007"/>
    <w:rsid w:val="00294C50"/>
    <w:rsid w:val="00295D04"/>
    <w:rsid w:val="00296ECE"/>
    <w:rsid w:val="0029709E"/>
    <w:rsid w:val="002978CE"/>
    <w:rsid w:val="002A2585"/>
    <w:rsid w:val="002A2C84"/>
    <w:rsid w:val="002A3520"/>
    <w:rsid w:val="002A7256"/>
    <w:rsid w:val="002A7C01"/>
    <w:rsid w:val="002B0727"/>
    <w:rsid w:val="002B1FD6"/>
    <w:rsid w:val="002B5424"/>
    <w:rsid w:val="002B7008"/>
    <w:rsid w:val="002B77A1"/>
    <w:rsid w:val="002B7DB0"/>
    <w:rsid w:val="002C022E"/>
    <w:rsid w:val="002C18D7"/>
    <w:rsid w:val="002C40F4"/>
    <w:rsid w:val="002C721D"/>
    <w:rsid w:val="002C7925"/>
    <w:rsid w:val="002D044E"/>
    <w:rsid w:val="002D07F4"/>
    <w:rsid w:val="002D3ADD"/>
    <w:rsid w:val="002D4561"/>
    <w:rsid w:val="002D49FE"/>
    <w:rsid w:val="002D6251"/>
    <w:rsid w:val="002D7368"/>
    <w:rsid w:val="002D7540"/>
    <w:rsid w:val="002D7A4E"/>
    <w:rsid w:val="002D7D6F"/>
    <w:rsid w:val="002E08A7"/>
    <w:rsid w:val="002E0A53"/>
    <w:rsid w:val="002E1F62"/>
    <w:rsid w:val="002E3251"/>
    <w:rsid w:val="002E356B"/>
    <w:rsid w:val="002E671D"/>
    <w:rsid w:val="002F14E0"/>
    <w:rsid w:val="002F386B"/>
    <w:rsid w:val="002F413E"/>
    <w:rsid w:val="002F67EC"/>
    <w:rsid w:val="0030029E"/>
    <w:rsid w:val="00301041"/>
    <w:rsid w:val="0030478F"/>
    <w:rsid w:val="00312323"/>
    <w:rsid w:val="003128B6"/>
    <w:rsid w:val="00313B99"/>
    <w:rsid w:val="00316883"/>
    <w:rsid w:val="003202CC"/>
    <w:rsid w:val="00321B9B"/>
    <w:rsid w:val="00321BEA"/>
    <w:rsid w:val="00321FE1"/>
    <w:rsid w:val="0032377D"/>
    <w:rsid w:val="003250AF"/>
    <w:rsid w:val="003264DB"/>
    <w:rsid w:val="00326842"/>
    <w:rsid w:val="00330850"/>
    <w:rsid w:val="003321EA"/>
    <w:rsid w:val="00334FB8"/>
    <w:rsid w:val="00335A26"/>
    <w:rsid w:val="003367E3"/>
    <w:rsid w:val="00336AC0"/>
    <w:rsid w:val="00336C0A"/>
    <w:rsid w:val="0033700A"/>
    <w:rsid w:val="003374DF"/>
    <w:rsid w:val="00337AD1"/>
    <w:rsid w:val="00340627"/>
    <w:rsid w:val="003433EC"/>
    <w:rsid w:val="00345970"/>
    <w:rsid w:val="00345F55"/>
    <w:rsid w:val="0034684B"/>
    <w:rsid w:val="00346E04"/>
    <w:rsid w:val="00347457"/>
    <w:rsid w:val="00347BCC"/>
    <w:rsid w:val="003513CB"/>
    <w:rsid w:val="00351F4C"/>
    <w:rsid w:val="00357490"/>
    <w:rsid w:val="00357CB3"/>
    <w:rsid w:val="003615D2"/>
    <w:rsid w:val="00363070"/>
    <w:rsid w:val="003638A8"/>
    <w:rsid w:val="003645D5"/>
    <w:rsid w:val="00365D8A"/>
    <w:rsid w:val="00366F63"/>
    <w:rsid w:val="00367A5B"/>
    <w:rsid w:val="003726C8"/>
    <w:rsid w:val="00372853"/>
    <w:rsid w:val="00372BB9"/>
    <w:rsid w:val="003745BC"/>
    <w:rsid w:val="00374772"/>
    <w:rsid w:val="003758EE"/>
    <w:rsid w:val="00376523"/>
    <w:rsid w:val="00380E2E"/>
    <w:rsid w:val="003837E1"/>
    <w:rsid w:val="00383FE7"/>
    <w:rsid w:val="00387411"/>
    <w:rsid w:val="00387991"/>
    <w:rsid w:val="003901E8"/>
    <w:rsid w:val="00390880"/>
    <w:rsid w:val="003910F4"/>
    <w:rsid w:val="00391D3A"/>
    <w:rsid w:val="00393DA0"/>
    <w:rsid w:val="003A17BE"/>
    <w:rsid w:val="003A3A72"/>
    <w:rsid w:val="003A468C"/>
    <w:rsid w:val="003A7036"/>
    <w:rsid w:val="003A7848"/>
    <w:rsid w:val="003B129E"/>
    <w:rsid w:val="003B22E2"/>
    <w:rsid w:val="003B25C9"/>
    <w:rsid w:val="003B3C6C"/>
    <w:rsid w:val="003B620B"/>
    <w:rsid w:val="003B7B55"/>
    <w:rsid w:val="003C6534"/>
    <w:rsid w:val="003D06C9"/>
    <w:rsid w:val="003D23D7"/>
    <w:rsid w:val="003D4694"/>
    <w:rsid w:val="003D6024"/>
    <w:rsid w:val="003D65BA"/>
    <w:rsid w:val="003E108D"/>
    <w:rsid w:val="003E52E9"/>
    <w:rsid w:val="003E62CC"/>
    <w:rsid w:val="003E7C10"/>
    <w:rsid w:val="003E7DE2"/>
    <w:rsid w:val="003F0454"/>
    <w:rsid w:val="003F66A1"/>
    <w:rsid w:val="003F6747"/>
    <w:rsid w:val="00401447"/>
    <w:rsid w:val="00401E4A"/>
    <w:rsid w:val="00402A56"/>
    <w:rsid w:val="0040720D"/>
    <w:rsid w:val="0040776A"/>
    <w:rsid w:val="004109A2"/>
    <w:rsid w:val="0041214A"/>
    <w:rsid w:val="00412D5F"/>
    <w:rsid w:val="00413BB6"/>
    <w:rsid w:val="00414311"/>
    <w:rsid w:val="00414C25"/>
    <w:rsid w:val="00415A15"/>
    <w:rsid w:val="004176B3"/>
    <w:rsid w:val="00420C4C"/>
    <w:rsid w:val="00425546"/>
    <w:rsid w:val="00427964"/>
    <w:rsid w:val="004310FF"/>
    <w:rsid w:val="00433341"/>
    <w:rsid w:val="004342B0"/>
    <w:rsid w:val="00434840"/>
    <w:rsid w:val="00435360"/>
    <w:rsid w:val="0043602C"/>
    <w:rsid w:val="00437997"/>
    <w:rsid w:val="00437FCF"/>
    <w:rsid w:val="00440D57"/>
    <w:rsid w:val="004415B9"/>
    <w:rsid w:val="00444E74"/>
    <w:rsid w:val="00447ABD"/>
    <w:rsid w:val="004505BD"/>
    <w:rsid w:val="0045116D"/>
    <w:rsid w:val="004556EE"/>
    <w:rsid w:val="00455C25"/>
    <w:rsid w:val="00456060"/>
    <w:rsid w:val="004560DD"/>
    <w:rsid w:val="00461871"/>
    <w:rsid w:val="00461C90"/>
    <w:rsid w:val="00462578"/>
    <w:rsid w:val="00464A9D"/>
    <w:rsid w:val="00464D2C"/>
    <w:rsid w:val="00464FF0"/>
    <w:rsid w:val="004739BF"/>
    <w:rsid w:val="004739D2"/>
    <w:rsid w:val="00474C1E"/>
    <w:rsid w:val="004839FB"/>
    <w:rsid w:val="004853A4"/>
    <w:rsid w:val="0048610A"/>
    <w:rsid w:val="00490D61"/>
    <w:rsid w:val="004942F7"/>
    <w:rsid w:val="00494B76"/>
    <w:rsid w:val="00496551"/>
    <w:rsid w:val="004967CF"/>
    <w:rsid w:val="004967D1"/>
    <w:rsid w:val="004A21C9"/>
    <w:rsid w:val="004A2993"/>
    <w:rsid w:val="004A4A7E"/>
    <w:rsid w:val="004A4DBF"/>
    <w:rsid w:val="004A7234"/>
    <w:rsid w:val="004B25C3"/>
    <w:rsid w:val="004B331A"/>
    <w:rsid w:val="004B59C7"/>
    <w:rsid w:val="004B6F2A"/>
    <w:rsid w:val="004C1B3E"/>
    <w:rsid w:val="004C45E0"/>
    <w:rsid w:val="004C7666"/>
    <w:rsid w:val="004D2FFD"/>
    <w:rsid w:val="004D40CB"/>
    <w:rsid w:val="004D5542"/>
    <w:rsid w:val="004D6A87"/>
    <w:rsid w:val="004E0392"/>
    <w:rsid w:val="004E1727"/>
    <w:rsid w:val="004E579D"/>
    <w:rsid w:val="004E7D76"/>
    <w:rsid w:val="004F00E7"/>
    <w:rsid w:val="004F0210"/>
    <w:rsid w:val="004F62DD"/>
    <w:rsid w:val="005009A8"/>
    <w:rsid w:val="005023E7"/>
    <w:rsid w:val="00503AC4"/>
    <w:rsid w:val="0050522F"/>
    <w:rsid w:val="00505D34"/>
    <w:rsid w:val="005066E8"/>
    <w:rsid w:val="00506F09"/>
    <w:rsid w:val="00512597"/>
    <w:rsid w:val="00515722"/>
    <w:rsid w:val="00516975"/>
    <w:rsid w:val="0051719F"/>
    <w:rsid w:val="00517A06"/>
    <w:rsid w:val="00521073"/>
    <w:rsid w:val="00521F0B"/>
    <w:rsid w:val="005226C9"/>
    <w:rsid w:val="005228C8"/>
    <w:rsid w:val="00523C5C"/>
    <w:rsid w:val="005242CB"/>
    <w:rsid w:val="00524432"/>
    <w:rsid w:val="0053100D"/>
    <w:rsid w:val="005313F0"/>
    <w:rsid w:val="00531E1D"/>
    <w:rsid w:val="00532434"/>
    <w:rsid w:val="00532A53"/>
    <w:rsid w:val="00534132"/>
    <w:rsid w:val="00535F4E"/>
    <w:rsid w:val="00540407"/>
    <w:rsid w:val="00541C96"/>
    <w:rsid w:val="00541D12"/>
    <w:rsid w:val="005459C6"/>
    <w:rsid w:val="00546FEB"/>
    <w:rsid w:val="00554789"/>
    <w:rsid w:val="00554F4C"/>
    <w:rsid w:val="00556516"/>
    <w:rsid w:val="0055716C"/>
    <w:rsid w:val="005600B6"/>
    <w:rsid w:val="005621B1"/>
    <w:rsid w:val="00564076"/>
    <w:rsid w:val="00566323"/>
    <w:rsid w:val="00566B2F"/>
    <w:rsid w:val="005673F4"/>
    <w:rsid w:val="00567442"/>
    <w:rsid w:val="005704A4"/>
    <w:rsid w:val="00571D46"/>
    <w:rsid w:val="005725DE"/>
    <w:rsid w:val="00575BEE"/>
    <w:rsid w:val="00575CE9"/>
    <w:rsid w:val="00576D4F"/>
    <w:rsid w:val="0058175D"/>
    <w:rsid w:val="005857CF"/>
    <w:rsid w:val="00587046"/>
    <w:rsid w:val="005874F9"/>
    <w:rsid w:val="00587A76"/>
    <w:rsid w:val="00590114"/>
    <w:rsid w:val="00590D83"/>
    <w:rsid w:val="00590ED0"/>
    <w:rsid w:val="00591858"/>
    <w:rsid w:val="00594A81"/>
    <w:rsid w:val="005960AC"/>
    <w:rsid w:val="005A1423"/>
    <w:rsid w:val="005A2EA0"/>
    <w:rsid w:val="005A3D56"/>
    <w:rsid w:val="005A435D"/>
    <w:rsid w:val="005A43EE"/>
    <w:rsid w:val="005A4490"/>
    <w:rsid w:val="005A5C60"/>
    <w:rsid w:val="005B015E"/>
    <w:rsid w:val="005B1264"/>
    <w:rsid w:val="005B1B5F"/>
    <w:rsid w:val="005B3BCC"/>
    <w:rsid w:val="005B528A"/>
    <w:rsid w:val="005B5717"/>
    <w:rsid w:val="005B65EE"/>
    <w:rsid w:val="005B680C"/>
    <w:rsid w:val="005B68B3"/>
    <w:rsid w:val="005B6C02"/>
    <w:rsid w:val="005C2487"/>
    <w:rsid w:val="005C2E11"/>
    <w:rsid w:val="005C3AA3"/>
    <w:rsid w:val="005C5325"/>
    <w:rsid w:val="005C583E"/>
    <w:rsid w:val="005C5D4C"/>
    <w:rsid w:val="005C67E4"/>
    <w:rsid w:val="005C7698"/>
    <w:rsid w:val="005C7B04"/>
    <w:rsid w:val="005D4460"/>
    <w:rsid w:val="005D62F5"/>
    <w:rsid w:val="005D67F8"/>
    <w:rsid w:val="005D6C00"/>
    <w:rsid w:val="005D6F38"/>
    <w:rsid w:val="005D79A5"/>
    <w:rsid w:val="005D7AFF"/>
    <w:rsid w:val="005E084F"/>
    <w:rsid w:val="005E1E91"/>
    <w:rsid w:val="005E30F1"/>
    <w:rsid w:val="005E68A3"/>
    <w:rsid w:val="005F07D4"/>
    <w:rsid w:val="005F1052"/>
    <w:rsid w:val="005F4209"/>
    <w:rsid w:val="005F45C6"/>
    <w:rsid w:val="005F4696"/>
    <w:rsid w:val="005F4A8C"/>
    <w:rsid w:val="00601AA4"/>
    <w:rsid w:val="00601CCA"/>
    <w:rsid w:val="00602C6C"/>
    <w:rsid w:val="0060368B"/>
    <w:rsid w:val="0060518B"/>
    <w:rsid w:val="00605963"/>
    <w:rsid w:val="00605E0D"/>
    <w:rsid w:val="00605F1B"/>
    <w:rsid w:val="00607D3A"/>
    <w:rsid w:val="00611B18"/>
    <w:rsid w:val="00611DAB"/>
    <w:rsid w:val="00612D27"/>
    <w:rsid w:val="006132C6"/>
    <w:rsid w:val="006215E2"/>
    <w:rsid w:val="0062193C"/>
    <w:rsid w:val="00622989"/>
    <w:rsid w:val="00624E89"/>
    <w:rsid w:val="00625477"/>
    <w:rsid w:val="00625A6C"/>
    <w:rsid w:val="00627038"/>
    <w:rsid w:val="006308E0"/>
    <w:rsid w:val="00632EA4"/>
    <w:rsid w:val="0063367C"/>
    <w:rsid w:val="006342E7"/>
    <w:rsid w:val="0063527F"/>
    <w:rsid w:val="006371D6"/>
    <w:rsid w:val="006431C7"/>
    <w:rsid w:val="00644E8B"/>
    <w:rsid w:val="006458C4"/>
    <w:rsid w:val="006459A4"/>
    <w:rsid w:val="00647166"/>
    <w:rsid w:val="00652240"/>
    <w:rsid w:val="00654574"/>
    <w:rsid w:val="006550C3"/>
    <w:rsid w:val="00657E5D"/>
    <w:rsid w:val="0066346D"/>
    <w:rsid w:val="0066399F"/>
    <w:rsid w:val="0066404C"/>
    <w:rsid w:val="00664E3A"/>
    <w:rsid w:val="006659DF"/>
    <w:rsid w:val="006723B6"/>
    <w:rsid w:val="00672FFF"/>
    <w:rsid w:val="00673376"/>
    <w:rsid w:val="006739AB"/>
    <w:rsid w:val="00673C74"/>
    <w:rsid w:val="00674E45"/>
    <w:rsid w:val="00681EB0"/>
    <w:rsid w:val="00684961"/>
    <w:rsid w:val="00684EC4"/>
    <w:rsid w:val="0068551C"/>
    <w:rsid w:val="006856BE"/>
    <w:rsid w:val="00687CD5"/>
    <w:rsid w:val="00691135"/>
    <w:rsid w:val="006923A6"/>
    <w:rsid w:val="006923E3"/>
    <w:rsid w:val="006936D5"/>
    <w:rsid w:val="0069455E"/>
    <w:rsid w:val="00695F14"/>
    <w:rsid w:val="00696786"/>
    <w:rsid w:val="00696BA4"/>
    <w:rsid w:val="006A092F"/>
    <w:rsid w:val="006A3188"/>
    <w:rsid w:val="006A4E3B"/>
    <w:rsid w:val="006A5208"/>
    <w:rsid w:val="006B0644"/>
    <w:rsid w:val="006B0CE7"/>
    <w:rsid w:val="006B2433"/>
    <w:rsid w:val="006B25E3"/>
    <w:rsid w:val="006B5093"/>
    <w:rsid w:val="006B7ABB"/>
    <w:rsid w:val="006C0950"/>
    <w:rsid w:val="006C19B7"/>
    <w:rsid w:val="006C694C"/>
    <w:rsid w:val="006C74FE"/>
    <w:rsid w:val="006D304D"/>
    <w:rsid w:val="006D3673"/>
    <w:rsid w:val="006D49EE"/>
    <w:rsid w:val="006D524D"/>
    <w:rsid w:val="006D675B"/>
    <w:rsid w:val="006E3B1C"/>
    <w:rsid w:val="006E519C"/>
    <w:rsid w:val="006E5A81"/>
    <w:rsid w:val="006E5F28"/>
    <w:rsid w:val="006E79AD"/>
    <w:rsid w:val="006F038A"/>
    <w:rsid w:val="006F0F68"/>
    <w:rsid w:val="006F2107"/>
    <w:rsid w:val="006F2BB7"/>
    <w:rsid w:val="006F3506"/>
    <w:rsid w:val="006F51BE"/>
    <w:rsid w:val="006F5F8E"/>
    <w:rsid w:val="006F7701"/>
    <w:rsid w:val="0070206E"/>
    <w:rsid w:val="00703F34"/>
    <w:rsid w:val="0071080C"/>
    <w:rsid w:val="007108B5"/>
    <w:rsid w:val="00712056"/>
    <w:rsid w:val="00712227"/>
    <w:rsid w:val="0071409C"/>
    <w:rsid w:val="00714291"/>
    <w:rsid w:val="007154A3"/>
    <w:rsid w:val="007167C7"/>
    <w:rsid w:val="007200A5"/>
    <w:rsid w:val="007201FB"/>
    <w:rsid w:val="00720DC8"/>
    <w:rsid w:val="00721DBE"/>
    <w:rsid w:val="0072523B"/>
    <w:rsid w:val="00730971"/>
    <w:rsid w:val="00731116"/>
    <w:rsid w:val="00733611"/>
    <w:rsid w:val="00734068"/>
    <w:rsid w:val="007367F3"/>
    <w:rsid w:val="007372CF"/>
    <w:rsid w:val="00740263"/>
    <w:rsid w:val="007406FF"/>
    <w:rsid w:val="00740710"/>
    <w:rsid w:val="00740B91"/>
    <w:rsid w:val="00742C0F"/>
    <w:rsid w:val="0074337E"/>
    <w:rsid w:val="00744284"/>
    <w:rsid w:val="007443BB"/>
    <w:rsid w:val="00744A1A"/>
    <w:rsid w:val="00745528"/>
    <w:rsid w:val="0074736F"/>
    <w:rsid w:val="00751964"/>
    <w:rsid w:val="007532B7"/>
    <w:rsid w:val="007533D8"/>
    <w:rsid w:val="00754014"/>
    <w:rsid w:val="007567C8"/>
    <w:rsid w:val="007617ED"/>
    <w:rsid w:val="00762533"/>
    <w:rsid w:val="00764A0F"/>
    <w:rsid w:val="00771282"/>
    <w:rsid w:val="00772848"/>
    <w:rsid w:val="00773B04"/>
    <w:rsid w:val="00775F9E"/>
    <w:rsid w:val="0077675B"/>
    <w:rsid w:val="00776A41"/>
    <w:rsid w:val="0077767D"/>
    <w:rsid w:val="00783084"/>
    <w:rsid w:val="00783B1D"/>
    <w:rsid w:val="00783C0B"/>
    <w:rsid w:val="00787966"/>
    <w:rsid w:val="007914A9"/>
    <w:rsid w:val="0079227F"/>
    <w:rsid w:val="00794DAC"/>
    <w:rsid w:val="00796575"/>
    <w:rsid w:val="007972FA"/>
    <w:rsid w:val="007974F6"/>
    <w:rsid w:val="00797E5B"/>
    <w:rsid w:val="007A1B23"/>
    <w:rsid w:val="007A38D4"/>
    <w:rsid w:val="007A4ADF"/>
    <w:rsid w:val="007B576A"/>
    <w:rsid w:val="007B5E19"/>
    <w:rsid w:val="007B6B3C"/>
    <w:rsid w:val="007B76CD"/>
    <w:rsid w:val="007C308B"/>
    <w:rsid w:val="007C352B"/>
    <w:rsid w:val="007C3C8E"/>
    <w:rsid w:val="007C431E"/>
    <w:rsid w:val="007C5158"/>
    <w:rsid w:val="007C58A3"/>
    <w:rsid w:val="007C612B"/>
    <w:rsid w:val="007C625E"/>
    <w:rsid w:val="007C6FEE"/>
    <w:rsid w:val="007C73F6"/>
    <w:rsid w:val="007D062A"/>
    <w:rsid w:val="007D0B22"/>
    <w:rsid w:val="007D36D7"/>
    <w:rsid w:val="007D3ABB"/>
    <w:rsid w:val="007D4BB6"/>
    <w:rsid w:val="007D618D"/>
    <w:rsid w:val="007D7BD0"/>
    <w:rsid w:val="007D7F1B"/>
    <w:rsid w:val="007E1CB2"/>
    <w:rsid w:val="007E288B"/>
    <w:rsid w:val="007E33E9"/>
    <w:rsid w:val="007E3D14"/>
    <w:rsid w:val="007E5444"/>
    <w:rsid w:val="007E5B2D"/>
    <w:rsid w:val="007E5ED4"/>
    <w:rsid w:val="007E5EF8"/>
    <w:rsid w:val="007E6668"/>
    <w:rsid w:val="007E6FA8"/>
    <w:rsid w:val="007F1192"/>
    <w:rsid w:val="007F294E"/>
    <w:rsid w:val="007F38D6"/>
    <w:rsid w:val="00801413"/>
    <w:rsid w:val="0080184F"/>
    <w:rsid w:val="008049BE"/>
    <w:rsid w:val="008054FD"/>
    <w:rsid w:val="00805BC2"/>
    <w:rsid w:val="00805D0F"/>
    <w:rsid w:val="00806097"/>
    <w:rsid w:val="008068BB"/>
    <w:rsid w:val="00812C4F"/>
    <w:rsid w:val="00813BD3"/>
    <w:rsid w:val="00816282"/>
    <w:rsid w:val="00816D19"/>
    <w:rsid w:val="00821590"/>
    <w:rsid w:val="00822115"/>
    <w:rsid w:val="008224CF"/>
    <w:rsid w:val="008239E3"/>
    <w:rsid w:val="00823D78"/>
    <w:rsid w:val="00823FFD"/>
    <w:rsid w:val="00824C51"/>
    <w:rsid w:val="00825164"/>
    <w:rsid w:val="00825AE1"/>
    <w:rsid w:val="00825E2E"/>
    <w:rsid w:val="00826FCA"/>
    <w:rsid w:val="00832C3F"/>
    <w:rsid w:val="00836D26"/>
    <w:rsid w:val="00836F1C"/>
    <w:rsid w:val="008378D0"/>
    <w:rsid w:val="00837F39"/>
    <w:rsid w:val="00841809"/>
    <w:rsid w:val="00843B80"/>
    <w:rsid w:val="00852B1E"/>
    <w:rsid w:val="00852DC1"/>
    <w:rsid w:val="00854006"/>
    <w:rsid w:val="0085400A"/>
    <w:rsid w:val="008542C0"/>
    <w:rsid w:val="00856063"/>
    <w:rsid w:val="00857791"/>
    <w:rsid w:val="0086035A"/>
    <w:rsid w:val="0086067C"/>
    <w:rsid w:val="00860682"/>
    <w:rsid w:val="00861EA3"/>
    <w:rsid w:val="008655C1"/>
    <w:rsid w:val="00865A9A"/>
    <w:rsid w:val="00866D2F"/>
    <w:rsid w:val="00870580"/>
    <w:rsid w:val="00872300"/>
    <w:rsid w:val="00872B35"/>
    <w:rsid w:val="008732EE"/>
    <w:rsid w:val="008740FA"/>
    <w:rsid w:val="00875077"/>
    <w:rsid w:val="00875F27"/>
    <w:rsid w:val="008760B3"/>
    <w:rsid w:val="00876B70"/>
    <w:rsid w:val="008838FE"/>
    <w:rsid w:val="0088407F"/>
    <w:rsid w:val="00884B45"/>
    <w:rsid w:val="00885859"/>
    <w:rsid w:val="0088627F"/>
    <w:rsid w:val="008874A5"/>
    <w:rsid w:val="00890062"/>
    <w:rsid w:val="00890E8D"/>
    <w:rsid w:val="00892249"/>
    <w:rsid w:val="00897893"/>
    <w:rsid w:val="008A0267"/>
    <w:rsid w:val="008A107C"/>
    <w:rsid w:val="008A1B07"/>
    <w:rsid w:val="008A36DB"/>
    <w:rsid w:val="008A4B8F"/>
    <w:rsid w:val="008A5150"/>
    <w:rsid w:val="008A704B"/>
    <w:rsid w:val="008A7387"/>
    <w:rsid w:val="008A79E7"/>
    <w:rsid w:val="008B1394"/>
    <w:rsid w:val="008B29AB"/>
    <w:rsid w:val="008B2AED"/>
    <w:rsid w:val="008B3975"/>
    <w:rsid w:val="008B5D39"/>
    <w:rsid w:val="008B5DC1"/>
    <w:rsid w:val="008B648C"/>
    <w:rsid w:val="008B6A54"/>
    <w:rsid w:val="008B6B4A"/>
    <w:rsid w:val="008C0E9C"/>
    <w:rsid w:val="008C1A7F"/>
    <w:rsid w:val="008C2B63"/>
    <w:rsid w:val="008C73D7"/>
    <w:rsid w:val="008C76A1"/>
    <w:rsid w:val="008C7FB0"/>
    <w:rsid w:val="008D0771"/>
    <w:rsid w:val="008D2410"/>
    <w:rsid w:val="008D2724"/>
    <w:rsid w:val="008D5138"/>
    <w:rsid w:val="008D7151"/>
    <w:rsid w:val="008E1326"/>
    <w:rsid w:val="008E1E47"/>
    <w:rsid w:val="008E1F02"/>
    <w:rsid w:val="008E2243"/>
    <w:rsid w:val="008E305C"/>
    <w:rsid w:val="008E36D1"/>
    <w:rsid w:val="008E54BE"/>
    <w:rsid w:val="008E6A7A"/>
    <w:rsid w:val="008E6C40"/>
    <w:rsid w:val="008E714C"/>
    <w:rsid w:val="008E77E0"/>
    <w:rsid w:val="008E78CE"/>
    <w:rsid w:val="008F3C76"/>
    <w:rsid w:val="008F5579"/>
    <w:rsid w:val="008F5ED9"/>
    <w:rsid w:val="008F5FC9"/>
    <w:rsid w:val="008F6DB7"/>
    <w:rsid w:val="008F78FC"/>
    <w:rsid w:val="00904E3B"/>
    <w:rsid w:val="009070DB"/>
    <w:rsid w:val="00907332"/>
    <w:rsid w:val="00907808"/>
    <w:rsid w:val="00913902"/>
    <w:rsid w:val="00914570"/>
    <w:rsid w:val="0091526A"/>
    <w:rsid w:val="0091630E"/>
    <w:rsid w:val="009166FB"/>
    <w:rsid w:val="00922715"/>
    <w:rsid w:val="00923094"/>
    <w:rsid w:val="00924559"/>
    <w:rsid w:val="00924652"/>
    <w:rsid w:val="00926B99"/>
    <w:rsid w:val="0092714D"/>
    <w:rsid w:val="009314F5"/>
    <w:rsid w:val="00931589"/>
    <w:rsid w:val="00932710"/>
    <w:rsid w:val="00933472"/>
    <w:rsid w:val="00933911"/>
    <w:rsid w:val="0093473A"/>
    <w:rsid w:val="00935948"/>
    <w:rsid w:val="00935C05"/>
    <w:rsid w:val="00935CD0"/>
    <w:rsid w:val="00936ACD"/>
    <w:rsid w:val="00936C3F"/>
    <w:rsid w:val="00937D7A"/>
    <w:rsid w:val="00941A89"/>
    <w:rsid w:val="009420BF"/>
    <w:rsid w:val="00942365"/>
    <w:rsid w:val="00942BF3"/>
    <w:rsid w:val="00945C0F"/>
    <w:rsid w:val="00945CAD"/>
    <w:rsid w:val="009468F1"/>
    <w:rsid w:val="0095133E"/>
    <w:rsid w:val="009530E3"/>
    <w:rsid w:val="00953C2C"/>
    <w:rsid w:val="009552F8"/>
    <w:rsid w:val="0095606D"/>
    <w:rsid w:val="00956168"/>
    <w:rsid w:val="00957218"/>
    <w:rsid w:val="009621CB"/>
    <w:rsid w:val="00962CBB"/>
    <w:rsid w:val="009660DB"/>
    <w:rsid w:val="0096723E"/>
    <w:rsid w:val="00970DF7"/>
    <w:rsid w:val="00971C8C"/>
    <w:rsid w:val="0097228B"/>
    <w:rsid w:val="00973624"/>
    <w:rsid w:val="00973ABE"/>
    <w:rsid w:val="00974569"/>
    <w:rsid w:val="00975A38"/>
    <w:rsid w:val="00976707"/>
    <w:rsid w:val="0098024C"/>
    <w:rsid w:val="00981013"/>
    <w:rsid w:val="009810FF"/>
    <w:rsid w:val="00982D40"/>
    <w:rsid w:val="00982E3E"/>
    <w:rsid w:val="00986428"/>
    <w:rsid w:val="00990160"/>
    <w:rsid w:val="00991487"/>
    <w:rsid w:val="00991CEE"/>
    <w:rsid w:val="00992137"/>
    <w:rsid w:val="009925E7"/>
    <w:rsid w:val="00992844"/>
    <w:rsid w:val="00993C87"/>
    <w:rsid w:val="00997575"/>
    <w:rsid w:val="009A10FA"/>
    <w:rsid w:val="009A1AF6"/>
    <w:rsid w:val="009A2400"/>
    <w:rsid w:val="009A37FC"/>
    <w:rsid w:val="009A4946"/>
    <w:rsid w:val="009A5D21"/>
    <w:rsid w:val="009A7C7F"/>
    <w:rsid w:val="009B2745"/>
    <w:rsid w:val="009B2C86"/>
    <w:rsid w:val="009B3162"/>
    <w:rsid w:val="009B3819"/>
    <w:rsid w:val="009B5765"/>
    <w:rsid w:val="009B68AC"/>
    <w:rsid w:val="009B7BD3"/>
    <w:rsid w:val="009B7C45"/>
    <w:rsid w:val="009C3A51"/>
    <w:rsid w:val="009C58D5"/>
    <w:rsid w:val="009C5CEE"/>
    <w:rsid w:val="009C7628"/>
    <w:rsid w:val="009D0E88"/>
    <w:rsid w:val="009D153F"/>
    <w:rsid w:val="009D1D1F"/>
    <w:rsid w:val="009D2C8C"/>
    <w:rsid w:val="009D2F4E"/>
    <w:rsid w:val="009D41A0"/>
    <w:rsid w:val="009D44E1"/>
    <w:rsid w:val="009D609A"/>
    <w:rsid w:val="009D6406"/>
    <w:rsid w:val="009D65DF"/>
    <w:rsid w:val="009D72DD"/>
    <w:rsid w:val="009D7D67"/>
    <w:rsid w:val="009E24F3"/>
    <w:rsid w:val="009E366C"/>
    <w:rsid w:val="009E4BC2"/>
    <w:rsid w:val="009E5B2B"/>
    <w:rsid w:val="009E69F1"/>
    <w:rsid w:val="009E6AFD"/>
    <w:rsid w:val="009E71F0"/>
    <w:rsid w:val="009F0A5E"/>
    <w:rsid w:val="009F0E91"/>
    <w:rsid w:val="009F1394"/>
    <w:rsid w:val="009F29F1"/>
    <w:rsid w:val="009F4063"/>
    <w:rsid w:val="009F450E"/>
    <w:rsid w:val="009F49FC"/>
    <w:rsid w:val="009F55C8"/>
    <w:rsid w:val="00A00D2D"/>
    <w:rsid w:val="00A04912"/>
    <w:rsid w:val="00A04972"/>
    <w:rsid w:val="00A07BFC"/>
    <w:rsid w:val="00A1117A"/>
    <w:rsid w:val="00A126C3"/>
    <w:rsid w:val="00A15E65"/>
    <w:rsid w:val="00A16D8F"/>
    <w:rsid w:val="00A2342F"/>
    <w:rsid w:val="00A23D08"/>
    <w:rsid w:val="00A24C6D"/>
    <w:rsid w:val="00A259E7"/>
    <w:rsid w:val="00A27069"/>
    <w:rsid w:val="00A30CB5"/>
    <w:rsid w:val="00A3292F"/>
    <w:rsid w:val="00A32B1D"/>
    <w:rsid w:val="00A33048"/>
    <w:rsid w:val="00A34B34"/>
    <w:rsid w:val="00A35320"/>
    <w:rsid w:val="00A356FE"/>
    <w:rsid w:val="00A40183"/>
    <w:rsid w:val="00A43D8A"/>
    <w:rsid w:val="00A4598F"/>
    <w:rsid w:val="00A47CB4"/>
    <w:rsid w:val="00A47E80"/>
    <w:rsid w:val="00A47F06"/>
    <w:rsid w:val="00A518A9"/>
    <w:rsid w:val="00A5191F"/>
    <w:rsid w:val="00A528E9"/>
    <w:rsid w:val="00A536AD"/>
    <w:rsid w:val="00A542A5"/>
    <w:rsid w:val="00A62B50"/>
    <w:rsid w:val="00A62C25"/>
    <w:rsid w:val="00A65564"/>
    <w:rsid w:val="00A664E2"/>
    <w:rsid w:val="00A70039"/>
    <w:rsid w:val="00A70123"/>
    <w:rsid w:val="00A7202B"/>
    <w:rsid w:val="00A73312"/>
    <w:rsid w:val="00A747F1"/>
    <w:rsid w:val="00A750E5"/>
    <w:rsid w:val="00A754DA"/>
    <w:rsid w:val="00A7607D"/>
    <w:rsid w:val="00A77075"/>
    <w:rsid w:val="00A84CB0"/>
    <w:rsid w:val="00A908E5"/>
    <w:rsid w:val="00A93578"/>
    <w:rsid w:val="00A94810"/>
    <w:rsid w:val="00AA0EC3"/>
    <w:rsid w:val="00AA142E"/>
    <w:rsid w:val="00AA3E0F"/>
    <w:rsid w:val="00AA4EF8"/>
    <w:rsid w:val="00AA63D8"/>
    <w:rsid w:val="00AB3378"/>
    <w:rsid w:val="00AB3D5C"/>
    <w:rsid w:val="00AB4F51"/>
    <w:rsid w:val="00AB560C"/>
    <w:rsid w:val="00AB5A42"/>
    <w:rsid w:val="00AB7B33"/>
    <w:rsid w:val="00AC199D"/>
    <w:rsid w:val="00AC35CF"/>
    <w:rsid w:val="00AC4560"/>
    <w:rsid w:val="00AC6FE0"/>
    <w:rsid w:val="00AD0B5A"/>
    <w:rsid w:val="00AD2170"/>
    <w:rsid w:val="00AD25E3"/>
    <w:rsid w:val="00AD32FA"/>
    <w:rsid w:val="00AD47E1"/>
    <w:rsid w:val="00AD5857"/>
    <w:rsid w:val="00AD65FE"/>
    <w:rsid w:val="00AE25A4"/>
    <w:rsid w:val="00AE3F06"/>
    <w:rsid w:val="00AE7D80"/>
    <w:rsid w:val="00AE7E97"/>
    <w:rsid w:val="00AF05D6"/>
    <w:rsid w:val="00AF0A06"/>
    <w:rsid w:val="00AF22D7"/>
    <w:rsid w:val="00AF32AE"/>
    <w:rsid w:val="00AF365C"/>
    <w:rsid w:val="00AF3E8E"/>
    <w:rsid w:val="00AF449A"/>
    <w:rsid w:val="00AF55C9"/>
    <w:rsid w:val="00AF5672"/>
    <w:rsid w:val="00AF65A2"/>
    <w:rsid w:val="00AF6CB2"/>
    <w:rsid w:val="00AF6FF3"/>
    <w:rsid w:val="00AF705B"/>
    <w:rsid w:val="00B00830"/>
    <w:rsid w:val="00B0284B"/>
    <w:rsid w:val="00B102AE"/>
    <w:rsid w:val="00B102E6"/>
    <w:rsid w:val="00B12792"/>
    <w:rsid w:val="00B13B48"/>
    <w:rsid w:val="00B15A36"/>
    <w:rsid w:val="00B16E51"/>
    <w:rsid w:val="00B2397A"/>
    <w:rsid w:val="00B23AF1"/>
    <w:rsid w:val="00B23F58"/>
    <w:rsid w:val="00B24F48"/>
    <w:rsid w:val="00B24F78"/>
    <w:rsid w:val="00B27034"/>
    <w:rsid w:val="00B3002E"/>
    <w:rsid w:val="00B33477"/>
    <w:rsid w:val="00B41554"/>
    <w:rsid w:val="00B415C9"/>
    <w:rsid w:val="00B4212F"/>
    <w:rsid w:val="00B42478"/>
    <w:rsid w:val="00B42A2A"/>
    <w:rsid w:val="00B42EFD"/>
    <w:rsid w:val="00B440DC"/>
    <w:rsid w:val="00B44E8B"/>
    <w:rsid w:val="00B45032"/>
    <w:rsid w:val="00B45C2D"/>
    <w:rsid w:val="00B50CF6"/>
    <w:rsid w:val="00B51DE7"/>
    <w:rsid w:val="00B52E78"/>
    <w:rsid w:val="00B5316D"/>
    <w:rsid w:val="00B55A6D"/>
    <w:rsid w:val="00B5605A"/>
    <w:rsid w:val="00B57008"/>
    <w:rsid w:val="00B571B7"/>
    <w:rsid w:val="00B608CA"/>
    <w:rsid w:val="00B6111F"/>
    <w:rsid w:val="00B6115E"/>
    <w:rsid w:val="00B611B7"/>
    <w:rsid w:val="00B61B69"/>
    <w:rsid w:val="00B650E0"/>
    <w:rsid w:val="00B72397"/>
    <w:rsid w:val="00B72A25"/>
    <w:rsid w:val="00B7323D"/>
    <w:rsid w:val="00B752FB"/>
    <w:rsid w:val="00B76F7D"/>
    <w:rsid w:val="00B80B3F"/>
    <w:rsid w:val="00B817C8"/>
    <w:rsid w:val="00B832CC"/>
    <w:rsid w:val="00B83B41"/>
    <w:rsid w:val="00B85DF8"/>
    <w:rsid w:val="00B86C8F"/>
    <w:rsid w:val="00B87BAB"/>
    <w:rsid w:val="00B9280C"/>
    <w:rsid w:val="00B93CD3"/>
    <w:rsid w:val="00B94687"/>
    <w:rsid w:val="00BA0121"/>
    <w:rsid w:val="00BA0897"/>
    <w:rsid w:val="00BA55AF"/>
    <w:rsid w:val="00BA66D1"/>
    <w:rsid w:val="00BA73CB"/>
    <w:rsid w:val="00BB3C91"/>
    <w:rsid w:val="00BB6270"/>
    <w:rsid w:val="00BB6816"/>
    <w:rsid w:val="00BB6985"/>
    <w:rsid w:val="00BC0879"/>
    <w:rsid w:val="00BC0E83"/>
    <w:rsid w:val="00BC2219"/>
    <w:rsid w:val="00BC432A"/>
    <w:rsid w:val="00BC4AB7"/>
    <w:rsid w:val="00BC535D"/>
    <w:rsid w:val="00BC5A73"/>
    <w:rsid w:val="00BC616A"/>
    <w:rsid w:val="00BC660A"/>
    <w:rsid w:val="00BC69E5"/>
    <w:rsid w:val="00BC77FA"/>
    <w:rsid w:val="00BD0897"/>
    <w:rsid w:val="00BD0E96"/>
    <w:rsid w:val="00BD1973"/>
    <w:rsid w:val="00BD44A8"/>
    <w:rsid w:val="00BD50F5"/>
    <w:rsid w:val="00BD6FDD"/>
    <w:rsid w:val="00BD748D"/>
    <w:rsid w:val="00BE09DB"/>
    <w:rsid w:val="00BE0C8E"/>
    <w:rsid w:val="00BE4D00"/>
    <w:rsid w:val="00BE755D"/>
    <w:rsid w:val="00BF0252"/>
    <w:rsid w:val="00BF0F3C"/>
    <w:rsid w:val="00BF1159"/>
    <w:rsid w:val="00BF15F2"/>
    <w:rsid w:val="00BF1930"/>
    <w:rsid w:val="00BF6680"/>
    <w:rsid w:val="00BF67F2"/>
    <w:rsid w:val="00BF75E8"/>
    <w:rsid w:val="00BF79AC"/>
    <w:rsid w:val="00C004C3"/>
    <w:rsid w:val="00C00827"/>
    <w:rsid w:val="00C02084"/>
    <w:rsid w:val="00C025E2"/>
    <w:rsid w:val="00C033EF"/>
    <w:rsid w:val="00C048AE"/>
    <w:rsid w:val="00C04EA9"/>
    <w:rsid w:val="00C07A80"/>
    <w:rsid w:val="00C10C1B"/>
    <w:rsid w:val="00C115C3"/>
    <w:rsid w:val="00C116D3"/>
    <w:rsid w:val="00C129B3"/>
    <w:rsid w:val="00C12E03"/>
    <w:rsid w:val="00C146DF"/>
    <w:rsid w:val="00C15D6C"/>
    <w:rsid w:val="00C15F60"/>
    <w:rsid w:val="00C160B7"/>
    <w:rsid w:val="00C232B7"/>
    <w:rsid w:val="00C23999"/>
    <w:rsid w:val="00C2518E"/>
    <w:rsid w:val="00C25692"/>
    <w:rsid w:val="00C26BFE"/>
    <w:rsid w:val="00C26E3A"/>
    <w:rsid w:val="00C27F6D"/>
    <w:rsid w:val="00C30EF0"/>
    <w:rsid w:val="00C34EC1"/>
    <w:rsid w:val="00C35D58"/>
    <w:rsid w:val="00C36B40"/>
    <w:rsid w:val="00C3747A"/>
    <w:rsid w:val="00C45CA0"/>
    <w:rsid w:val="00C45E91"/>
    <w:rsid w:val="00C46D1D"/>
    <w:rsid w:val="00C507BE"/>
    <w:rsid w:val="00C50C56"/>
    <w:rsid w:val="00C5555F"/>
    <w:rsid w:val="00C55D55"/>
    <w:rsid w:val="00C569CB"/>
    <w:rsid w:val="00C56C7A"/>
    <w:rsid w:val="00C6093E"/>
    <w:rsid w:val="00C627C7"/>
    <w:rsid w:val="00C64E00"/>
    <w:rsid w:val="00C651BF"/>
    <w:rsid w:val="00C71E56"/>
    <w:rsid w:val="00C7320F"/>
    <w:rsid w:val="00C77343"/>
    <w:rsid w:val="00C82EBC"/>
    <w:rsid w:val="00C85ED7"/>
    <w:rsid w:val="00C86968"/>
    <w:rsid w:val="00C8706B"/>
    <w:rsid w:val="00C90493"/>
    <w:rsid w:val="00C906D7"/>
    <w:rsid w:val="00C90DC3"/>
    <w:rsid w:val="00C9106B"/>
    <w:rsid w:val="00C91735"/>
    <w:rsid w:val="00C930A6"/>
    <w:rsid w:val="00C932A5"/>
    <w:rsid w:val="00C942D9"/>
    <w:rsid w:val="00C943D3"/>
    <w:rsid w:val="00C94BF3"/>
    <w:rsid w:val="00C94D6C"/>
    <w:rsid w:val="00C967D2"/>
    <w:rsid w:val="00C96F4C"/>
    <w:rsid w:val="00C973CC"/>
    <w:rsid w:val="00CA07A9"/>
    <w:rsid w:val="00CA1AFD"/>
    <w:rsid w:val="00CA1C22"/>
    <w:rsid w:val="00CA261C"/>
    <w:rsid w:val="00CA3498"/>
    <w:rsid w:val="00CA53F7"/>
    <w:rsid w:val="00CA6E43"/>
    <w:rsid w:val="00CA70FD"/>
    <w:rsid w:val="00CA7977"/>
    <w:rsid w:val="00CB1693"/>
    <w:rsid w:val="00CB1868"/>
    <w:rsid w:val="00CB1CFF"/>
    <w:rsid w:val="00CB23D2"/>
    <w:rsid w:val="00CB2B2F"/>
    <w:rsid w:val="00CB409C"/>
    <w:rsid w:val="00CB47BB"/>
    <w:rsid w:val="00CB50F5"/>
    <w:rsid w:val="00CC0678"/>
    <w:rsid w:val="00CC554F"/>
    <w:rsid w:val="00CC63BD"/>
    <w:rsid w:val="00CC698E"/>
    <w:rsid w:val="00CC7AD0"/>
    <w:rsid w:val="00CD02D0"/>
    <w:rsid w:val="00CD25EC"/>
    <w:rsid w:val="00CD29E2"/>
    <w:rsid w:val="00CD3C90"/>
    <w:rsid w:val="00CD3E58"/>
    <w:rsid w:val="00CD4E85"/>
    <w:rsid w:val="00CD7084"/>
    <w:rsid w:val="00CE09E1"/>
    <w:rsid w:val="00CE0A7C"/>
    <w:rsid w:val="00CE4836"/>
    <w:rsid w:val="00CE7441"/>
    <w:rsid w:val="00CF07AB"/>
    <w:rsid w:val="00CF13BC"/>
    <w:rsid w:val="00CF2075"/>
    <w:rsid w:val="00CF35CD"/>
    <w:rsid w:val="00CF40C8"/>
    <w:rsid w:val="00CF41C9"/>
    <w:rsid w:val="00CF5D3B"/>
    <w:rsid w:val="00CF6775"/>
    <w:rsid w:val="00CF71C5"/>
    <w:rsid w:val="00CF71F8"/>
    <w:rsid w:val="00D04ACB"/>
    <w:rsid w:val="00D05876"/>
    <w:rsid w:val="00D05F22"/>
    <w:rsid w:val="00D066A8"/>
    <w:rsid w:val="00D103F9"/>
    <w:rsid w:val="00D10D07"/>
    <w:rsid w:val="00D12144"/>
    <w:rsid w:val="00D128EF"/>
    <w:rsid w:val="00D1302A"/>
    <w:rsid w:val="00D13AD2"/>
    <w:rsid w:val="00D158F2"/>
    <w:rsid w:val="00D15A45"/>
    <w:rsid w:val="00D16B9B"/>
    <w:rsid w:val="00D17838"/>
    <w:rsid w:val="00D17986"/>
    <w:rsid w:val="00D209EF"/>
    <w:rsid w:val="00D20C86"/>
    <w:rsid w:val="00D2112F"/>
    <w:rsid w:val="00D213EC"/>
    <w:rsid w:val="00D2289A"/>
    <w:rsid w:val="00D22E06"/>
    <w:rsid w:val="00D2571B"/>
    <w:rsid w:val="00D25AA2"/>
    <w:rsid w:val="00D25CDF"/>
    <w:rsid w:val="00D265E8"/>
    <w:rsid w:val="00D31618"/>
    <w:rsid w:val="00D31722"/>
    <w:rsid w:val="00D3217C"/>
    <w:rsid w:val="00D346E6"/>
    <w:rsid w:val="00D349AD"/>
    <w:rsid w:val="00D3502E"/>
    <w:rsid w:val="00D35056"/>
    <w:rsid w:val="00D3641B"/>
    <w:rsid w:val="00D40746"/>
    <w:rsid w:val="00D407B8"/>
    <w:rsid w:val="00D43D53"/>
    <w:rsid w:val="00D51521"/>
    <w:rsid w:val="00D5565E"/>
    <w:rsid w:val="00D6129E"/>
    <w:rsid w:val="00D65A3F"/>
    <w:rsid w:val="00D65DA8"/>
    <w:rsid w:val="00D661E4"/>
    <w:rsid w:val="00D66455"/>
    <w:rsid w:val="00D665BF"/>
    <w:rsid w:val="00D66A0C"/>
    <w:rsid w:val="00D673B8"/>
    <w:rsid w:val="00D702B1"/>
    <w:rsid w:val="00D7264A"/>
    <w:rsid w:val="00D7306A"/>
    <w:rsid w:val="00D7306B"/>
    <w:rsid w:val="00D73684"/>
    <w:rsid w:val="00D74AC1"/>
    <w:rsid w:val="00D74E61"/>
    <w:rsid w:val="00D8010B"/>
    <w:rsid w:val="00D82B16"/>
    <w:rsid w:val="00D8366B"/>
    <w:rsid w:val="00D83E9D"/>
    <w:rsid w:val="00D8444A"/>
    <w:rsid w:val="00D87599"/>
    <w:rsid w:val="00D8796B"/>
    <w:rsid w:val="00D87D0C"/>
    <w:rsid w:val="00D911A9"/>
    <w:rsid w:val="00D92392"/>
    <w:rsid w:val="00D923E9"/>
    <w:rsid w:val="00D9295A"/>
    <w:rsid w:val="00D943FF"/>
    <w:rsid w:val="00D95107"/>
    <w:rsid w:val="00D961AA"/>
    <w:rsid w:val="00DA0F98"/>
    <w:rsid w:val="00DA11A1"/>
    <w:rsid w:val="00DA3B11"/>
    <w:rsid w:val="00DA4D5B"/>
    <w:rsid w:val="00DA72ED"/>
    <w:rsid w:val="00DA7C10"/>
    <w:rsid w:val="00DB2245"/>
    <w:rsid w:val="00DB3AAD"/>
    <w:rsid w:val="00DB40D7"/>
    <w:rsid w:val="00DB4F65"/>
    <w:rsid w:val="00DB70DB"/>
    <w:rsid w:val="00DB749B"/>
    <w:rsid w:val="00DC06F7"/>
    <w:rsid w:val="00DC64BA"/>
    <w:rsid w:val="00DC68E5"/>
    <w:rsid w:val="00DC6986"/>
    <w:rsid w:val="00DC6C38"/>
    <w:rsid w:val="00DC707F"/>
    <w:rsid w:val="00DD02C5"/>
    <w:rsid w:val="00DD07AF"/>
    <w:rsid w:val="00DD119F"/>
    <w:rsid w:val="00DD33FB"/>
    <w:rsid w:val="00DD6434"/>
    <w:rsid w:val="00DD6C1E"/>
    <w:rsid w:val="00DD79D0"/>
    <w:rsid w:val="00DE11A0"/>
    <w:rsid w:val="00DE11F0"/>
    <w:rsid w:val="00DE2CCF"/>
    <w:rsid w:val="00DE4453"/>
    <w:rsid w:val="00DE63D1"/>
    <w:rsid w:val="00DE6B7B"/>
    <w:rsid w:val="00DE72F7"/>
    <w:rsid w:val="00DF058C"/>
    <w:rsid w:val="00DF09B1"/>
    <w:rsid w:val="00DF16D5"/>
    <w:rsid w:val="00DF4DB9"/>
    <w:rsid w:val="00DF57CB"/>
    <w:rsid w:val="00DF6F9F"/>
    <w:rsid w:val="00E011C7"/>
    <w:rsid w:val="00E011F0"/>
    <w:rsid w:val="00E02490"/>
    <w:rsid w:val="00E026BC"/>
    <w:rsid w:val="00E04F59"/>
    <w:rsid w:val="00E0504C"/>
    <w:rsid w:val="00E0723E"/>
    <w:rsid w:val="00E11826"/>
    <w:rsid w:val="00E12C34"/>
    <w:rsid w:val="00E1542A"/>
    <w:rsid w:val="00E15F2C"/>
    <w:rsid w:val="00E16823"/>
    <w:rsid w:val="00E172B5"/>
    <w:rsid w:val="00E17E8D"/>
    <w:rsid w:val="00E208A5"/>
    <w:rsid w:val="00E22201"/>
    <w:rsid w:val="00E26F6E"/>
    <w:rsid w:val="00E31F35"/>
    <w:rsid w:val="00E332E2"/>
    <w:rsid w:val="00E33A67"/>
    <w:rsid w:val="00E35422"/>
    <w:rsid w:val="00E35711"/>
    <w:rsid w:val="00E37677"/>
    <w:rsid w:val="00E3794B"/>
    <w:rsid w:val="00E37E84"/>
    <w:rsid w:val="00E41766"/>
    <w:rsid w:val="00E41E1C"/>
    <w:rsid w:val="00E457B8"/>
    <w:rsid w:val="00E50415"/>
    <w:rsid w:val="00E51AD3"/>
    <w:rsid w:val="00E51D4C"/>
    <w:rsid w:val="00E520E3"/>
    <w:rsid w:val="00E54143"/>
    <w:rsid w:val="00E54E4F"/>
    <w:rsid w:val="00E57369"/>
    <w:rsid w:val="00E618D4"/>
    <w:rsid w:val="00E62F1A"/>
    <w:rsid w:val="00E6336A"/>
    <w:rsid w:val="00E639CE"/>
    <w:rsid w:val="00E6439A"/>
    <w:rsid w:val="00E700EC"/>
    <w:rsid w:val="00E7011B"/>
    <w:rsid w:val="00E707A2"/>
    <w:rsid w:val="00E72124"/>
    <w:rsid w:val="00E75B06"/>
    <w:rsid w:val="00E760B7"/>
    <w:rsid w:val="00E76AC2"/>
    <w:rsid w:val="00E7775E"/>
    <w:rsid w:val="00E83CEC"/>
    <w:rsid w:val="00E84B03"/>
    <w:rsid w:val="00E860A5"/>
    <w:rsid w:val="00E869DB"/>
    <w:rsid w:val="00E86F7F"/>
    <w:rsid w:val="00E903A6"/>
    <w:rsid w:val="00E914BA"/>
    <w:rsid w:val="00E92B02"/>
    <w:rsid w:val="00E9606D"/>
    <w:rsid w:val="00EA0254"/>
    <w:rsid w:val="00EA1819"/>
    <w:rsid w:val="00EA2995"/>
    <w:rsid w:val="00EA478A"/>
    <w:rsid w:val="00EA5D5A"/>
    <w:rsid w:val="00EA5FD6"/>
    <w:rsid w:val="00EB1024"/>
    <w:rsid w:val="00EB2C73"/>
    <w:rsid w:val="00EB2E10"/>
    <w:rsid w:val="00EB426E"/>
    <w:rsid w:val="00EB5054"/>
    <w:rsid w:val="00EB5429"/>
    <w:rsid w:val="00EB55C1"/>
    <w:rsid w:val="00EB5BC8"/>
    <w:rsid w:val="00EB6933"/>
    <w:rsid w:val="00EB7DC2"/>
    <w:rsid w:val="00EB7DCF"/>
    <w:rsid w:val="00EB7E90"/>
    <w:rsid w:val="00EC13B7"/>
    <w:rsid w:val="00EC1CF9"/>
    <w:rsid w:val="00EC29BE"/>
    <w:rsid w:val="00EC3743"/>
    <w:rsid w:val="00EC5BD0"/>
    <w:rsid w:val="00ED1156"/>
    <w:rsid w:val="00ED2D37"/>
    <w:rsid w:val="00ED3B6A"/>
    <w:rsid w:val="00ED40B2"/>
    <w:rsid w:val="00ED53C9"/>
    <w:rsid w:val="00ED68A0"/>
    <w:rsid w:val="00EE2CA7"/>
    <w:rsid w:val="00EE4143"/>
    <w:rsid w:val="00EE43BA"/>
    <w:rsid w:val="00EE6A18"/>
    <w:rsid w:val="00EE7DE4"/>
    <w:rsid w:val="00EF0127"/>
    <w:rsid w:val="00EF0800"/>
    <w:rsid w:val="00EF1060"/>
    <w:rsid w:val="00EF20CE"/>
    <w:rsid w:val="00EF5119"/>
    <w:rsid w:val="00EF660F"/>
    <w:rsid w:val="00EF66E8"/>
    <w:rsid w:val="00EF6E4A"/>
    <w:rsid w:val="00F005DA"/>
    <w:rsid w:val="00F006A2"/>
    <w:rsid w:val="00F01124"/>
    <w:rsid w:val="00F021D4"/>
    <w:rsid w:val="00F03B94"/>
    <w:rsid w:val="00F0506A"/>
    <w:rsid w:val="00F06F18"/>
    <w:rsid w:val="00F071E2"/>
    <w:rsid w:val="00F15883"/>
    <w:rsid w:val="00F16ED4"/>
    <w:rsid w:val="00F17FE2"/>
    <w:rsid w:val="00F22015"/>
    <w:rsid w:val="00F230A6"/>
    <w:rsid w:val="00F271F4"/>
    <w:rsid w:val="00F2734E"/>
    <w:rsid w:val="00F273D6"/>
    <w:rsid w:val="00F304ED"/>
    <w:rsid w:val="00F32D07"/>
    <w:rsid w:val="00F32FF9"/>
    <w:rsid w:val="00F347FE"/>
    <w:rsid w:val="00F36810"/>
    <w:rsid w:val="00F37176"/>
    <w:rsid w:val="00F41B9C"/>
    <w:rsid w:val="00F42768"/>
    <w:rsid w:val="00F43499"/>
    <w:rsid w:val="00F43D93"/>
    <w:rsid w:val="00F44F4A"/>
    <w:rsid w:val="00F45925"/>
    <w:rsid w:val="00F45979"/>
    <w:rsid w:val="00F45A92"/>
    <w:rsid w:val="00F471B6"/>
    <w:rsid w:val="00F50FCB"/>
    <w:rsid w:val="00F51439"/>
    <w:rsid w:val="00F51B0E"/>
    <w:rsid w:val="00F51BB9"/>
    <w:rsid w:val="00F52DCB"/>
    <w:rsid w:val="00F537B5"/>
    <w:rsid w:val="00F53F63"/>
    <w:rsid w:val="00F54175"/>
    <w:rsid w:val="00F5500C"/>
    <w:rsid w:val="00F55220"/>
    <w:rsid w:val="00F561BB"/>
    <w:rsid w:val="00F56FA1"/>
    <w:rsid w:val="00F57BBE"/>
    <w:rsid w:val="00F60EED"/>
    <w:rsid w:val="00F64E94"/>
    <w:rsid w:val="00F658E8"/>
    <w:rsid w:val="00F65C55"/>
    <w:rsid w:val="00F70AF1"/>
    <w:rsid w:val="00F725A3"/>
    <w:rsid w:val="00F732C4"/>
    <w:rsid w:val="00F75492"/>
    <w:rsid w:val="00F75EFF"/>
    <w:rsid w:val="00F761FA"/>
    <w:rsid w:val="00F76EAF"/>
    <w:rsid w:val="00F80B9A"/>
    <w:rsid w:val="00F80EA2"/>
    <w:rsid w:val="00F83294"/>
    <w:rsid w:val="00F838CE"/>
    <w:rsid w:val="00F84052"/>
    <w:rsid w:val="00F84119"/>
    <w:rsid w:val="00F856CA"/>
    <w:rsid w:val="00F85B8C"/>
    <w:rsid w:val="00F90768"/>
    <w:rsid w:val="00F90838"/>
    <w:rsid w:val="00F91D4F"/>
    <w:rsid w:val="00F93B2F"/>
    <w:rsid w:val="00F940D9"/>
    <w:rsid w:val="00F94982"/>
    <w:rsid w:val="00F96CE1"/>
    <w:rsid w:val="00FA4A0D"/>
    <w:rsid w:val="00FA6584"/>
    <w:rsid w:val="00FB1612"/>
    <w:rsid w:val="00FB2D03"/>
    <w:rsid w:val="00FB4873"/>
    <w:rsid w:val="00FB55ED"/>
    <w:rsid w:val="00FC0BAC"/>
    <w:rsid w:val="00FC1EA8"/>
    <w:rsid w:val="00FC2504"/>
    <w:rsid w:val="00FC3DB2"/>
    <w:rsid w:val="00FC3E81"/>
    <w:rsid w:val="00FC4C19"/>
    <w:rsid w:val="00FC5AB9"/>
    <w:rsid w:val="00FC6482"/>
    <w:rsid w:val="00FC7228"/>
    <w:rsid w:val="00FD0A33"/>
    <w:rsid w:val="00FD102B"/>
    <w:rsid w:val="00FD1C22"/>
    <w:rsid w:val="00FD4AE8"/>
    <w:rsid w:val="00FD55E1"/>
    <w:rsid w:val="00FD6061"/>
    <w:rsid w:val="00FD650F"/>
    <w:rsid w:val="00FD6AC5"/>
    <w:rsid w:val="00FD71A2"/>
    <w:rsid w:val="00FD7F09"/>
    <w:rsid w:val="00FE26CC"/>
    <w:rsid w:val="00FE2779"/>
    <w:rsid w:val="00FE2A1C"/>
    <w:rsid w:val="00FE4164"/>
    <w:rsid w:val="00FE4232"/>
    <w:rsid w:val="00FE6FEC"/>
    <w:rsid w:val="00FE7684"/>
    <w:rsid w:val="00FF063C"/>
    <w:rsid w:val="00FF2502"/>
    <w:rsid w:val="00FF2D6D"/>
    <w:rsid w:val="00FF40C5"/>
    <w:rsid w:val="00FF46AF"/>
    <w:rsid w:val="00FF61E9"/>
    <w:rsid w:val="00FF6916"/>
    <w:rsid w:val="00FF7584"/>
    <w:rsid w:val="011F09A2"/>
    <w:rsid w:val="01D53E1F"/>
    <w:rsid w:val="01F817E8"/>
    <w:rsid w:val="02333FAB"/>
    <w:rsid w:val="027A3847"/>
    <w:rsid w:val="02960B90"/>
    <w:rsid w:val="02FF6933"/>
    <w:rsid w:val="03DC72AD"/>
    <w:rsid w:val="04603446"/>
    <w:rsid w:val="04C5731B"/>
    <w:rsid w:val="06B15226"/>
    <w:rsid w:val="06D87876"/>
    <w:rsid w:val="073A2D2E"/>
    <w:rsid w:val="08315655"/>
    <w:rsid w:val="08C65425"/>
    <w:rsid w:val="08E3593C"/>
    <w:rsid w:val="093F522E"/>
    <w:rsid w:val="095772E3"/>
    <w:rsid w:val="09AC1DD0"/>
    <w:rsid w:val="0A232DC1"/>
    <w:rsid w:val="0A364F31"/>
    <w:rsid w:val="0AAB7EDF"/>
    <w:rsid w:val="0ABA2816"/>
    <w:rsid w:val="0B0C1DEE"/>
    <w:rsid w:val="0B703056"/>
    <w:rsid w:val="0B98683A"/>
    <w:rsid w:val="0BC41A01"/>
    <w:rsid w:val="0C177AFF"/>
    <w:rsid w:val="0C407D57"/>
    <w:rsid w:val="0CAB602D"/>
    <w:rsid w:val="0CD949FA"/>
    <w:rsid w:val="0D162518"/>
    <w:rsid w:val="0D206706"/>
    <w:rsid w:val="0D8D6A2A"/>
    <w:rsid w:val="0E7B0C16"/>
    <w:rsid w:val="0F1C6975"/>
    <w:rsid w:val="0F592033"/>
    <w:rsid w:val="0F85606A"/>
    <w:rsid w:val="103D587C"/>
    <w:rsid w:val="10711547"/>
    <w:rsid w:val="10E46E5E"/>
    <w:rsid w:val="120C0FDE"/>
    <w:rsid w:val="121D0224"/>
    <w:rsid w:val="13DA7296"/>
    <w:rsid w:val="140416E2"/>
    <w:rsid w:val="142069F5"/>
    <w:rsid w:val="14BE01CE"/>
    <w:rsid w:val="15431692"/>
    <w:rsid w:val="16A31BD1"/>
    <w:rsid w:val="16BD2A5D"/>
    <w:rsid w:val="18057723"/>
    <w:rsid w:val="186C5FA5"/>
    <w:rsid w:val="18B03D66"/>
    <w:rsid w:val="19736861"/>
    <w:rsid w:val="1A506434"/>
    <w:rsid w:val="1A53435A"/>
    <w:rsid w:val="1A825C01"/>
    <w:rsid w:val="1A896E91"/>
    <w:rsid w:val="1B9D0191"/>
    <w:rsid w:val="1C63645D"/>
    <w:rsid w:val="1D8C1CC9"/>
    <w:rsid w:val="1DA014F6"/>
    <w:rsid w:val="1DD55076"/>
    <w:rsid w:val="1EA32FFE"/>
    <w:rsid w:val="1EEF49AE"/>
    <w:rsid w:val="1F063793"/>
    <w:rsid w:val="1F4C51E7"/>
    <w:rsid w:val="1F931CF9"/>
    <w:rsid w:val="1FDE7E3A"/>
    <w:rsid w:val="201F76FF"/>
    <w:rsid w:val="20D05CA6"/>
    <w:rsid w:val="218B0BA8"/>
    <w:rsid w:val="21A125BF"/>
    <w:rsid w:val="21E147D5"/>
    <w:rsid w:val="226B3000"/>
    <w:rsid w:val="22836696"/>
    <w:rsid w:val="22D463D9"/>
    <w:rsid w:val="240674D2"/>
    <w:rsid w:val="2421781B"/>
    <w:rsid w:val="24341105"/>
    <w:rsid w:val="24394A69"/>
    <w:rsid w:val="24810EF8"/>
    <w:rsid w:val="252A0EF3"/>
    <w:rsid w:val="26865B8B"/>
    <w:rsid w:val="269E54AA"/>
    <w:rsid w:val="272A55F7"/>
    <w:rsid w:val="27551BD8"/>
    <w:rsid w:val="27B10559"/>
    <w:rsid w:val="28B80C7D"/>
    <w:rsid w:val="29AE0DF8"/>
    <w:rsid w:val="2A2945DA"/>
    <w:rsid w:val="2A7B4178"/>
    <w:rsid w:val="2ACA5D7D"/>
    <w:rsid w:val="2AD46786"/>
    <w:rsid w:val="2B74234C"/>
    <w:rsid w:val="2C562776"/>
    <w:rsid w:val="2D331474"/>
    <w:rsid w:val="2DC500ED"/>
    <w:rsid w:val="2DE71491"/>
    <w:rsid w:val="2E85293B"/>
    <w:rsid w:val="2EC27D0A"/>
    <w:rsid w:val="2FBE0181"/>
    <w:rsid w:val="30B617E9"/>
    <w:rsid w:val="314C66A1"/>
    <w:rsid w:val="314C7A29"/>
    <w:rsid w:val="322A5947"/>
    <w:rsid w:val="324C68C1"/>
    <w:rsid w:val="32836087"/>
    <w:rsid w:val="331E1308"/>
    <w:rsid w:val="33546376"/>
    <w:rsid w:val="33CC5719"/>
    <w:rsid w:val="33D9161D"/>
    <w:rsid w:val="34C832E9"/>
    <w:rsid w:val="357207A0"/>
    <w:rsid w:val="36E24103"/>
    <w:rsid w:val="37A16625"/>
    <w:rsid w:val="3839725F"/>
    <w:rsid w:val="3866038A"/>
    <w:rsid w:val="38740FD9"/>
    <w:rsid w:val="38B531E7"/>
    <w:rsid w:val="38EF3989"/>
    <w:rsid w:val="39F138EB"/>
    <w:rsid w:val="3A496654"/>
    <w:rsid w:val="3AAE377F"/>
    <w:rsid w:val="3AB56A99"/>
    <w:rsid w:val="3AB94164"/>
    <w:rsid w:val="3AFF1B22"/>
    <w:rsid w:val="3B994CB1"/>
    <w:rsid w:val="3D382B5C"/>
    <w:rsid w:val="3D8C14EF"/>
    <w:rsid w:val="3D9F2DE5"/>
    <w:rsid w:val="3DD2462E"/>
    <w:rsid w:val="3E0A7CEA"/>
    <w:rsid w:val="3E4663E0"/>
    <w:rsid w:val="3FF9FABF"/>
    <w:rsid w:val="40523A0F"/>
    <w:rsid w:val="40686E46"/>
    <w:rsid w:val="41001CF8"/>
    <w:rsid w:val="41051994"/>
    <w:rsid w:val="412F72DC"/>
    <w:rsid w:val="416B3D2E"/>
    <w:rsid w:val="41D23927"/>
    <w:rsid w:val="43472A26"/>
    <w:rsid w:val="436D78B0"/>
    <w:rsid w:val="43756984"/>
    <w:rsid w:val="43A04F61"/>
    <w:rsid w:val="44111B88"/>
    <w:rsid w:val="449C05C5"/>
    <w:rsid w:val="44A307DB"/>
    <w:rsid w:val="44AA20BA"/>
    <w:rsid w:val="44BE1E40"/>
    <w:rsid w:val="44C81773"/>
    <w:rsid w:val="458919AF"/>
    <w:rsid w:val="45A941B4"/>
    <w:rsid w:val="45CF45A7"/>
    <w:rsid w:val="461D3BFD"/>
    <w:rsid w:val="462B08C0"/>
    <w:rsid w:val="4753488D"/>
    <w:rsid w:val="48D25D47"/>
    <w:rsid w:val="49A020DB"/>
    <w:rsid w:val="4A420AF3"/>
    <w:rsid w:val="4AED6059"/>
    <w:rsid w:val="4B4A4CF5"/>
    <w:rsid w:val="4C774E73"/>
    <w:rsid w:val="4D25504A"/>
    <w:rsid w:val="50425F1E"/>
    <w:rsid w:val="50C8571F"/>
    <w:rsid w:val="50DC4C63"/>
    <w:rsid w:val="51914FFA"/>
    <w:rsid w:val="51A836AC"/>
    <w:rsid w:val="51DA7D6C"/>
    <w:rsid w:val="51DE3290"/>
    <w:rsid w:val="540C2AD6"/>
    <w:rsid w:val="547556FD"/>
    <w:rsid w:val="54F46486"/>
    <w:rsid w:val="55474B85"/>
    <w:rsid w:val="55A66958"/>
    <w:rsid w:val="55B5349C"/>
    <w:rsid w:val="561A7328"/>
    <w:rsid w:val="56771490"/>
    <w:rsid w:val="56825C77"/>
    <w:rsid w:val="56D8390A"/>
    <w:rsid w:val="56EB551F"/>
    <w:rsid w:val="57323882"/>
    <w:rsid w:val="574160B7"/>
    <w:rsid w:val="57F35041"/>
    <w:rsid w:val="584F46D5"/>
    <w:rsid w:val="58687B75"/>
    <w:rsid w:val="588B4200"/>
    <w:rsid w:val="58E51859"/>
    <w:rsid w:val="59594DB4"/>
    <w:rsid w:val="59FC0DE5"/>
    <w:rsid w:val="5B6A090E"/>
    <w:rsid w:val="5C312D8E"/>
    <w:rsid w:val="5C8D0831"/>
    <w:rsid w:val="5CBF27AE"/>
    <w:rsid w:val="5D172DAC"/>
    <w:rsid w:val="5D1B42BE"/>
    <w:rsid w:val="5D6128E6"/>
    <w:rsid w:val="5D844A9D"/>
    <w:rsid w:val="5DD7C803"/>
    <w:rsid w:val="5F254AFD"/>
    <w:rsid w:val="5FBC0D86"/>
    <w:rsid w:val="604021DC"/>
    <w:rsid w:val="60CF1C1E"/>
    <w:rsid w:val="611257D9"/>
    <w:rsid w:val="611904B9"/>
    <w:rsid w:val="61A9409A"/>
    <w:rsid w:val="61E7065A"/>
    <w:rsid w:val="62577814"/>
    <w:rsid w:val="62597512"/>
    <w:rsid w:val="6385586D"/>
    <w:rsid w:val="640902F7"/>
    <w:rsid w:val="65A67909"/>
    <w:rsid w:val="66096C51"/>
    <w:rsid w:val="66A66835"/>
    <w:rsid w:val="66BC25E4"/>
    <w:rsid w:val="67210179"/>
    <w:rsid w:val="67292B47"/>
    <w:rsid w:val="67B620D5"/>
    <w:rsid w:val="67BC59A7"/>
    <w:rsid w:val="67EE3F97"/>
    <w:rsid w:val="681D2DB3"/>
    <w:rsid w:val="6853313E"/>
    <w:rsid w:val="696D380D"/>
    <w:rsid w:val="69AA240A"/>
    <w:rsid w:val="6A070525"/>
    <w:rsid w:val="6A961869"/>
    <w:rsid w:val="6B493C0F"/>
    <w:rsid w:val="6D125BC1"/>
    <w:rsid w:val="6D2775E8"/>
    <w:rsid w:val="6D3C3594"/>
    <w:rsid w:val="6EAE13FC"/>
    <w:rsid w:val="6FAB6FAD"/>
    <w:rsid w:val="6FE63936"/>
    <w:rsid w:val="70094CBB"/>
    <w:rsid w:val="703A0523"/>
    <w:rsid w:val="7050129B"/>
    <w:rsid w:val="70645946"/>
    <w:rsid w:val="71602504"/>
    <w:rsid w:val="719B38C2"/>
    <w:rsid w:val="71FA7599"/>
    <w:rsid w:val="726E215E"/>
    <w:rsid w:val="73286B4F"/>
    <w:rsid w:val="73645429"/>
    <w:rsid w:val="739635BA"/>
    <w:rsid w:val="73F513B8"/>
    <w:rsid w:val="74F373EC"/>
    <w:rsid w:val="76732B4F"/>
    <w:rsid w:val="767C0130"/>
    <w:rsid w:val="76B06DE6"/>
    <w:rsid w:val="76FE524A"/>
    <w:rsid w:val="770701F2"/>
    <w:rsid w:val="780C7A78"/>
    <w:rsid w:val="78B406C7"/>
    <w:rsid w:val="78FE497D"/>
    <w:rsid w:val="797F780A"/>
    <w:rsid w:val="79A775AA"/>
    <w:rsid w:val="7A1F09D7"/>
    <w:rsid w:val="7A5831FC"/>
    <w:rsid w:val="7A760FED"/>
    <w:rsid w:val="7AA839B3"/>
    <w:rsid w:val="7B174AF9"/>
    <w:rsid w:val="7B4F6BA7"/>
    <w:rsid w:val="7B6B08A7"/>
    <w:rsid w:val="7BDA1036"/>
    <w:rsid w:val="7CB57743"/>
    <w:rsid w:val="7CC81775"/>
    <w:rsid w:val="7CFF6582"/>
    <w:rsid w:val="7EB766E3"/>
    <w:rsid w:val="7FAD7723"/>
    <w:rsid w:val="7FB25C83"/>
    <w:rsid w:val="FABB10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nhideWhenUsed="0"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24"/>
      <w:szCs w:val="24"/>
      <w:lang w:val="en-US" w:eastAsia="zh-CN" w:bidi="ar-SA"/>
    </w:rPr>
  </w:style>
  <w:style w:type="paragraph" w:styleId="2">
    <w:name w:val="heading 1"/>
    <w:basedOn w:val="1"/>
    <w:next w:val="1"/>
    <w:link w:val="57"/>
    <w:qFormat/>
    <w:uiPriority w:val="9"/>
    <w:pPr>
      <w:keepNext/>
      <w:keepLines/>
      <w:spacing w:line="360" w:lineRule="auto"/>
      <w:outlineLvl w:val="0"/>
    </w:pPr>
    <w:rPr>
      <w:b/>
      <w:bCs/>
      <w:kern w:val="44"/>
      <w:sz w:val="28"/>
      <w:szCs w:val="44"/>
    </w:rPr>
  </w:style>
  <w:style w:type="paragraph" w:styleId="3">
    <w:name w:val="heading 2"/>
    <w:basedOn w:val="1"/>
    <w:next w:val="1"/>
    <w:link w:val="58"/>
    <w:unhideWhenUsed/>
    <w:qFormat/>
    <w:uiPriority w:val="9"/>
    <w:pPr>
      <w:keepNext/>
      <w:keepLines/>
      <w:spacing w:line="360" w:lineRule="auto"/>
      <w:outlineLvl w:val="1"/>
    </w:pPr>
    <w:rPr>
      <w:rFonts w:asciiTheme="majorHAnsi" w:hAnsiTheme="majorHAnsi" w:eastAsiaTheme="majorEastAsia" w:cstheme="majorBidi"/>
      <w:b/>
      <w:bCs/>
      <w:szCs w:val="32"/>
    </w:rPr>
  </w:style>
  <w:style w:type="paragraph" w:styleId="4">
    <w:name w:val="heading 3"/>
    <w:basedOn w:val="1"/>
    <w:next w:val="1"/>
    <w:link w:val="40"/>
    <w:qFormat/>
    <w:uiPriority w:val="9"/>
    <w:pPr>
      <w:spacing w:line="360" w:lineRule="auto"/>
      <w:outlineLvl w:val="2"/>
    </w:pPr>
    <w:rPr>
      <w:b/>
      <w:bCs/>
      <w:szCs w:val="27"/>
    </w:rPr>
  </w:style>
  <w:style w:type="paragraph" w:styleId="5">
    <w:name w:val="heading 4"/>
    <w:basedOn w:val="4"/>
    <w:next w:val="1"/>
    <w:link w:val="68"/>
    <w:unhideWhenUsed/>
    <w:qFormat/>
    <w:uiPriority w:val="9"/>
    <w:pPr>
      <w:outlineLvl w:val="3"/>
    </w:pPr>
    <w:rPr>
      <w:szCs w:val="24"/>
    </w:rPr>
  </w:style>
  <w:style w:type="paragraph" w:styleId="6">
    <w:name w:val="heading 5"/>
    <w:basedOn w:val="1"/>
    <w:next w:val="1"/>
    <w:link w:val="72"/>
    <w:unhideWhenUsed/>
    <w:qFormat/>
    <w:uiPriority w:val="9"/>
    <w:pPr>
      <w:spacing w:line="360" w:lineRule="auto"/>
      <w:outlineLvl w:val="4"/>
    </w:pPr>
    <w:rPr>
      <w:b/>
      <w:bCs/>
    </w:rPr>
  </w:style>
  <w:style w:type="character" w:default="1" w:styleId="20">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7">
    <w:name w:val="annotation text"/>
    <w:basedOn w:val="1"/>
    <w:link w:val="61"/>
    <w:unhideWhenUsed/>
    <w:qFormat/>
    <w:uiPriority w:val="99"/>
  </w:style>
  <w:style w:type="paragraph" w:styleId="8">
    <w:name w:val="Body Text"/>
    <w:basedOn w:val="1"/>
    <w:link w:val="31"/>
    <w:qFormat/>
    <w:uiPriority w:val="0"/>
    <w:rPr>
      <w:bCs/>
      <w:sz w:val="28"/>
      <w:szCs w:val="28"/>
    </w:rPr>
  </w:style>
  <w:style w:type="paragraph" w:styleId="9">
    <w:name w:val="toc 3"/>
    <w:basedOn w:val="1"/>
    <w:next w:val="1"/>
    <w:unhideWhenUsed/>
    <w:qFormat/>
    <w:uiPriority w:val="39"/>
    <w:pPr>
      <w:ind w:left="840" w:leftChars="400"/>
    </w:pPr>
  </w:style>
  <w:style w:type="paragraph" w:styleId="10">
    <w:name w:val="Date"/>
    <w:basedOn w:val="1"/>
    <w:next w:val="1"/>
    <w:link w:val="39"/>
    <w:unhideWhenUsed/>
    <w:qFormat/>
    <w:uiPriority w:val="99"/>
    <w:pPr>
      <w:ind w:left="100" w:leftChars="2500"/>
    </w:pPr>
  </w:style>
  <w:style w:type="paragraph" w:styleId="11">
    <w:name w:val="Balloon Text"/>
    <w:basedOn w:val="1"/>
    <w:link w:val="41"/>
    <w:unhideWhenUsed/>
    <w:qFormat/>
    <w:uiPriority w:val="99"/>
    <w:rPr>
      <w:sz w:val="18"/>
      <w:szCs w:val="18"/>
    </w:rPr>
  </w:style>
  <w:style w:type="paragraph" w:styleId="12">
    <w:name w:val="footer"/>
    <w:basedOn w:val="1"/>
    <w:link w:val="33"/>
    <w:unhideWhenUsed/>
    <w:qFormat/>
    <w:uiPriority w:val="99"/>
    <w:pPr>
      <w:tabs>
        <w:tab w:val="center" w:pos="4153"/>
        <w:tab w:val="right" w:pos="8306"/>
      </w:tabs>
      <w:snapToGrid w:val="0"/>
    </w:pPr>
    <w:rPr>
      <w:sz w:val="18"/>
      <w:szCs w:val="18"/>
    </w:rPr>
  </w:style>
  <w:style w:type="paragraph" w:styleId="13">
    <w:name w:val="header"/>
    <w:basedOn w:val="1"/>
    <w:link w:val="32"/>
    <w:unhideWhenUsed/>
    <w:qFormat/>
    <w:uiPriority w:val="99"/>
    <w:pPr>
      <w:pBdr>
        <w:bottom w:val="single" w:color="auto" w:sz="6" w:space="1"/>
      </w:pBdr>
      <w:tabs>
        <w:tab w:val="center" w:pos="4153"/>
        <w:tab w:val="right" w:pos="8306"/>
      </w:tabs>
      <w:snapToGrid w:val="0"/>
      <w:jc w:val="center"/>
    </w:pPr>
    <w:rPr>
      <w:sz w:val="18"/>
      <w:szCs w:val="18"/>
    </w:rPr>
  </w:style>
  <w:style w:type="paragraph" w:styleId="14">
    <w:name w:val="toc 1"/>
    <w:basedOn w:val="1"/>
    <w:next w:val="1"/>
    <w:unhideWhenUsed/>
    <w:qFormat/>
    <w:uiPriority w:val="39"/>
  </w:style>
  <w:style w:type="paragraph" w:styleId="15">
    <w:name w:val="toc 2"/>
    <w:basedOn w:val="1"/>
    <w:next w:val="1"/>
    <w:unhideWhenUsed/>
    <w:qFormat/>
    <w:uiPriority w:val="39"/>
    <w:pPr>
      <w:ind w:left="420" w:leftChars="200"/>
    </w:pPr>
  </w:style>
  <w:style w:type="paragraph" w:styleId="16">
    <w:name w:val="Normal (Web)"/>
    <w:basedOn w:val="1"/>
    <w:unhideWhenUsed/>
    <w:qFormat/>
    <w:uiPriority w:val="99"/>
    <w:pPr>
      <w:spacing w:before="100" w:beforeAutospacing="1" w:after="100" w:afterAutospacing="1"/>
    </w:pPr>
  </w:style>
  <w:style w:type="paragraph" w:styleId="17">
    <w:name w:val="annotation subject"/>
    <w:basedOn w:val="7"/>
    <w:next w:val="7"/>
    <w:link w:val="62"/>
    <w:unhideWhenUsed/>
    <w:qFormat/>
    <w:uiPriority w:val="99"/>
    <w:rPr>
      <w:b/>
      <w:bCs/>
    </w:rPr>
  </w:style>
  <w:style w:type="table" w:styleId="19">
    <w:name w:val="Table Grid"/>
    <w:basedOn w:val="18"/>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21">
    <w:name w:val="FollowedHyperlink"/>
    <w:basedOn w:val="20"/>
    <w:semiHidden/>
    <w:unhideWhenUsed/>
    <w:qFormat/>
    <w:uiPriority w:val="99"/>
    <w:rPr>
      <w:color w:val="954F72"/>
      <w:u w:val="single"/>
    </w:rPr>
  </w:style>
  <w:style w:type="character" w:styleId="22">
    <w:name w:val="Emphasis"/>
    <w:qFormat/>
    <w:uiPriority w:val="20"/>
    <w:rPr>
      <w:color w:val="CC0000"/>
    </w:rPr>
  </w:style>
  <w:style w:type="character" w:styleId="23">
    <w:name w:val="Hyperlink"/>
    <w:basedOn w:val="20"/>
    <w:unhideWhenUsed/>
    <w:qFormat/>
    <w:uiPriority w:val="99"/>
    <w:rPr>
      <w:color w:val="136EC2"/>
      <w:u w:val="single"/>
    </w:rPr>
  </w:style>
  <w:style w:type="character" w:styleId="24">
    <w:name w:val="annotation reference"/>
    <w:basedOn w:val="20"/>
    <w:unhideWhenUsed/>
    <w:qFormat/>
    <w:uiPriority w:val="99"/>
    <w:rPr>
      <w:sz w:val="21"/>
      <w:szCs w:val="21"/>
    </w:rPr>
  </w:style>
  <w:style w:type="paragraph" w:customStyle="1" w:styleId="25">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26">
    <w:name w:val="前言、引言标题"/>
    <w:next w:val="1"/>
    <w:qFormat/>
    <w:uiPriority w:val="0"/>
    <w:pPr>
      <w:shd w:val="clear" w:color="FFFFFF" w:fill="FFFFFF"/>
      <w:tabs>
        <w:tab w:val="left" w:pos="360"/>
      </w:tabs>
      <w:spacing w:before="640" w:after="560"/>
      <w:jc w:val="center"/>
      <w:outlineLvl w:val="0"/>
    </w:pPr>
    <w:rPr>
      <w:rFonts w:ascii="黑体" w:hAnsi="Times New Roman" w:eastAsia="黑体" w:cs="Times New Roman"/>
      <w:sz w:val="32"/>
      <w:lang w:val="en-US" w:eastAsia="zh-CN" w:bidi="ar-SA"/>
    </w:rPr>
  </w:style>
  <w:style w:type="paragraph" w:customStyle="1" w:styleId="27">
    <w:name w:val="章标题"/>
    <w:next w:val="28"/>
    <w:qFormat/>
    <w:uiPriority w:val="0"/>
    <w:pPr>
      <w:spacing w:beforeLines="50" w:afterLines="50"/>
      <w:jc w:val="both"/>
      <w:outlineLvl w:val="1"/>
    </w:pPr>
    <w:rPr>
      <w:rFonts w:ascii="黑体" w:hAnsi="Times New Roman" w:eastAsia="黑体" w:cs="Times New Roman"/>
      <w:sz w:val="21"/>
      <w:lang w:val="en-US" w:eastAsia="zh-CN" w:bidi="ar-SA"/>
    </w:rPr>
  </w:style>
  <w:style w:type="paragraph" w:customStyle="1" w:styleId="28">
    <w:name w:val="段"/>
    <w:link w:val="42"/>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29">
    <w:name w:val="一级条标题"/>
    <w:next w:val="28"/>
    <w:qFormat/>
    <w:uiPriority w:val="0"/>
    <w:pPr>
      <w:outlineLvl w:val="2"/>
    </w:pPr>
    <w:rPr>
      <w:rFonts w:ascii="Times New Roman" w:hAnsi="Times New Roman" w:eastAsia="黑体" w:cs="Times New Roman"/>
      <w:sz w:val="21"/>
      <w:lang w:val="en-US" w:eastAsia="zh-CN" w:bidi="ar-SA"/>
    </w:rPr>
  </w:style>
  <w:style w:type="paragraph" w:customStyle="1" w:styleId="30">
    <w:name w:val="二级条标题"/>
    <w:basedOn w:val="29"/>
    <w:next w:val="1"/>
    <w:qFormat/>
    <w:uiPriority w:val="0"/>
    <w:pPr>
      <w:outlineLvl w:val="3"/>
    </w:pPr>
  </w:style>
  <w:style w:type="character" w:customStyle="1" w:styleId="31">
    <w:name w:val="正文文本 字符"/>
    <w:link w:val="8"/>
    <w:qFormat/>
    <w:uiPriority w:val="0"/>
    <w:rPr>
      <w:rFonts w:ascii="宋体" w:hAnsi="宋体" w:eastAsia="宋体" w:cs="Times New Roman"/>
      <w:bCs/>
      <w:sz w:val="28"/>
      <w:szCs w:val="28"/>
    </w:rPr>
  </w:style>
  <w:style w:type="character" w:customStyle="1" w:styleId="32">
    <w:name w:val="页眉 字符"/>
    <w:link w:val="13"/>
    <w:qFormat/>
    <w:uiPriority w:val="99"/>
    <w:rPr>
      <w:rFonts w:ascii="Times New Roman" w:hAnsi="Times New Roman" w:eastAsia="宋体" w:cs="Times New Roman"/>
      <w:sz w:val="18"/>
      <w:szCs w:val="18"/>
    </w:rPr>
  </w:style>
  <w:style w:type="character" w:customStyle="1" w:styleId="33">
    <w:name w:val="页脚 字符"/>
    <w:link w:val="12"/>
    <w:qFormat/>
    <w:uiPriority w:val="99"/>
    <w:rPr>
      <w:rFonts w:ascii="Times New Roman" w:hAnsi="Times New Roman" w:eastAsia="宋体" w:cs="Times New Roman"/>
      <w:sz w:val="18"/>
      <w:szCs w:val="18"/>
    </w:rPr>
  </w:style>
  <w:style w:type="paragraph" w:customStyle="1" w:styleId="34">
    <w:name w:val="Char Char Char Char Char Char Char"/>
    <w:basedOn w:val="1"/>
    <w:qFormat/>
    <w:uiPriority w:val="0"/>
    <w:pPr>
      <w:spacing w:after="160" w:line="240" w:lineRule="exact"/>
    </w:pPr>
    <w:rPr>
      <w:rFonts w:ascii="Arial" w:hAnsi="Arial" w:eastAsia="Times New Roman" w:cs="Verdana"/>
      <w:b/>
      <w:lang w:eastAsia="en-US"/>
    </w:rPr>
  </w:style>
  <w:style w:type="paragraph" w:customStyle="1" w:styleId="35">
    <w:name w:val="三级条标题"/>
    <w:basedOn w:val="30"/>
    <w:next w:val="1"/>
    <w:qFormat/>
    <w:uiPriority w:val="0"/>
    <w:pPr>
      <w:jc w:val="both"/>
      <w:outlineLvl w:val="4"/>
    </w:pPr>
    <w:rPr>
      <w:rFonts w:ascii="黑体"/>
    </w:rPr>
  </w:style>
  <w:style w:type="paragraph" w:customStyle="1" w:styleId="36">
    <w:name w:val="四级条标题"/>
    <w:basedOn w:val="35"/>
    <w:next w:val="1"/>
    <w:qFormat/>
    <w:uiPriority w:val="0"/>
    <w:pPr>
      <w:outlineLvl w:val="5"/>
    </w:pPr>
  </w:style>
  <w:style w:type="paragraph" w:customStyle="1" w:styleId="37">
    <w:name w:val="五级条标题"/>
    <w:basedOn w:val="36"/>
    <w:next w:val="1"/>
    <w:qFormat/>
    <w:uiPriority w:val="0"/>
    <w:pPr>
      <w:outlineLvl w:val="6"/>
    </w:pPr>
  </w:style>
  <w:style w:type="character" w:customStyle="1" w:styleId="38">
    <w:name w:val="short_text1"/>
    <w:qFormat/>
    <w:uiPriority w:val="0"/>
    <w:rPr>
      <w:sz w:val="29"/>
      <w:szCs w:val="29"/>
    </w:rPr>
  </w:style>
  <w:style w:type="character" w:customStyle="1" w:styleId="39">
    <w:name w:val="日期 字符"/>
    <w:link w:val="10"/>
    <w:semiHidden/>
    <w:qFormat/>
    <w:uiPriority w:val="99"/>
    <w:rPr>
      <w:rFonts w:ascii="Times New Roman" w:hAnsi="Times New Roman"/>
      <w:kern w:val="2"/>
      <w:sz w:val="21"/>
      <w:szCs w:val="24"/>
    </w:rPr>
  </w:style>
  <w:style w:type="character" w:customStyle="1" w:styleId="40">
    <w:name w:val="标题 3 字符"/>
    <w:basedOn w:val="20"/>
    <w:link w:val="4"/>
    <w:qFormat/>
    <w:uiPriority w:val="9"/>
    <w:rPr>
      <w:rFonts w:ascii="宋体" w:hAnsi="宋体" w:cs="宋体"/>
      <w:b/>
      <w:bCs/>
      <w:sz w:val="24"/>
      <w:szCs w:val="27"/>
    </w:rPr>
  </w:style>
  <w:style w:type="character" w:customStyle="1" w:styleId="41">
    <w:name w:val="批注框文本 字符"/>
    <w:basedOn w:val="20"/>
    <w:link w:val="11"/>
    <w:semiHidden/>
    <w:qFormat/>
    <w:uiPriority w:val="99"/>
    <w:rPr>
      <w:rFonts w:ascii="Times New Roman" w:hAnsi="Times New Roman"/>
      <w:kern w:val="2"/>
      <w:sz w:val="18"/>
      <w:szCs w:val="18"/>
    </w:rPr>
  </w:style>
  <w:style w:type="character" w:customStyle="1" w:styleId="42">
    <w:name w:val="段 Char"/>
    <w:basedOn w:val="20"/>
    <w:link w:val="28"/>
    <w:qFormat/>
    <w:uiPriority w:val="0"/>
    <w:rPr>
      <w:rFonts w:ascii="宋体" w:hAnsi="Times New Roman"/>
      <w:sz w:val="21"/>
    </w:rPr>
  </w:style>
  <w:style w:type="paragraph" w:customStyle="1" w:styleId="43">
    <w:name w:val="示例"/>
    <w:next w:val="1"/>
    <w:qFormat/>
    <w:uiPriority w:val="0"/>
    <w:pPr>
      <w:widowControl w:val="0"/>
      <w:numPr>
        <w:ilvl w:val="0"/>
        <w:numId w:val="1"/>
      </w:numPr>
      <w:jc w:val="both"/>
    </w:pPr>
    <w:rPr>
      <w:rFonts w:ascii="宋体" w:hAnsi="Times New Roman" w:eastAsia="宋体" w:cs="Times New Roman"/>
      <w:sz w:val="18"/>
      <w:szCs w:val="18"/>
      <w:lang w:val="en-US" w:eastAsia="zh-CN" w:bidi="ar-SA"/>
    </w:rPr>
  </w:style>
  <w:style w:type="paragraph" w:customStyle="1" w:styleId="44">
    <w:name w:val="正文表标题"/>
    <w:next w:val="28"/>
    <w:qFormat/>
    <w:uiPriority w:val="0"/>
    <w:p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45">
    <w:name w:val="正文图标题"/>
    <w:next w:val="28"/>
    <w:qFormat/>
    <w:uiPriority w:val="0"/>
    <w:pPr>
      <w:numPr>
        <w:ilvl w:val="0"/>
        <w:numId w:val="2"/>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46">
    <w:name w:val="其他发布日期"/>
    <w:basedOn w:val="1"/>
    <w:qFormat/>
    <w:uiPriority w:val="0"/>
    <w:pPr>
      <w:framePr w:w="3997" w:h="471" w:hRule="exact" w:vSpace="181" w:wrap="around" w:vAnchor="page" w:hAnchor="page" w:x="1419" w:y="14097" w:anchorLock="1"/>
      <w:numPr>
        <w:ilvl w:val="0"/>
        <w:numId w:val="3"/>
      </w:numPr>
    </w:pPr>
    <w:rPr>
      <w:rFonts w:eastAsia="黑体"/>
      <w:sz w:val="28"/>
      <w:szCs w:val="20"/>
    </w:rPr>
  </w:style>
  <w:style w:type="paragraph" w:customStyle="1" w:styleId="47">
    <w:name w:val="标准表题"/>
    <w:basedOn w:val="1"/>
    <w:next w:val="28"/>
    <w:qFormat/>
    <w:uiPriority w:val="0"/>
    <w:pPr>
      <w:jc w:val="center"/>
    </w:pPr>
    <w:rPr>
      <w:rFonts w:ascii="黑体" w:eastAsia="黑体"/>
      <w:kern w:val="21"/>
      <w:szCs w:val="20"/>
    </w:rPr>
  </w:style>
  <w:style w:type="paragraph" w:customStyle="1" w:styleId="48">
    <w:name w:val="章"/>
    <w:basedOn w:val="1"/>
    <w:next w:val="28"/>
    <w:qFormat/>
    <w:uiPriority w:val="0"/>
    <w:pPr>
      <w:adjustRightInd w:val="0"/>
      <w:spacing w:before="160" w:after="160"/>
      <w:outlineLvl w:val="0"/>
    </w:pPr>
    <w:rPr>
      <w:rFonts w:ascii="黑体" w:eastAsia="黑体"/>
      <w:kern w:val="21"/>
      <w:szCs w:val="20"/>
    </w:rPr>
  </w:style>
  <w:style w:type="paragraph" w:customStyle="1" w:styleId="49">
    <w:name w:val="条2"/>
    <w:basedOn w:val="1"/>
    <w:next w:val="28"/>
    <w:qFormat/>
    <w:uiPriority w:val="0"/>
    <w:pPr>
      <w:outlineLvl w:val="1"/>
    </w:pPr>
    <w:rPr>
      <w:rFonts w:ascii="黑体" w:eastAsia="黑体"/>
      <w:kern w:val="21"/>
      <w:szCs w:val="20"/>
    </w:rPr>
  </w:style>
  <w:style w:type="paragraph" w:customStyle="1" w:styleId="50">
    <w:name w:val="条1"/>
    <w:basedOn w:val="1"/>
    <w:next w:val="28"/>
    <w:qFormat/>
    <w:uiPriority w:val="0"/>
    <w:pPr>
      <w:outlineLvl w:val="1"/>
    </w:pPr>
    <w:rPr>
      <w:rFonts w:ascii="黑体" w:eastAsia="黑体"/>
      <w:kern w:val="21"/>
      <w:szCs w:val="20"/>
    </w:rPr>
  </w:style>
  <w:style w:type="character" w:customStyle="1" w:styleId="51">
    <w:name w:val="font111"/>
    <w:basedOn w:val="20"/>
    <w:qFormat/>
    <w:uiPriority w:val="0"/>
    <w:rPr>
      <w:rFonts w:hint="eastAsia" w:ascii="宋体" w:hAnsi="宋体" w:eastAsia="宋体"/>
      <w:color w:val="000000"/>
      <w:sz w:val="18"/>
      <w:szCs w:val="18"/>
      <w:u w:val="none"/>
    </w:rPr>
  </w:style>
  <w:style w:type="character" w:customStyle="1" w:styleId="52">
    <w:name w:val="font81"/>
    <w:basedOn w:val="20"/>
    <w:qFormat/>
    <w:uiPriority w:val="0"/>
    <w:rPr>
      <w:rFonts w:hint="default" w:ascii="Times New Roman" w:hAnsi="Times New Roman" w:cs="Times New Roman"/>
      <w:color w:val="000000"/>
      <w:sz w:val="18"/>
      <w:szCs w:val="18"/>
      <w:u w:val="none"/>
    </w:rPr>
  </w:style>
  <w:style w:type="character" w:customStyle="1" w:styleId="53">
    <w:name w:val="font121"/>
    <w:basedOn w:val="20"/>
    <w:qFormat/>
    <w:uiPriority w:val="0"/>
    <w:rPr>
      <w:rFonts w:hint="eastAsia" w:ascii="宋体" w:hAnsi="宋体" w:eastAsia="宋体"/>
      <w:b/>
      <w:bCs/>
      <w:color w:val="000000"/>
      <w:sz w:val="18"/>
      <w:szCs w:val="18"/>
      <w:u w:val="none"/>
    </w:rPr>
  </w:style>
  <w:style w:type="character" w:customStyle="1" w:styleId="54">
    <w:name w:val="font91"/>
    <w:basedOn w:val="20"/>
    <w:qFormat/>
    <w:uiPriority w:val="0"/>
    <w:rPr>
      <w:rFonts w:hint="default" w:ascii="Times New Roman" w:hAnsi="Times New Roman" w:cs="Times New Roman"/>
      <w:b/>
      <w:bCs/>
      <w:color w:val="000000"/>
      <w:sz w:val="18"/>
      <w:szCs w:val="18"/>
      <w:u w:val="none"/>
    </w:rPr>
  </w:style>
  <w:style w:type="character" w:customStyle="1" w:styleId="55">
    <w:name w:val="font71"/>
    <w:basedOn w:val="20"/>
    <w:qFormat/>
    <w:uiPriority w:val="0"/>
    <w:rPr>
      <w:rFonts w:hint="eastAsia" w:ascii="宋体" w:hAnsi="宋体" w:eastAsia="宋体"/>
      <w:color w:val="000000"/>
      <w:sz w:val="18"/>
      <w:szCs w:val="18"/>
      <w:u w:val="none"/>
    </w:rPr>
  </w:style>
  <w:style w:type="character" w:customStyle="1" w:styleId="56">
    <w:name w:val="font101"/>
    <w:basedOn w:val="20"/>
    <w:qFormat/>
    <w:uiPriority w:val="0"/>
    <w:rPr>
      <w:rFonts w:hint="default" w:ascii="Times New Roman" w:hAnsi="Times New Roman" w:cs="Times New Roman"/>
      <w:color w:val="000000"/>
      <w:sz w:val="18"/>
      <w:szCs w:val="18"/>
      <w:u w:val="none"/>
    </w:rPr>
  </w:style>
  <w:style w:type="character" w:customStyle="1" w:styleId="57">
    <w:name w:val="标题 1 字符"/>
    <w:basedOn w:val="20"/>
    <w:link w:val="2"/>
    <w:qFormat/>
    <w:uiPriority w:val="9"/>
    <w:rPr>
      <w:rFonts w:ascii="Times New Roman" w:hAnsi="Times New Roman"/>
      <w:b/>
      <w:bCs/>
      <w:kern w:val="44"/>
      <w:sz w:val="28"/>
      <w:szCs w:val="44"/>
    </w:rPr>
  </w:style>
  <w:style w:type="character" w:customStyle="1" w:styleId="58">
    <w:name w:val="标题 2 字符"/>
    <w:basedOn w:val="20"/>
    <w:link w:val="3"/>
    <w:qFormat/>
    <w:uiPriority w:val="9"/>
    <w:rPr>
      <w:rFonts w:asciiTheme="majorHAnsi" w:hAnsiTheme="majorHAnsi" w:eastAsiaTheme="majorEastAsia" w:cstheme="majorBidi"/>
      <w:b/>
      <w:bCs/>
      <w:kern w:val="2"/>
      <w:sz w:val="24"/>
      <w:szCs w:val="32"/>
    </w:rPr>
  </w:style>
  <w:style w:type="paragraph" w:customStyle="1" w:styleId="59">
    <w:name w:val="TOC 标题1"/>
    <w:basedOn w:val="2"/>
    <w:next w:val="1"/>
    <w:unhideWhenUsed/>
    <w:qFormat/>
    <w:uiPriority w:val="39"/>
    <w:pPr>
      <w:spacing w:before="240" w:line="259" w:lineRule="auto"/>
      <w:outlineLvl w:val="9"/>
    </w:pPr>
    <w:rPr>
      <w:rFonts w:asciiTheme="majorHAnsi" w:hAnsiTheme="majorHAnsi" w:eastAsiaTheme="majorEastAsia" w:cstheme="majorBidi"/>
      <w:b w:val="0"/>
      <w:bCs w:val="0"/>
      <w:color w:val="376092" w:themeColor="accent1" w:themeShade="BF"/>
      <w:kern w:val="0"/>
      <w:sz w:val="32"/>
      <w:szCs w:val="32"/>
    </w:rPr>
  </w:style>
  <w:style w:type="paragraph" w:customStyle="1" w:styleId="60">
    <w:name w:val="Table Paragraph"/>
    <w:basedOn w:val="1"/>
    <w:qFormat/>
    <w:uiPriority w:val="1"/>
    <w:rPr>
      <w:rFonts w:ascii="Calibri" w:hAnsi="Calibri" w:eastAsia="Calibri"/>
      <w:sz w:val="22"/>
      <w:szCs w:val="22"/>
      <w:lang w:eastAsia="en-US"/>
    </w:rPr>
  </w:style>
  <w:style w:type="character" w:customStyle="1" w:styleId="61">
    <w:name w:val="批注文字 字符"/>
    <w:basedOn w:val="20"/>
    <w:link w:val="7"/>
    <w:semiHidden/>
    <w:qFormat/>
    <w:uiPriority w:val="99"/>
    <w:rPr>
      <w:rFonts w:ascii="Times New Roman" w:hAnsi="Times New Roman"/>
      <w:kern w:val="2"/>
      <w:sz w:val="24"/>
      <w:szCs w:val="24"/>
    </w:rPr>
  </w:style>
  <w:style w:type="character" w:customStyle="1" w:styleId="62">
    <w:name w:val="批注主题 字符"/>
    <w:basedOn w:val="61"/>
    <w:link w:val="17"/>
    <w:semiHidden/>
    <w:qFormat/>
    <w:uiPriority w:val="99"/>
    <w:rPr>
      <w:rFonts w:ascii="Times New Roman" w:hAnsi="Times New Roman"/>
      <w:b/>
      <w:bCs/>
      <w:kern w:val="2"/>
      <w:sz w:val="24"/>
      <w:szCs w:val="24"/>
    </w:rPr>
  </w:style>
  <w:style w:type="paragraph" w:customStyle="1" w:styleId="63">
    <w:name w:val="修订1"/>
    <w:hidden/>
    <w:semiHidden/>
    <w:qFormat/>
    <w:uiPriority w:val="99"/>
    <w:rPr>
      <w:rFonts w:ascii="Times New Roman" w:hAnsi="Times New Roman" w:eastAsia="宋体" w:cs="Times New Roman"/>
      <w:kern w:val="2"/>
      <w:sz w:val="24"/>
      <w:szCs w:val="24"/>
      <w:lang w:val="en-US" w:eastAsia="zh-CN" w:bidi="ar-SA"/>
    </w:rPr>
  </w:style>
  <w:style w:type="character" w:customStyle="1" w:styleId="64">
    <w:name w:val="font11"/>
    <w:basedOn w:val="20"/>
    <w:qFormat/>
    <w:uiPriority w:val="0"/>
    <w:rPr>
      <w:rFonts w:hint="default" w:ascii="Times New Roman" w:hAnsi="Times New Roman" w:cs="Times New Roman"/>
      <w:color w:val="000000"/>
      <w:sz w:val="21"/>
      <w:szCs w:val="21"/>
      <w:u w:val="none"/>
    </w:rPr>
  </w:style>
  <w:style w:type="character" w:customStyle="1" w:styleId="65">
    <w:name w:val="font21"/>
    <w:basedOn w:val="20"/>
    <w:qFormat/>
    <w:uiPriority w:val="0"/>
    <w:rPr>
      <w:rFonts w:hint="eastAsia" w:ascii="宋体" w:hAnsi="宋体" w:eastAsia="宋体" w:cs="宋体"/>
      <w:color w:val="000000"/>
      <w:sz w:val="21"/>
      <w:szCs w:val="21"/>
      <w:u w:val="none"/>
    </w:rPr>
  </w:style>
  <w:style w:type="paragraph" w:styleId="66">
    <w:name w:val="List Paragraph"/>
    <w:basedOn w:val="1"/>
    <w:unhideWhenUsed/>
    <w:qFormat/>
    <w:uiPriority w:val="34"/>
    <w:pPr>
      <w:ind w:firstLine="420" w:firstLineChars="200"/>
    </w:pPr>
  </w:style>
  <w:style w:type="paragraph" w:customStyle="1" w:styleId="67">
    <w:name w:val="条3"/>
    <w:basedOn w:val="1"/>
    <w:qFormat/>
    <w:uiPriority w:val="0"/>
    <w:rPr>
      <w:rFonts w:asciiTheme="minorHAnsi" w:hAnsiTheme="minorHAnsi" w:eastAsiaTheme="minorEastAsia" w:cstheme="minorBidi"/>
      <w:sz w:val="21"/>
      <w:szCs w:val="22"/>
    </w:rPr>
  </w:style>
  <w:style w:type="character" w:customStyle="1" w:styleId="68">
    <w:name w:val="标题 4 字符"/>
    <w:basedOn w:val="20"/>
    <w:link w:val="5"/>
    <w:qFormat/>
    <w:uiPriority w:val="9"/>
    <w:rPr>
      <w:rFonts w:ascii="宋体" w:hAnsi="宋体" w:cs="宋体"/>
      <w:b/>
      <w:bCs/>
      <w:sz w:val="24"/>
      <w:szCs w:val="24"/>
    </w:rPr>
  </w:style>
  <w:style w:type="paragraph" w:customStyle="1" w:styleId="69">
    <w:name w:val="修订2"/>
    <w:hidden/>
    <w:semiHidden/>
    <w:qFormat/>
    <w:uiPriority w:val="99"/>
    <w:rPr>
      <w:rFonts w:ascii="宋体" w:hAnsi="宋体" w:eastAsia="宋体" w:cs="宋体"/>
      <w:sz w:val="24"/>
      <w:szCs w:val="24"/>
      <w:lang w:val="en-US" w:eastAsia="zh-CN" w:bidi="ar-SA"/>
    </w:rPr>
  </w:style>
  <w:style w:type="table" w:customStyle="1" w:styleId="70">
    <w:name w:val="网格型浅色1"/>
    <w:basedOn w:val="18"/>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table" w:customStyle="1" w:styleId="71">
    <w:name w:val="网格表 1 浅色 - 着色 51"/>
    <w:basedOn w:val="18"/>
    <w:qFormat/>
    <w:uiPriority w:val="46"/>
    <w:tblPr>
      <w:tblBorders>
        <w:top w:val="single" w:color="B6DDE8" w:themeColor="accent5" w:themeTint="66" w:sz="4" w:space="0"/>
        <w:left w:val="single" w:color="B6DDE8" w:themeColor="accent5" w:themeTint="66" w:sz="4" w:space="0"/>
        <w:bottom w:val="single" w:color="B6DDE8" w:themeColor="accent5" w:themeTint="66" w:sz="4" w:space="0"/>
        <w:right w:val="single" w:color="B6DDE8" w:themeColor="accent5" w:themeTint="66" w:sz="4" w:space="0"/>
        <w:insideH w:val="single" w:color="B6DDE8" w:themeColor="accent5" w:themeTint="66" w:sz="4" w:space="0"/>
        <w:insideV w:val="single" w:color="B6DDE8" w:themeColor="accent5" w:themeTint="66" w:sz="4" w:space="0"/>
      </w:tblBorders>
    </w:tblPr>
    <w:tblStylePr w:type="firstRow">
      <w:rPr>
        <w:b/>
        <w:bCs/>
      </w:rPr>
      <w:tcPr>
        <w:tcBorders>
          <w:bottom w:val="single" w:color="92CDDC" w:themeColor="accent5" w:themeTint="99" w:sz="12" w:space="0"/>
        </w:tcBorders>
      </w:tcPr>
    </w:tblStylePr>
    <w:tblStylePr w:type="lastRow">
      <w:rPr>
        <w:b/>
        <w:bCs/>
      </w:rPr>
      <w:tcPr>
        <w:tcBorders>
          <w:top w:val="double" w:color="92CDDC" w:themeColor="accent5" w:themeTint="99" w:sz="2" w:space="0"/>
        </w:tcBorders>
      </w:tcPr>
    </w:tblStylePr>
    <w:tblStylePr w:type="firstCol">
      <w:rPr>
        <w:b/>
        <w:bCs/>
      </w:rPr>
    </w:tblStylePr>
    <w:tblStylePr w:type="lastCol">
      <w:rPr>
        <w:b/>
        <w:bCs/>
      </w:rPr>
    </w:tblStylePr>
  </w:style>
  <w:style w:type="character" w:customStyle="1" w:styleId="72">
    <w:name w:val="标题 5 字符"/>
    <w:basedOn w:val="20"/>
    <w:link w:val="6"/>
    <w:qFormat/>
    <w:uiPriority w:val="9"/>
    <w:rPr>
      <w:rFonts w:ascii="宋体" w:hAnsi="宋体" w:cs="宋体"/>
      <w:b/>
      <w:bCs/>
      <w:sz w:val="24"/>
      <w:szCs w:val="24"/>
    </w:rPr>
  </w:style>
  <w:style w:type="paragraph" w:customStyle="1" w:styleId="73">
    <w:name w:val="msonormal"/>
    <w:basedOn w:val="1"/>
    <w:qFormat/>
    <w:uiPriority w:val="0"/>
    <w:pPr>
      <w:spacing w:before="100" w:beforeAutospacing="1" w:after="100" w:afterAutospacing="1"/>
    </w:pPr>
  </w:style>
  <w:style w:type="paragraph" w:customStyle="1" w:styleId="74">
    <w:name w:val="font5"/>
    <w:basedOn w:val="1"/>
    <w:qFormat/>
    <w:uiPriority w:val="0"/>
    <w:pPr>
      <w:spacing w:before="100" w:beforeAutospacing="1" w:after="100" w:afterAutospacing="1"/>
    </w:pPr>
    <w:rPr>
      <w:rFonts w:ascii="等线" w:hAnsi="等线" w:eastAsia="等线"/>
      <w:sz w:val="18"/>
      <w:szCs w:val="18"/>
    </w:rPr>
  </w:style>
  <w:style w:type="paragraph" w:customStyle="1" w:styleId="75">
    <w:name w:val="font6"/>
    <w:basedOn w:val="1"/>
    <w:qFormat/>
    <w:uiPriority w:val="0"/>
    <w:pPr>
      <w:spacing w:before="100" w:beforeAutospacing="1" w:after="100" w:afterAutospacing="1"/>
    </w:pPr>
    <w:rPr>
      <w:color w:val="FF0000"/>
      <w:sz w:val="22"/>
      <w:szCs w:val="22"/>
    </w:rPr>
  </w:style>
  <w:style w:type="paragraph" w:customStyle="1" w:styleId="76">
    <w:name w:val="font7"/>
    <w:basedOn w:val="1"/>
    <w:qFormat/>
    <w:uiPriority w:val="0"/>
    <w:pPr>
      <w:spacing w:before="100" w:beforeAutospacing="1" w:after="100" w:afterAutospacing="1"/>
    </w:pPr>
    <w:rPr>
      <w:rFonts w:ascii="Arial" w:hAnsi="Arial" w:cs="Arial"/>
      <w:color w:val="FF0000"/>
      <w:sz w:val="22"/>
      <w:szCs w:val="22"/>
    </w:rPr>
  </w:style>
  <w:style w:type="paragraph" w:customStyle="1" w:styleId="77">
    <w:name w:val="font8"/>
    <w:basedOn w:val="1"/>
    <w:qFormat/>
    <w:uiPriority w:val="0"/>
    <w:pPr>
      <w:spacing w:before="100" w:beforeAutospacing="1" w:after="100" w:afterAutospacing="1"/>
    </w:pPr>
    <w:rPr>
      <w:rFonts w:ascii="等线" w:hAnsi="等线" w:eastAsia="等线"/>
      <w:color w:val="FF0000"/>
      <w:sz w:val="22"/>
      <w:szCs w:val="22"/>
    </w:rPr>
  </w:style>
  <w:style w:type="paragraph" w:customStyle="1" w:styleId="78">
    <w:name w:val="xl65"/>
    <w:basedOn w:val="1"/>
    <w:qFormat/>
    <w:uiPriority w:val="0"/>
    <w:pPr>
      <w:spacing w:before="100" w:beforeAutospacing="1" w:after="100" w:afterAutospacing="1"/>
      <w:jc w:val="center"/>
      <w:textAlignment w:val="center"/>
    </w:pPr>
    <w:rPr>
      <w:rFonts w:ascii="仿宋" w:hAnsi="仿宋" w:eastAsia="仿宋"/>
      <w:b/>
      <w:bCs/>
    </w:rPr>
  </w:style>
  <w:style w:type="paragraph" w:customStyle="1" w:styleId="79">
    <w:name w:val="xl66"/>
    <w:basedOn w:val="1"/>
    <w:qFormat/>
    <w:uiPriority w:val="0"/>
    <w:pPr>
      <w:spacing w:before="100" w:beforeAutospacing="1" w:after="100" w:afterAutospacing="1"/>
      <w:jc w:val="center"/>
      <w:textAlignment w:val="center"/>
    </w:pPr>
    <w:rPr>
      <w:b/>
      <w:bCs/>
    </w:rPr>
  </w:style>
  <w:style w:type="paragraph" w:customStyle="1" w:styleId="80">
    <w:name w:val="xl67"/>
    <w:basedOn w:val="1"/>
    <w:qFormat/>
    <w:uiPriority w:val="0"/>
    <w:pPr>
      <w:spacing w:before="100" w:beforeAutospacing="1" w:after="100" w:afterAutospacing="1"/>
      <w:jc w:val="center"/>
    </w:pPr>
    <w:rPr>
      <w:b/>
      <w:bCs/>
    </w:rPr>
  </w:style>
  <w:style w:type="paragraph" w:customStyle="1" w:styleId="81">
    <w:name w:val="xl68"/>
    <w:basedOn w:val="1"/>
    <w:qFormat/>
    <w:uiPriority w:val="0"/>
    <w:pPr>
      <w:shd w:val="clear" w:color="000000" w:fill="D9D9D9"/>
      <w:spacing w:before="100" w:beforeAutospacing="1" w:after="100" w:afterAutospacing="1"/>
      <w:jc w:val="center"/>
      <w:textAlignment w:val="center"/>
    </w:pPr>
    <w:rPr>
      <w:b/>
      <w:bCs/>
      <w:color w:val="000000"/>
    </w:rPr>
  </w:style>
  <w:style w:type="paragraph" w:customStyle="1" w:styleId="82">
    <w:name w:val="xl69"/>
    <w:basedOn w:val="1"/>
    <w:qFormat/>
    <w:uiPriority w:val="0"/>
    <w:pPr>
      <w:spacing w:before="100" w:beforeAutospacing="1" w:after="100" w:afterAutospacing="1"/>
      <w:jc w:val="center"/>
      <w:textAlignment w:val="center"/>
    </w:pPr>
    <w:rPr>
      <w:b/>
      <w:bCs/>
    </w:rPr>
  </w:style>
  <w:style w:type="paragraph" w:customStyle="1" w:styleId="83">
    <w:name w:val="xl70"/>
    <w:basedOn w:val="1"/>
    <w:qFormat/>
    <w:uiPriority w:val="0"/>
    <w:pPr>
      <w:spacing w:before="100" w:beforeAutospacing="1" w:after="100" w:afterAutospacing="1"/>
      <w:jc w:val="both"/>
      <w:textAlignment w:val="center"/>
    </w:pPr>
  </w:style>
  <w:style w:type="paragraph" w:customStyle="1" w:styleId="84">
    <w:name w:val="xl71"/>
    <w:basedOn w:val="1"/>
    <w:qFormat/>
    <w:uiPriority w:val="0"/>
    <w:pPr>
      <w:spacing w:before="100" w:beforeAutospacing="1" w:after="100" w:afterAutospacing="1"/>
      <w:textAlignment w:val="center"/>
    </w:pPr>
  </w:style>
  <w:style w:type="paragraph" w:customStyle="1" w:styleId="85">
    <w:name w:val="xl72"/>
    <w:basedOn w:val="1"/>
    <w:qFormat/>
    <w:uiPriority w:val="0"/>
    <w:pPr>
      <w:spacing w:before="100" w:beforeAutospacing="1" w:after="100" w:afterAutospacing="1"/>
      <w:textAlignment w:val="center"/>
    </w:pPr>
    <w:rPr>
      <w:b/>
      <w:bCs/>
    </w:rPr>
  </w:style>
  <w:style w:type="paragraph" w:customStyle="1" w:styleId="86">
    <w:name w:val="xl73"/>
    <w:basedOn w:val="1"/>
    <w:qFormat/>
    <w:uiPriority w:val="0"/>
    <w:pPr>
      <w:spacing w:before="100" w:beforeAutospacing="1" w:after="100" w:afterAutospacing="1"/>
      <w:textAlignment w:val="center"/>
    </w:pPr>
    <w:rPr>
      <w:b/>
      <w:bCs/>
    </w:rPr>
  </w:style>
  <w:style w:type="paragraph" w:customStyle="1" w:styleId="87">
    <w:name w:val="xl74"/>
    <w:basedOn w:val="1"/>
    <w:qFormat/>
    <w:uiPriority w:val="0"/>
    <w:pPr>
      <w:spacing w:before="100" w:beforeAutospacing="1" w:after="100" w:afterAutospacing="1"/>
      <w:textAlignment w:val="top"/>
    </w:pPr>
  </w:style>
  <w:style w:type="paragraph" w:customStyle="1" w:styleId="88">
    <w:name w:val="xl75"/>
    <w:basedOn w:val="1"/>
    <w:qFormat/>
    <w:uiPriority w:val="0"/>
    <w:pPr>
      <w:spacing w:before="100" w:beforeAutospacing="1" w:after="100" w:afterAutospacing="1"/>
      <w:jc w:val="both"/>
      <w:textAlignment w:val="top"/>
    </w:pPr>
  </w:style>
  <w:style w:type="paragraph" w:customStyle="1" w:styleId="89">
    <w:name w:val="xl76"/>
    <w:basedOn w:val="1"/>
    <w:qFormat/>
    <w:uiPriority w:val="0"/>
    <w:pPr>
      <w:spacing w:before="100" w:beforeAutospacing="1" w:after="100" w:afterAutospacing="1"/>
      <w:textAlignment w:val="top"/>
    </w:pPr>
  </w:style>
  <w:style w:type="paragraph" w:customStyle="1" w:styleId="90">
    <w:name w:val="xl77"/>
    <w:basedOn w:val="1"/>
    <w:qFormat/>
    <w:uiPriority w:val="0"/>
    <w:pPr>
      <w:spacing w:before="100" w:beforeAutospacing="1" w:after="100" w:afterAutospacing="1"/>
      <w:jc w:val="both"/>
      <w:textAlignment w:val="center"/>
    </w:pPr>
    <w:rPr>
      <w:color w:val="FF0000"/>
    </w:rPr>
  </w:style>
  <w:style w:type="paragraph" w:customStyle="1" w:styleId="91">
    <w:name w:val="xl78"/>
    <w:basedOn w:val="1"/>
    <w:qFormat/>
    <w:uiPriority w:val="0"/>
    <w:pPr>
      <w:spacing w:before="100" w:beforeAutospacing="1" w:after="100" w:afterAutospacing="1"/>
      <w:jc w:val="center"/>
      <w:textAlignment w:val="center"/>
    </w:pPr>
    <w:rPr>
      <w:b/>
      <w:bCs/>
      <w:color w:val="FF0000"/>
    </w:rPr>
  </w:style>
  <w:style w:type="paragraph" w:customStyle="1" w:styleId="92">
    <w:name w:val="xl79"/>
    <w:basedOn w:val="1"/>
    <w:qFormat/>
    <w:uiPriority w:val="0"/>
    <w:pPr>
      <w:spacing w:before="100" w:beforeAutospacing="1" w:after="100" w:afterAutospacing="1"/>
      <w:textAlignment w:val="top"/>
    </w:pPr>
    <w:rPr>
      <w:b/>
      <w:bCs/>
      <w:color w:val="FF0000"/>
    </w:rPr>
  </w:style>
  <w:style w:type="paragraph" w:customStyle="1" w:styleId="93">
    <w:name w:val="xl80"/>
    <w:basedOn w:val="1"/>
    <w:qFormat/>
    <w:uiPriority w:val="0"/>
    <w:pPr>
      <w:spacing w:before="100" w:beforeAutospacing="1" w:after="100" w:afterAutospacing="1"/>
    </w:pPr>
    <w:rPr>
      <w:b/>
      <w:bCs/>
      <w:color w:val="FF0000"/>
    </w:rPr>
  </w:style>
  <w:style w:type="paragraph" w:customStyle="1" w:styleId="94">
    <w:name w:val="xl81"/>
    <w:basedOn w:val="1"/>
    <w:qFormat/>
    <w:uiPriority w:val="0"/>
    <w:pPr>
      <w:spacing w:before="100" w:beforeAutospacing="1" w:after="100" w:afterAutospacing="1"/>
    </w:pPr>
    <w:rPr>
      <w:color w:val="FF0000"/>
    </w:rPr>
  </w:style>
  <w:style w:type="paragraph" w:customStyle="1" w:styleId="95">
    <w:name w:val="xl82"/>
    <w:basedOn w:val="1"/>
    <w:qFormat/>
    <w:uiPriority w:val="0"/>
    <w:pPr>
      <w:spacing w:before="100" w:beforeAutospacing="1" w:after="100" w:afterAutospacing="1"/>
      <w:jc w:val="center"/>
    </w:pPr>
    <w:rPr>
      <w:b/>
      <w:bCs/>
      <w:color w:val="FF0000"/>
    </w:rPr>
  </w:style>
  <w:style w:type="paragraph" w:customStyle="1" w:styleId="96">
    <w:name w:val="xl83"/>
    <w:basedOn w:val="1"/>
    <w:qFormat/>
    <w:uiPriority w:val="0"/>
    <w:pPr>
      <w:spacing w:before="100" w:beforeAutospacing="1" w:after="100" w:afterAutospacing="1"/>
      <w:textAlignment w:val="top"/>
    </w:pPr>
    <w:rPr>
      <w:color w:val="FF0000"/>
    </w:rPr>
  </w:style>
  <w:style w:type="paragraph" w:customStyle="1" w:styleId="97">
    <w:name w:val="xl84"/>
    <w:basedOn w:val="1"/>
    <w:qFormat/>
    <w:uiPriority w:val="0"/>
    <w:pPr>
      <w:spacing w:before="100" w:beforeAutospacing="1" w:after="100" w:afterAutospacing="1"/>
      <w:textAlignment w:val="center"/>
    </w:pPr>
    <w:rPr>
      <w:color w:val="FF0000"/>
    </w:rPr>
  </w:style>
  <w:style w:type="paragraph" w:customStyle="1" w:styleId="98">
    <w:name w:val="xl85"/>
    <w:basedOn w:val="1"/>
    <w:qFormat/>
    <w:uiPriority w:val="0"/>
    <w:pPr>
      <w:spacing w:before="100" w:beforeAutospacing="1" w:after="100" w:afterAutospacing="1"/>
      <w:textAlignment w:val="top"/>
    </w:pPr>
    <w:rPr>
      <w:color w:val="FF0000"/>
    </w:rPr>
  </w:style>
  <w:style w:type="paragraph" w:customStyle="1" w:styleId="99">
    <w:name w:val="xl86"/>
    <w:basedOn w:val="1"/>
    <w:qFormat/>
    <w:uiPriority w:val="0"/>
    <w:pPr>
      <w:spacing w:before="100" w:beforeAutospacing="1" w:after="100" w:afterAutospacing="1"/>
      <w:textAlignment w:val="center"/>
    </w:pPr>
    <w:rPr>
      <w:rFonts w:ascii="Arial" w:hAnsi="Arial" w:cs="Arial"/>
      <w:color w:val="FF0000"/>
    </w:rPr>
  </w:style>
  <w:style w:type="paragraph" w:customStyle="1" w:styleId="100">
    <w:name w:val="xl87"/>
    <w:basedOn w:val="1"/>
    <w:qFormat/>
    <w:uiPriority w:val="0"/>
    <w:pPr>
      <w:spacing w:before="100" w:beforeAutospacing="1" w:after="100" w:afterAutospacing="1"/>
      <w:textAlignment w:val="center"/>
    </w:pPr>
    <w:rPr>
      <w:b/>
      <w:bCs/>
      <w:color w:val="FF0000"/>
    </w:rPr>
  </w:style>
  <w:style w:type="paragraph" w:customStyle="1" w:styleId="101">
    <w:name w:val="xl88"/>
    <w:basedOn w:val="1"/>
    <w:qFormat/>
    <w:uiPriority w:val="0"/>
    <w:pPr>
      <w:spacing w:before="100" w:beforeAutospacing="1" w:after="100" w:afterAutospacing="1"/>
      <w:textAlignment w:val="center"/>
    </w:pPr>
    <w:rPr>
      <w:rFonts w:ascii="Arial" w:hAnsi="Arial" w:cs="Arial"/>
      <w:color w:val="FF0000"/>
    </w:rPr>
  </w:style>
  <w:style w:type="paragraph" w:customStyle="1" w:styleId="102">
    <w:name w:val="xl89"/>
    <w:basedOn w:val="1"/>
    <w:qFormat/>
    <w:uiPriority w:val="0"/>
    <w:pPr>
      <w:spacing w:before="100" w:beforeAutospacing="1" w:after="100" w:afterAutospacing="1"/>
      <w:textAlignment w:val="center"/>
    </w:pPr>
    <w:rPr>
      <w:rFonts w:ascii="仿宋" w:hAnsi="仿宋" w:eastAsia="仿宋"/>
      <w:b/>
      <w:bCs/>
      <w:sz w:val="32"/>
      <w:szCs w:val="32"/>
    </w:rPr>
  </w:style>
  <w:style w:type="paragraph" w:customStyle="1" w:styleId="103">
    <w:name w:val="xl90"/>
    <w:basedOn w:val="1"/>
    <w:qFormat/>
    <w:uiPriority w:val="0"/>
    <w:pPr>
      <w:spacing w:before="100" w:beforeAutospacing="1" w:after="100" w:afterAutospacing="1"/>
      <w:jc w:val="center"/>
      <w:textAlignment w:val="center"/>
    </w:pPr>
    <w:rPr>
      <w:rFonts w:ascii="方正小标宋简体" w:eastAsia="方正小标宋简体"/>
      <w:sz w:val="44"/>
      <w:szCs w:val="44"/>
    </w:rPr>
  </w:style>
  <w:style w:type="paragraph" w:customStyle="1" w:styleId="104">
    <w:name w:val="xl91"/>
    <w:basedOn w:val="1"/>
    <w:qFormat/>
    <w:uiPriority w:val="0"/>
    <w:pPr>
      <w:spacing w:before="100" w:beforeAutospacing="1" w:after="100" w:afterAutospacing="1"/>
      <w:textAlignment w:val="center"/>
    </w:pPr>
    <w:rPr>
      <w:b/>
      <w:bCs/>
    </w:rPr>
  </w:style>
  <w:style w:type="paragraph" w:customStyle="1" w:styleId="105">
    <w:name w:val="数字编号列项（二级）"/>
    <w:qFormat/>
    <w:uiPriority w:val="0"/>
    <w:pPr>
      <w:numPr>
        <w:ilvl w:val="1"/>
        <w:numId w:val="4"/>
      </w:numPr>
      <w:jc w:val="both"/>
    </w:pPr>
    <w:rPr>
      <w:rFonts w:ascii="宋体" w:hAnsi="Times New Roman" w:eastAsia="宋体" w:cs="Times New Roman"/>
      <w:sz w:val="21"/>
      <w:lang w:val="en-US" w:eastAsia="zh-CN" w:bidi="ar-SA"/>
    </w:rPr>
  </w:style>
  <w:style w:type="paragraph" w:customStyle="1" w:styleId="106">
    <w:name w:val="字母编号列项（一级）"/>
    <w:qFormat/>
    <w:uiPriority w:val="0"/>
    <w:pPr>
      <w:numPr>
        <w:ilvl w:val="0"/>
        <w:numId w:val="4"/>
      </w:numPr>
      <w:jc w:val="both"/>
    </w:pPr>
    <w:rPr>
      <w:rFonts w:ascii="宋体" w:hAnsi="Times New Roman" w:eastAsia="宋体" w:cs="Times New Roman"/>
      <w:sz w:val="21"/>
      <w:lang w:val="en-US" w:eastAsia="zh-CN" w:bidi="ar-SA"/>
    </w:rPr>
  </w:style>
  <w:style w:type="paragraph" w:customStyle="1" w:styleId="107">
    <w:name w:val="编号列项（三级）"/>
    <w:qFormat/>
    <w:uiPriority w:val="0"/>
    <w:pPr>
      <w:numPr>
        <w:ilvl w:val="2"/>
        <w:numId w:val="4"/>
      </w:numPr>
    </w:pPr>
    <w:rPr>
      <w:rFonts w:ascii="宋体" w:hAnsi="Times New Roman" w:eastAsia="宋体" w:cs="Times New Roman"/>
      <w:sz w:val="21"/>
      <w:lang w:val="en-US" w:eastAsia="zh-CN" w:bidi="ar-SA"/>
    </w:rPr>
  </w:style>
  <w:style w:type="paragraph" w:customStyle="1" w:styleId="108">
    <w:name w:val="标准文件_附录标识"/>
    <w:next w:val="1"/>
    <w:qFormat/>
    <w:uiPriority w:val="0"/>
    <w:pPr>
      <w:numPr>
        <w:ilvl w:val="0"/>
        <w:numId w:val="5"/>
      </w:numPr>
      <w:shd w:val="clear" w:color="FFFFFF" w:fill="FFFFFF"/>
      <w:tabs>
        <w:tab w:val="left" w:pos="6406"/>
      </w:tabs>
      <w:spacing w:before="25" w:beforeLines="25" w:after="50" w:afterLines="50"/>
      <w:jc w:val="center"/>
      <w:outlineLvl w:val="0"/>
    </w:pPr>
    <w:rPr>
      <w:rFonts w:ascii="黑体" w:hAnsi="Times New Roman" w:eastAsia="黑体" w:cs="Times New Roman"/>
      <w:sz w:val="21"/>
      <w:lang w:val="en-US" w:eastAsia="zh-CN" w:bidi="ar-SA"/>
    </w:rPr>
  </w:style>
  <w:style w:type="paragraph" w:customStyle="1" w:styleId="109">
    <w:name w:val="标准文件_附录一级条标题"/>
    <w:next w:val="1"/>
    <w:qFormat/>
    <w:uiPriority w:val="0"/>
    <w:pPr>
      <w:widowControl w:val="0"/>
      <w:numPr>
        <w:ilvl w:val="1"/>
        <w:numId w:val="5"/>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110">
    <w:name w:val="标准文件_附录二级条标题"/>
    <w:basedOn w:val="109"/>
    <w:next w:val="1"/>
    <w:qFormat/>
    <w:uiPriority w:val="0"/>
    <w:pPr>
      <w:widowControl/>
      <w:numPr>
        <w:ilvl w:val="2"/>
      </w:numPr>
      <w:wordWrap w:val="0"/>
      <w:overflowPunct w:val="0"/>
      <w:autoSpaceDE w:val="0"/>
      <w:autoSpaceDN w:val="0"/>
      <w:textAlignment w:val="baseline"/>
      <w:outlineLvl w:val="3"/>
    </w:pPr>
  </w:style>
  <w:style w:type="paragraph" w:customStyle="1" w:styleId="111">
    <w:name w:val="标准文件_附录三级条标题"/>
    <w:next w:val="1"/>
    <w:qFormat/>
    <w:uiPriority w:val="0"/>
    <w:pPr>
      <w:widowControl w:val="0"/>
      <w:numPr>
        <w:ilvl w:val="3"/>
        <w:numId w:val="5"/>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112">
    <w:name w:val="标准文件_附录四级条标题"/>
    <w:next w:val="1"/>
    <w:qFormat/>
    <w:uiPriority w:val="0"/>
    <w:pPr>
      <w:widowControl w:val="0"/>
      <w:numPr>
        <w:ilvl w:val="4"/>
        <w:numId w:val="5"/>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113">
    <w:name w:val="标准文件_附录五级条标题"/>
    <w:next w:val="1"/>
    <w:qFormat/>
    <w:uiPriority w:val="0"/>
    <w:pPr>
      <w:widowControl w:val="0"/>
      <w:numPr>
        <w:ilvl w:val="5"/>
        <w:numId w:val="5"/>
      </w:numPr>
      <w:spacing w:before="50" w:beforeLines="50" w:after="50" w:afterLines="50"/>
      <w:jc w:val="both"/>
      <w:outlineLvl w:val="6"/>
    </w:pPr>
    <w:rPr>
      <w:rFonts w:ascii="黑体" w:hAnsi="Times New Roman" w:eastAsia="黑体" w:cs="Times New Roman"/>
      <w:kern w:val="21"/>
      <w:sz w:val="21"/>
      <w:lang w:val="en-US" w:eastAsia="zh-CN" w:bidi="ar-SA"/>
    </w:rPr>
  </w:style>
  <w:style w:type="character" w:customStyle="1" w:styleId="114">
    <w:name w:val="发布"/>
    <w:qFormat/>
    <w:uiPriority w:val="0"/>
    <w:rPr>
      <w:rFonts w:ascii="黑体" w:eastAsia="黑体"/>
      <w:spacing w:val="22"/>
      <w:w w:val="100"/>
      <w:position w:val="3"/>
      <w:sz w:val="28"/>
    </w:rPr>
  </w:style>
  <w:style w:type="paragraph" w:customStyle="1" w:styleId="115">
    <w:name w:val="标准文件_表格"/>
    <w:basedOn w:val="116"/>
    <w:qFormat/>
    <w:uiPriority w:val="0"/>
    <w:pPr>
      <w:ind w:firstLine="0" w:firstLineChars="0"/>
      <w:jc w:val="center"/>
    </w:pPr>
    <w:rPr>
      <w:sz w:val="18"/>
    </w:rPr>
  </w:style>
  <w:style w:type="paragraph" w:customStyle="1" w:styleId="116">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17">
    <w:name w:val="Revision"/>
    <w:hidden/>
    <w:unhideWhenUsed/>
    <w:qFormat/>
    <w:uiPriority w:val="99"/>
    <w:rPr>
      <w:rFonts w:ascii="宋体" w:hAnsi="宋体" w:eastAsia="宋体" w:cs="宋体"/>
      <w:sz w:val="24"/>
      <w:szCs w:val="24"/>
      <w:lang w:val="en-US" w:eastAsia="zh-CN" w:bidi="ar-SA"/>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numbering" Target="numbering.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tyleName="APA" SelectedStyle="\APA.XSL"/>
</file>

<file path=customXml/itemProps1.xml><?xml version="1.0" encoding="utf-8"?>
<ds:datastoreItem xmlns:ds="http://schemas.openxmlformats.org/officeDocument/2006/customXml" ds:itemID="{88A08974-DE26-4AE3-B466-B2C882FB25CC}">
  <ds:schemaRefs/>
</ds:datastoreItem>
</file>

<file path=docProps/app.xml><?xml version="1.0" encoding="utf-8"?>
<Properties xmlns="http://schemas.openxmlformats.org/officeDocument/2006/extended-properties" xmlns:vt="http://schemas.openxmlformats.org/officeDocument/2006/docPropsVTypes">
  <Template>Normal.dotm</Template>
  <Company>Lenovo (Beijing) Limited</Company>
  <Pages>8</Pages>
  <Words>3958</Words>
  <Characters>4549</Characters>
  <Lines>41</Lines>
  <Paragraphs>11</Paragraphs>
  <TotalTime>0</TotalTime>
  <ScaleCrop>false</ScaleCrop>
  <LinksUpToDate>false</LinksUpToDate>
  <CharactersWithSpaces>4666</CharactersWithSpaces>
  <Application>WPS Office_12.1.21861.21861_F1E327BC-269C-435d-A152-05C5408002CA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2016-10-15T02:30:00Z</dcterms:created>
  <dc:creator>lyc</dc:creator>
  <cp:lastModifiedBy>白乙含</cp:lastModifiedBy>
  <cp:lastPrinted>2022-07-15T09:32:00Z</cp:lastPrinted>
  <dcterms:modified xsi:type="dcterms:W3CDTF">2025-09-16T16:44:19Z</dcterms:modified>
  <dc:title>泡沫混凝土用泡沫剂</dc:title>
  <cp:revision>742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2052-12.1.21861.21861</vt:lpwstr>
  </property>
  <property fmtid="{D5CDD505-2E9C-101B-9397-08002B2CF9AE}" pid="3" name="KSOTemplateDocerSaveRecord">
    <vt:lpwstr>eyJoZGlkIjoiYjU2NTkyZTg1YWMyY2NkNWQ0YzBhMWZlMjJjOWM1NWEiLCJ1c2VySWQiOiIxOTk1MjM1NSJ9</vt:lpwstr>
  </property>
  <property fmtid="{D5CDD505-2E9C-101B-9397-08002B2CF9AE}" pid="4" name="ICV">
    <vt:lpwstr>C0C87DF97F43E2279909C9684BE462F7_43</vt:lpwstr>
  </property>
</Properties>
</file>