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3A7A57">
      <w:pPr>
        <w:rPr>
          <w:b/>
          <w:color w:val="000000" w:themeColor="text1"/>
          <w:sz w:val="36"/>
          <w:szCs w:val="36"/>
          <w14:textFill>
            <w14:solidFill>
              <w14:schemeClr w14:val="tx1"/>
            </w14:solidFill>
          </w14:textFill>
        </w:rPr>
      </w:pPr>
    </w:p>
    <w:p w14:paraId="0A742869">
      <w:pPr>
        <w:rPr>
          <w:b/>
          <w:color w:val="000000" w:themeColor="text1"/>
          <w:sz w:val="36"/>
          <w:szCs w:val="36"/>
          <w14:textFill>
            <w14:solidFill>
              <w14:schemeClr w14:val="tx1"/>
            </w14:solidFill>
          </w14:textFill>
        </w:rPr>
      </w:pPr>
    </w:p>
    <w:p w14:paraId="253EFE97">
      <w:pPr>
        <w:rPr>
          <w:b/>
          <w:color w:val="000000" w:themeColor="text1"/>
          <w:sz w:val="36"/>
          <w:szCs w:val="36"/>
          <w14:textFill>
            <w14:solidFill>
              <w14:schemeClr w14:val="tx1"/>
            </w14:solidFill>
          </w14:textFill>
        </w:rPr>
      </w:pPr>
    </w:p>
    <w:p w14:paraId="7CB9B467">
      <w:pPr>
        <w:rPr>
          <w:b/>
          <w:color w:val="000000" w:themeColor="text1"/>
          <w:sz w:val="52"/>
          <w:szCs w:val="52"/>
          <w14:textFill>
            <w14:solidFill>
              <w14:schemeClr w14:val="tx1"/>
            </w14:solidFill>
          </w14:textFill>
        </w:rPr>
      </w:pPr>
    </w:p>
    <w:p w14:paraId="2F839075">
      <w:pPr>
        <w:ind w:firstLine="260" w:firstLineChars="50"/>
        <w:jc w:val="center"/>
        <w:rPr>
          <w:rFonts w:ascii="方正小标宋简体" w:eastAsia="方正小标宋简体"/>
          <w:bCs/>
          <w:color w:val="000000" w:themeColor="text1"/>
          <w:sz w:val="52"/>
          <w:szCs w:val="52"/>
          <w14:textFill>
            <w14:solidFill>
              <w14:schemeClr w14:val="tx1"/>
            </w14:solidFill>
          </w14:textFill>
        </w:rPr>
      </w:pPr>
      <w:r>
        <w:rPr>
          <w:rFonts w:hint="eastAsia" w:ascii="方正小标宋简体" w:eastAsia="方正小标宋简体"/>
          <w:bCs/>
          <w:color w:val="000000" w:themeColor="text1"/>
          <w:sz w:val="52"/>
          <w:szCs w:val="52"/>
          <w14:textFill>
            <w14:solidFill>
              <w14:schemeClr w14:val="tx1"/>
            </w14:solidFill>
          </w14:textFill>
        </w:rPr>
        <w:t>《</w:t>
      </w:r>
      <w:r>
        <w:rPr>
          <w:rFonts w:hint="eastAsia" w:ascii="方正小标宋简体" w:eastAsia="方正小标宋简体"/>
          <w:bCs/>
          <w:color w:val="000000" w:themeColor="text1"/>
          <w:sz w:val="52"/>
          <w:szCs w:val="52"/>
          <w:lang w:eastAsia="zh-CN"/>
          <w14:textFill>
            <w14:solidFill>
              <w14:schemeClr w14:val="tx1"/>
            </w14:solidFill>
          </w14:textFill>
        </w:rPr>
        <w:t>建筑用防腐木材技术规范</w:t>
      </w:r>
      <w:r>
        <w:rPr>
          <w:rFonts w:hint="eastAsia" w:ascii="方正小标宋简体" w:eastAsia="方正小标宋简体"/>
          <w:bCs/>
          <w:color w:val="000000" w:themeColor="text1"/>
          <w:sz w:val="52"/>
          <w:szCs w:val="52"/>
          <w14:textFill>
            <w14:solidFill>
              <w14:schemeClr w14:val="tx1"/>
            </w14:solidFill>
          </w14:textFill>
        </w:rPr>
        <w:t>》</w:t>
      </w:r>
    </w:p>
    <w:p w14:paraId="00A26CB8">
      <w:pPr>
        <w:ind w:firstLine="260" w:firstLineChars="50"/>
        <w:jc w:val="center"/>
        <w:rPr>
          <w:rFonts w:ascii="方正小标宋简体" w:eastAsia="方正小标宋简体"/>
          <w:bCs/>
          <w:color w:val="000000" w:themeColor="text1"/>
          <w:sz w:val="52"/>
          <w:szCs w:val="52"/>
          <w14:textFill>
            <w14:solidFill>
              <w14:schemeClr w14:val="tx1"/>
            </w14:solidFill>
          </w14:textFill>
        </w:rPr>
      </w:pPr>
      <w:r>
        <w:rPr>
          <w:rFonts w:hint="eastAsia" w:ascii="方正小标宋简体" w:eastAsia="方正小标宋简体"/>
          <w:bCs/>
          <w:color w:val="000000" w:themeColor="text1"/>
          <w:sz w:val="52"/>
          <w:szCs w:val="52"/>
          <w14:textFill>
            <w14:solidFill>
              <w14:schemeClr w14:val="tx1"/>
            </w14:solidFill>
          </w14:textFill>
        </w:rPr>
        <w:t>行业标准编制说明</w:t>
      </w:r>
    </w:p>
    <w:p w14:paraId="72316DA3">
      <w:pPr>
        <w:jc w:val="center"/>
        <w:rPr>
          <w:b/>
          <w:color w:val="000000" w:themeColor="text1"/>
          <w:sz w:val="44"/>
          <w:szCs w:val="44"/>
          <w14:textFill>
            <w14:solidFill>
              <w14:schemeClr w14:val="tx1"/>
            </w14:solidFill>
          </w14:textFill>
        </w:rPr>
      </w:pPr>
    </w:p>
    <w:p w14:paraId="6D47F927">
      <w:pPr>
        <w:jc w:val="center"/>
        <w:rPr>
          <w:b/>
          <w:color w:val="000000" w:themeColor="text1"/>
          <w:sz w:val="44"/>
          <w:szCs w:val="44"/>
          <w14:textFill>
            <w14:solidFill>
              <w14:schemeClr w14:val="tx1"/>
            </w14:solidFill>
          </w14:textFill>
        </w:rPr>
      </w:pPr>
      <w:r>
        <w:rPr>
          <w:rFonts w:hint="eastAsia"/>
          <w:b/>
          <w:color w:val="000000" w:themeColor="text1"/>
          <w:sz w:val="44"/>
          <w:szCs w:val="44"/>
          <w14:textFill>
            <w14:solidFill>
              <w14:schemeClr w14:val="tx1"/>
            </w14:solidFill>
          </w14:textFill>
        </w:rPr>
        <w:t>（征求意见稿）</w:t>
      </w:r>
    </w:p>
    <w:p w14:paraId="7D2E4AF8">
      <w:pPr>
        <w:jc w:val="center"/>
        <w:rPr>
          <w:b/>
          <w:color w:val="000000" w:themeColor="text1"/>
          <w:sz w:val="44"/>
          <w:szCs w:val="44"/>
          <w14:textFill>
            <w14:solidFill>
              <w14:schemeClr w14:val="tx1"/>
            </w14:solidFill>
          </w14:textFill>
        </w:rPr>
      </w:pPr>
    </w:p>
    <w:p w14:paraId="73FF0B65">
      <w:pPr>
        <w:jc w:val="center"/>
        <w:rPr>
          <w:b/>
          <w:color w:val="000000" w:themeColor="text1"/>
          <w:sz w:val="44"/>
          <w:szCs w:val="44"/>
          <w14:textFill>
            <w14:solidFill>
              <w14:schemeClr w14:val="tx1"/>
            </w14:solidFill>
          </w14:textFill>
        </w:rPr>
      </w:pPr>
    </w:p>
    <w:p w14:paraId="1A6512E9">
      <w:pPr>
        <w:rPr>
          <w:b/>
          <w:color w:val="000000" w:themeColor="text1"/>
          <w:sz w:val="44"/>
          <w:szCs w:val="44"/>
          <w14:textFill>
            <w14:solidFill>
              <w14:schemeClr w14:val="tx1"/>
            </w14:solidFill>
          </w14:textFill>
        </w:rPr>
      </w:pPr>
    </w:p>
    <w:p w14:paraId="329339CE">
      <w:pPr>
        <w:rPr>
          <w:b/>
          <w:color w:val="000000" w:themeColor="text1"/>
          <w:sz w:val="44"/>
          <w:szCs w:val="44"/>
          <w14:textFill>
            <w14:solidFill>
              <w14:schemeClr w14:val="tx1"/>
            </w14:solidFill>
          </w14:textFill>
        </w:rPr>
      </w:pPr>
    </w:p>
    <w:p w14:paraId="551D6069">
      <w:pPr>
        <w:rPr>
          <w:b/>
          <w:color w:val="000000" w:themeColor="text1"/>
          <w:sz w:val="44"/>
          <w:szCs w:val="44"/>
          <w14:textFill>
            <w14:solidFill>
              <w14:schemeClr w14:val="tx1"/>
            </w14:solidFill>
          </w14:textFill>
        </w:rPr>
      </w:pPr>
    </w:p>
    <w:p w14:paraId="63088E69">
      <w:pPr>
        <w:jc w:val="center"/>
        <w:rPr>
          <w:b/>
          <w:color w:val="000000" w:themeColor="text1"/>
          <w:sz w:val="44"/>
          <w:szCs w:val="44"/>
          <w14:textFill>
            <w14:solidFill>
              <w14:schemeClr w14:val="tx1"/>
            </w14:solidFill>
          </w14:textFill>
        </w:rPr>
      </w:pPr>
    </w:p>
    <w:p w14:paraId="5A4C2C0F">
      <w:pPr>
        <w:jc w:val="center"/>
        <w:rPr>
          <w:b/>
          <w:color w:val="000000" w:themeColor="text1"/>
          <w:sz w:val="44"/>
          <w:szCs w:val="44"/>
          <w14:textFill>
            <w14:solidFill>
              <w14:schemeClr w14:val="tx1"/>
            </w14:solidFill>
          </w14:textFill>
        </w:rPr>
      </w:pPr>
    </w:p>
    <w:p w14:paraId="37431417">
      <w:pPr>
        <w:jc w:val="center"/>
        <w:rPr>
          <w:b/>
          <w:color w:val="000000" w:themeColor="text1"/>
          <w:sz w:val="44"/>
          <w:szCs w:val="44"/>
          <w14:textFill>
            <w14:solidFill>
              <w14:schemeClr w14:val="tx1"/>
            </w14:solidFill>
          </w14:textFill>
        </w:rPr>
      </w:pPr>
    </w:p>
    <w:p w14:paraId="23668BA0">
      <w:pPr>
        <w:jc w:val="center"/>
        <w:rPr>
          <w:rFonts w:eastAsiaTheme="minorEastAsia"/>
          <w:b/>
          <w:color w:val="000000" w:themeColor="text1"/>
          <w:sz w:val="36"/>
          <w:szCs w:val="36"/>
          <w14:textFill>
            <w14:solidFill>
              <w14:schemeClr w14:val="tx1"/>
            </w14:solidFill>
          </w14:textFill>
        </w:rPr>
      </w:pPr>
      <w:r>
        <w:rPr>
          <w:rFonts w:hint="eastAsia" w:eastAsiaTheme="minorEastAsia"/>
          <w:b/>
          <w:color w:val="000000" w:themeColor="text1"/>
          <w:sz w:val="36"/>
          <w:szCs w:val="36"/>
          <w14:textFill>
            <w14:solidFill>
              <w14:schemeClr w14:val="tx1"/>
            </w14:solidFill>
          </w14:textFill>
        </w:rPr>
        <w:t>2</w:t>
      </w:r>
      <w:r>
        <w:rPr>
          <w:rFonts w:eastAsiaTheme="minorEastAsia"/>
          <w:b/>
          <w:color w:val="000000" w:themeColor="text1"/>
          <w:sz w:val="36"/>
          <w:szCs w:val="36"/>
          <w14:textFill>
            <w14:solidFill>
              <w14:schemeClr w14:val="tx1"/>
            </w14:solidFill>
          </w14:textFill>
        </w:rPr>
        <w:t>02</w:t>
      </w:r>
      <w:r>
        <w:rPr>
          <w:rFonts w:hint="eastAsia" w:eastAsiaTheme="minorEastAsia"/>
          <w:b/>
          <w:color w:val="000000" w:themeColor="text1"/>
          <w:sz w:val="36"/>
          <w:szCs w:val="36"/>
          <w:lang w:val="en-US" w:eastAsia="zh-CN"/>
          <w14:textFill>
            <w14:solidFill>
              <w14:schemeClr w14:val="tx1"/>
            </w14:solidFill>
          </w14:textFill>
        </w:rPr>
        <w:t>5</w:t>
      </w:r>
      <w:r>
        <w:rPr>
          <w:rFonts w:eastAsiaTheme="minorEastAsia"/>
          <w:b/>
          <w:color w:val="000000" w:themeColor="text1"/>
          <w:sz w:val="36"/>
          <w:szCs w:val="36"/>
          <w14:textFill>
            <w14:solidFill>
              <w14:schemeClr w14:val="tx1"/>
            </w14:solidFill>
          </w14:textFill>
        </w:rPr>
        <w:t>年</w:t>
      </w:r>
      <w:r>
        <w:rPr>
          <w:rFonts w:hint="eastAsia" w:eastAsiaTheme="minorEastAsia"/>
          <w:b/>
          <w:color w:val="000000" w:themeColor="text1"/>
          <w:sz w:val="36"/>
          <w:szCs w:val="36"/>
          <w:lang w:val="en-US" w:eastAsia="zh-CN"/>
          <w14:textFill>
            <w14:solidFill>
              <w14:schemeClr w14:val="tx1"/>
            </w14:solidFill>
          </w14:textFill>
        </w:rPr>
        <w:t>9</w:t>
      </w:r>
      <w:r>
        <w:rPr>
          <w:rFonts w:eastAsiaTheme="minorEastAsia"/>
          <w:b/>
          <w:color w:val="000000" w:themeColor="text1"/>
          <w:sz w:val="36"/>
          <w:szCs w:val="36"/>
          <w14:textFill>
            <w14:solidFill>
              <w14:schemeClr w14:val="tx1"/>
            </w14:solidFill>
          </w14:textFill>
        </w:rPr>
        <w:t>月</w:t>
      </w:r>
    </w:p>
    <w:p w14:paraId="300747BA">
      <w:pPr>
        <w:pStyle w:val="8"/>
        <w:framePr w:w="0" w:hRule="auto" w:wrap="auto" w:vAnchor="margin" w:hAnchor="text" w:xAlign="left" w:yAlign="inline"/>
        <w:spacing w:line="360" w:lineRule="auto"/>
        <w:rPr>
          <w:rFonts w:ascii="Times New Roman" w:eastAsia="宋体"/>
          <w:color w:val="000000" w:themeColor="text1"/>
          <w:sz w:val="32"/>
          <w:szCs w:val="32"/>
          <w14:textFill>
            <w14:solidFill>
              <w14:schemeClr w14:val="tx1"/>
            </w14:solidFill>
          </w14:textFill>
        </w:rPr>
      </w:pPr>
      <w:r>
        <w:rPr>
          <w:rFonts w:ascii="Times New Roman" w:eastAsia="宋体"/>
          <w:color w:val="000000" w:themeColor="text1"/>
          <w:sz w:val="32"/>
          <w:szCs w:val="32"/>
          <w14:textFill>
            <w14:solidFill>
              <w14:schemeClr w14:val="tx1"/>
            </w14:solidFill>
          </w14:textFill>
        </w:rPr>
        <w:br w:type="page"/>
      </w:r>
    </w:p>
    <w:sdt>
      <w:sdtPr>
        <w:rPr>
          <w:rFonts w:ascii="Times New Roman" w:hAnsi="Times New Roman" w:eastAsia="宋体" w:cs="Times New Roman"/>
          <w:color w:val="000000" w:themeColor="text1"/>
          <w:kern w:val="2"/>
          <w:sz w:val="21"/>
          <w:szCs w:val="24"/>
          <w:lang w:val="zh-CN"/>
          <w14:textFill>
            <w14:solidFill>
              <w14:schemeClr w14:val="tx1"/>
            </w14:solidFill>
          </w14:textFill>
        </w:rPr>
        <w:id w:val="207385740"/>
        <w:docPartObj>
          <w:docPartGallery w:val="Table of Contents"/>
          <w:docPartUnique/>
        </w:docPartObj>
      </w:sdtPr>
      <w:sdtEndPr>
        <w:rPr>
          <w:rFonts w:ascii="宋体" w:hAnsi="宋体" w:eastAsia="宋体" w:cs="宋体"/>
          <w:b/>
          <w:bCs/>
          <w:color w:val="000000" w:themeColor="text1"/>
          <w:kern w:val="0"/>
          <w:sz w:val="24"/>
          <w:szCs w:val="24"/>
          <w:lang w:val="zh-CN"/>
          <w14:textFill>
            <w14:solidFill>
              <w14:schemeClr w14:val="tx1"/>
            </w14:solidFill>
          </w14:textFill>
        </w:rPr>
      </w:sdtEndPr>
      <w:sdtContent>
        <w:p w14:paraId="225772CE">
          <w:pPr>
            <w:pStyle w:val="9"/>
            <w:spacing w:before="0" w:line="360" w:lineRule="auto"/>
            <w:jc w:val="both"/>
            <w:rPr>
              <w:rFonts w:ascii="Times New Roman" w:hAnsi="Times New Roman" w:eastAsia="宋体" w:cs="Times New Roman"/>
              <w:color w:val="000000" w:themeColor="text1"/>
              <w:kern w:val="2"/>
              <w:sz w:val="21"/>
              <w:szCs w:val="24"/>
              <w:lang w:val="zh-CN"/>
              <w14:textFill>
                <w14:solidFill>
                  <w14:schemeClr w14:val="tx1"/>
                </w14:solidFill>
              </w14:textFill>
            </w:rPr>
          </w:pPr>
        </w:p>
        <w:p w14:paraId="0FDC0036">
          <w:pPr>
            <w:pStyle w:val="9"/>
            <w:spacing w:before="0" w:line="360" w:lineRule="auto"/>
            <w:jc w:val="center"/>
            <w:rPr>
              <w:rFonts w:ascii="Times New Roman" w:hAnsi="Times New Roman" w:eastAsia="黑体" w:cs="Times New Roman"/>
              <w:b/>
              <w:color w:val="000000" w:themeColor="text1"/>
              <w:lang w:val="zh-CN"/>
              <w14:textFill>
                <w14:solidFill>
                  <w14:schemeClr w14:val="tx1"/>
                </w14:solidFill>
              </w14:textFill>
            </w:rPr>
          </w:pPr>
          <w:r>
            <w:rPr>
              <w:rFonts w:ascii="Times New Roman" w:hAnsi="Times New Roman" w:eastAsia="黑体" w:cs="Times New Roman"/>
              <w:b/>
              <w:color w:val="000000" w:themeColor="text1"/>
              <w:lang w:val="zh-CN"/>
              <w14:textFill>
                <w14:solidFill>
                  <w14:schemeClr w14:val="tx1"/>
                </w14:solidFill>
              </w14:textFill>
            </w:rPr>
            <w:t>目  录</w:t>
          </w:r>
        </w:p>
        <w:p w14:paraId="0600D403">
          <w:pPr>
            <w:jc w:val="both"/>
            <w:rPr>
              <w:color w:val="000000" w:themeColor="text1"/>
              <w:lang w:val="zh-CN"/>
              <w14:textFill>
                <w14:solidFill>
                  <w14:schemeClr w14:val="tx1"/>
                </w14:solidFill>
              </w14:textFill>
            </w:rPr>
          </w:pPr>
        </w:p>
        <w:p w14:paraId="73245B23">
          <w:pPr>
            <w:pStyle w:val="5"/>
            <w:tabs>
              <w:tab w:val="right" w:leader="dot" w:pos="9468"/>
            </w:tabs>
            <w:rPr>
              <w:sz w:val="28"/>
              <w:szCs w:val="28"/>
            </w:rPr>
          </w:pPr>
          <w:r>
            <w:rPr>
              <w:rFonts w:asciiTheme="minorEastAsia" w:hAnsiTheme="minorEastAsia" w:eastAsiaTheme="minorEastAsia"/>
              <w:bCs/>
              <w:color w:val="000000" w:themeColor="text1"/>
              <w:sz w:val="28"/>
              <w14:textFill>
                <w14:solidFill>
                  <w14:schemeClr w14:val="tx1"/>
                </w14:solidFill>
              </w14:textFill>
            </w:rPr>
            <w:fldChar w:fldCharType="begin"/>
          </w:r>
          <w:r>
            <w:rPr>
              <w:rFonts w:asciiTheme="minorEastAsia" w:hAnsiTheme="minorEastAsia" w:eastAsiaTheme="minorEastAsia"/>
              <w:bCs/>
              <w:color w:val="000000" w:themeColor="text1"/>
              <w:sz w:val="28"/>
              <w14:textFill>
                <w14:solidFill>
                  <w14:schemeClr w14:val="tx1"/>
                </w14:solidFill>
              </w14:textFill>
            </w:rPr>
            <w:instrText xml:space="preserve"> TOC \o "1-3" \h \z \u </w:instrText>
          </w:r>
          <w:r>
            <w:rPr>
              <w:rFonts w:asciiTheme="minorEastAsia" w:hAnsiTheme="minorEastAsia" w:eastAsiaTheme="minorEastAsia"/>
              <w:bCs/>
              <w:color w:val="000000" w:themeColor="text1"/>
              <w:sz w:val="28"/>
              <w14:textFill>
                <w14:solidFill>
                  <w14:schemeClr w14:val="tx1"/>
                </w14:solidFill>
              </w14:textFill>
            </w:rPr>
            <w:fldChar w:fldCharType="separate"/>
          </w:r>
          <w:r>
            <w:rPr>
              <w:rFonts w:asciiTheme="minorEastAsia" w:hAnsiTheme="minorEastAsia" w:eastAsiaTheme="minorEastAsia"/>
              <w:bCs/>
              <w:color w:val="000000" w:themeColor="text1"/>
              <w:sz w:val="28"/>
              <w:szCs w:val="28"/>
              <w14:textFill>
                <w14:solidFill>
                  <w14:schemeClr w14:val="tx1"/>
                </w14:solidFill>
              </w14:textFill>
            </w:rPr>
            <w:fldChar w:fldCharType="begin"/>
          </w:r>
          <w:r>
            <w:rPr>
              <w:rFonts w:asciiTheme="minorEastAsia" w:hAnsiTheme="minorEastAsia" w:eastAsiaTheme="minorEastAsia"/>
              <w:bCs/>
              <w:sz w:val="28"/>
              <w:szCs w:val="28"/>
            </w:rPr>
            <w:instrText xml:space="preserve"> HYPERLINK \l _Toc30336 </w:instrText>
          </w:r>
          <w:r>
            <w:rPr>
              <w:rFonts w:asciiTheme="minorEastAsia" w:hAnsiTheme="minorEastAsia" w:eastAsiaTheme="minorEastAsia"/>
              <w:bCs/>
              <w:sz w:val="28"/>
              <w:szCs w:val="28"/>
            </w:rPr>
            <w:fldChar w:fldCharType="separate"/>
          </w:r>
          <w:r>
            <w:rPr>
              <w:rFonts w:ascii="Times New Roman"/>
              <w:sz w:val="28"/>
              <w:szCs w:val="32"/>
            </w:rPr>
            <w:t>1 标准编制工作简况</w:t>
          </w:r>
          <w:r>
            <w:rPr>
              <w:sz w:val="28"/>
              <w:szCs w:val="28"/>
            </w:rPr>
            <w:tab/>
          </w:r>
          <w:r>
            <w:rPr>
              <w:sz w:val="28"/>
              <w:szCs w:val="28"/>
            </w:rPr>
            <w:fldChar w:fldCharType="begin"/>
          </w:r>
          <w:r>
            <w:rPr>
              <w:sz w:val="28"/>
              <w:szCs w:val="28"/>
            </w:rPr>
            <w:instrText xml:space="preserve"> PAGEREF _Toc30336 \h </w:instrText>
          </w:r>
          <w:r>
            <w:rPr>
              <w:sz w:val="28"/>
              <w:szCs w:val="28"/>
            </w:rPr>
            <w:fldChar w:fldCharType="separate"/>
          </w:r>
          <w:r>
            <w:rPr>
              <w:sz w:val="28"/>
              <w:szCs w:val="28"/>
            </w:rPr>
            <w:t>3</w:t>
          </w:r>
          <w:r>
            <w:rPr>
              <w:sz w:val="28"/>
              <w:szCs w:val="28"/>
            </w:rPr>
            <w:fldChar w:fldCharType="end"/>
          </w:r>
          <w:r>
            <w:rPr>
              <w:rFonts w:asciiTheme="minorEastAsia" w:hAnsiTheme="minorEastAsia" w:eastAsiaTheme="minorEastAsia"/>
              <w:bCs/>
              <w:color w:val="000000" w:themeColor="text1"/>
              <w:sz w:val="28"/>
              <w:szCs w:val="28"/>
              <w14:textFill>
                <w14:solidFill>
                  <w14:schemeClr w14:val="tx1"/>
                </w14:solidFill>
              </w14:textFill>
            </w:rPr>
            <w:fldChar w:fldCharType="end"/>
          </w:r>
        </w:p>
        <w:p w14:paraId="18C90AA5">
          <w:pPr>
            <w:pStyle w:val="5"/>
            <w:tabs>
              <w:tab w:val="right" w:leader="dot" w:pos="9468"/>
            </w:tabs>
            <w:rPr>
              <w:sz w:val="28"/>
              <w:szCs w:val="28"/>
            </w:rPr>
          </w:pPr>
          <w:r>
            <w:rPr>
              <w:rFonts w:asciiTheme="minorEastAsia" w:hAnsiTheme="minorEastAsia" w:eastAsiaTheme="minorEastAsia"/>
              <w:bCs/>
              <w:color w:val="000000" w:themeColor="text1"/>
              <w:sz w:val="28"/>
              <w:szCs w:val="28"/>
              <w:lang w:val="zh-CN"/>
              <w14:textFill>
                <w14:solidFill>
                  <w14:schemeClr w14:val="tx1"/>
                </w14:solidFill>
              </w14:textFill>
            </w:rPr>
            <w:fldChar w:fldCharType="begin"/>
          </w:r>
          <w:r>
            <w:rPr>
              <w:rFonts w:asciiTheme="minorEastAsia" w:hAnsiTheme="minorEastAsia" w:eastAsiaTheme="minorEastAsia"/>
              <w:bCs/>
              <w:sz w:val="28"/>
              <w:szCs w:val="28"/>
              <w:lang w:val="zh-CN"/>
            </w:rPr>
            <w:instrText xml:space="preserve"> HYPERLINK \l _Toc10897 </w:instrText>
          </w:r>
          <w:r>
            <w:rPr>
              <w:rFonts w:asciiTheme="minorEastAsia" w:hAnsiTheme="minorEastAsia" w:eastAsiaTheme="minorEastAsia"/>
              <w:bCs/>
              <w:sz w:val="28"/>
              <w:szCs w:val="28"/>
              <w:lang w:val="zh-CN"/>
            </w:rPr>
            <w:fldChar w:fldCharType="separate"/>
          </w:r>
          <w:r>
            <w:rPr>
              <w:rFonts w:ascii="Times New Roman"/>
              <w:sz w:val="28"/>
              <w:szCs w:val="32"/>
            </w:rPr>
            <w:t>2 标准</w:t>
          </w:r>
          <w:r>
            <w:rPr>
              <w:rFonts w:hint="eastAsia" w:ascii="Times New Roman"/>
              <w:sz w:val="28"/>
              <w:szCs w:val="32"/>
              <w:lang w:val="en-US" w:eastAsia="zh-CN"/>
            </w:rPr>
            <w:t>修订</w:t>
          </w:r>
          <w:r>
            <w:rPr>
              <w:rFonts w:ascii="Times New Roman"/>
              <w:sz w:val="28"/>
              <w:szCs w:val="32"/>
            </w:rPr>
            <w:t>的原则和主要内容</w:t>
          </w:r>
          <w:r>
            <w:rPr>
              <w:sz w:val="28"/>
              <w:szCs w:val="28"/>
            </w:rPr>
            <w:tab/>
          </w:r>
          <w:r>
            <w:rPr>
              <w:sz w:val="28"/>
              <w:szCs w:val="28"/>
            </w:rPr>
            <w:fldChar w:fldCharType="begin"/>
          </w:r>
          <w:r>
            <w:rPr>
              <w:sz w:val="28"/>
              <w:szCs w:val="28"/>
            </w:rPr>
            <w:instrText xml:space="preserve"> PAGEREF _Toc10897 \h </w:instrText>
          </w:r>
          <w:r>
            <w:rPr>
              <w:sz w:val="28"/>
              <w:szCs w:val="28"/>
            </w:rPr>
            <w:fldChar w:fldCharType="separate"/>
          </w:r>
          <w:r>
            <w:rPr>
              <w:sz w:val="28"/>
              <w:szCs w:val="28"/>
            </w:rPr>
            <w:t>4</w:t>
          </w:r>
          <w:r>
            <w:rPr>
              <w:sz w:val="28"/>
              <w:szCs w:val="28"/>
            </w:rPr>
            <w:fldChar w:fldCharType="end"/>
          </w:r>
          <w:r>
            <w:rPr>
              <w:rFonts w:asciiTheme="minorEastAsia" w:hAnsiTheme="minorEastAsia" w:eastAsiaTheme="minorEastAsia"/>
              <w:bCs/>
              <w:color w:val="000000" w:themeColor="text1"/>
              <w:sz w:val="28"/>
              <w:szCs w:val="28"/>
              <w:lang w:val="zh-CN"/>
              <w14:textFill>
                <w14:solidFill>
                  <w14:schemeClr w14:val="tx1"/>
                </w14:solidFill>
              </w14:textFill>
            </w:rPr>
            <w:fldChar w:fldCharType="end"/>
          </w:r>
        </w:p>
        <w:p w14:paraId="63A3E177">
          <w:pPr>
            <w:pStyle w:val="5"/>
            <w:tabs>
              <w:tab w:val="right" w:leader="dot" w:pos="9468"/>
            </w:tabs>
            <w:rPr>
              <w:sz w:val="28"/>
              <w:szCs w:val="28"/>
            </w:rPr>
          </w:pPr>
          <w:r>
            <w:rPr>
              <w:rFonts w:asciiTheme="minorEastAsia" w:hAnsiTheme="minorEastAsia" w:eastAsiaTheme="minorEastAsia"/>
              <w:bCs/>
              <w:color w:val="000000" w:themeColor="text1"/>
              <w:sz w:val="28"/>
              <w:szCs w:val="28"/>
              <w:lang w:val="zh-CN"/>
              <w14:textFill>
                <w14:solidFill>
                  <w14:schemeClr w14:val="tx1"/>
                </w14:solidFill>
              </w14:textFill>
            </w:rPr>
            <w:fldChar w:fldCharType="begin"/>
          </w:r>
          <w:r>
            <w:rPr>
              <w:rFonts w:asciiTheme="minorEastAsia" w:hAnsiTheme="minorEastAsia" w:eastAsiaTheme="minorEastAsia"/>
              <w:bCs/>
              <w:sz w:val="28"/>
              <w:szCs w:val="28"/>
              <w:lang w:val="zh-CN"/>
            </w:rPr>
            <w:instrText xml:space="preserve"> HYPERLINK \l _Toc26386 </w:instrText>
          </w:r>
          <w:r>
            <w:rPr>
              <w:rFonts w:asciiTheme="minorEastAsia" w:hAnsiTheme="minorEastAsia" w:eastAsiaTheme="minorEastAsia"/>
              <w:bCs/>
              <w:sz w:val="28"/>
              <w:szCs w:val="28"/>
              <w:lang w:val="zh-CN"/>
            </w:rPr>
            <w:fldChar w:fldCharType="separate"/>
          </w:r>
          <w:r>
            <w:rPr>
              <w:rFonts w:hint="eastAsia" w:ascii="Times New Roman"/>
              <w:sz w:val="28"/>
              <w:szCs w:val="32"/>
              <w:lang w:val="en-US" w:eastAsia="zh-CN"/>
            </w:rPr>
            <w:t>3</w:t>
          </w:r>
          <w:r>
            <w:rPr>
              <w:rFonts w:ascii="Times New Roman"/>
              <w:sz w:val="28"/>
              <w:szCs w:val="32"/>
            </w:rPr>
            <w:t xml:space="preserve"> 标准中涉及专利</w:t>
          </w:r>
          <w:r>
            <w:rPr>
              <w:rFonts w:hint="eastAsia" w:ascii="Times New Roman"/>
              <w:sz w:val="28"/>
              <w:szCs w:val="32"/>
            </w:rPr>
            <w:t>、知识产权</w:t>
          </w:r>
          <w:r>
            <w:rPr>
              <w:rFonts w:ascii="Times New Roman"/>
              <w:sz w:val="28"/>
              <w:szCs w:val="32"/>
            </w:rPr>
            <w:t>情况说明</w:t>
          </w:r>
          <w:r>
            <w:rPr>
              <w:sz w:val="28"/>
              <w:szCs w:val="28"/>
            </w:rPr>
            <w:tab/>
          </w:r>
          <w:r>
            <w:rPr>
              <w:sz w:val="28"/>
              <w:szCs w:val="28"/>
            </w:rPr>
            <w:fldChar w:fldCharType="begin"/>
          </w:r>
          <w:r>
            <w:rPr>
              <w:sz w:val="28"/>
              <w:szCs w:val="28"/>
            </w:rPr>
            <w:instrText xml:space="preserve"> PAGEREF _Toc26386 \h </w:instrText>
          </w:r>
          <w:r>
            <w:rPr>
              <w:sz w:val="28"/>
              <w:szCs w:val="28"/>
            </w:rPr>
            <w:fldChar w:fldCharType="separate"/>
          </w:r>
          <w:r>
            <w:rPr>
              <w:sz w:val="28"/>
              <w:szCs w:val="28"/>
            </w:rPr>
            <w:t>6</w:t>
          </w:r>
          <w:r>
            <w:rPr>
              <w:sz w:val="28"/>
              <w:szCs w:val="28"/>
            </w:rPr>
            <w:fldChar w:fldCharType="end"/>
          </w:r>
          <w:r>
            <w:rPr>
              <w:rFonts w:asciiTheme="minorEastAsia" w:hAnsiTheme="minorEastAsia" w:eastAsiaTheme="minorEastAsia"/>
              <w:bCs/>
              <w:color w:val="000000" w:themeColor="text1"/>
              <w:sz w:val="28"/>
              <w:szCs w:val="28"/>
              <w:lang w:val="zh-CN"/>
              <w14:textFill>
                <w14:solidFill>
                  <w14:schemeClr w14:val="tx1"/>
                </w14:solidFill>
              </w14:textFill>
            </w:rPr>
            <w:fldChar w:fldCharType="end"/>
          </w:r>
        </w:p>
        <w:p w14:paraId="5BE26115">
          <w:pPr>
            <w:pStyle w:val="5"/>
            <w:tabs>
              <w:tab w:val="right" w:leader="dot" w:pos="9468"/>
            </w:tabs>
            <w:rPr>
              <w:sz w:val="28"/>
              <w:szCs w:val="28"/>
            </w:rPr>
          </w:pPr>
          <w:r>
            <w:rPr>
              <w:rFonts w:asciiTheme="minorEastAsia" w:hAnsiTheme="minorEastAsia" w:eastAsiaTheme="minorEastAsia"/>
              <w:bCs/>
              <w:color w:val="000000" w:themeColor="text1"/>
              <w:sz w:val="28"/>
              <w:szCs w:val="28"/>
              <w:lang w:val="zh-CN"/>
              <w14:textFill>
                <w14:solidFill>
                  <w14:schemeClr w14:val="tx1"/>
                </w14:solidFill>
              </w14:textFill>
            </w:rPr>
            <w:fldChar w:fldCharType="begin"/>
          </w:r>
          <w:r>
            <w:rPr>
              <w:rFonts w:asciiTheme="minorEastAsia" w:hAnsiTheme="minorEastAsia" w:eastAsiaTheme="minorEastAsia"/>
              <w:bCs/>
              <w:sz w:val="28"/>
              <w:szCs w:val="28"/>
              <w:lang w:val="zh-CN"/>
            </w:rPr>
            <w:instrText xml:space="preserve"> HYPERLINK \l _Toc18297 </w:instrText>
          </w:r>
          <w:r>
            <w:rPr>
              <w:rFonts w:asciiTheme="minorEastAsia" w:hAnsiTheme="minorEastAsia" w:eastAsiaTheme="minorEastAsia"/>
              <w:bCs/>
              <w:sz w:val="28"/>
              <w:szCs w:val="28"/>
              <w:lang w:val="zh-CN"/>
            </w:rPr>
            <w:fldChar w:fldCharType="separate"/>
          </w:r>
          <w:r>
            <w:rPr>
              <w:rFonts w:hint="eastAsia" w:ascii="Times New Roman"/>
              <w:sz w:val="28"/>
              <w:szCs w:val="32"/>
              <w:lang w:val="en-US" w:eastAsia="zh-CN"/>
            </w:rPr>
            <w:t>4</w:t>
          </w:r>
          <w:r>
            <w:rPr>
              <w:rFonts w:ascii="Times New Roman"/>
              <w:sz w:val="28"/>
              <w:szCs w:val="32"/>
            </w:rPr>
            <w:t xml:space="preserve"> </w:t>
          </w:r>
          <w:r>
            <w:rPr>
              <w:rFonts w:hint="eastAsia" w:ascii="Times New Roman"/>
              <w:sz w:val="28"/>
              <w:szCs w:val="32"/>
            </w:rPr>
            <w:t>产业化情况、推广应用论证和预期达到的经济效果等情况；</w:t>
          </w:r>
          <w:r>
            <w:rPr>
              <w:sz w:val="28"/>
              <w:szCs w:val="28"/>
            </w:rPr>
            <w:tab/>
          </w:r>
          <w:r>
            <w:rPr>
              <w:sz w:val="28"/>
              <w:szCs w:val="28"/>
            </w:rPr>
            <w:fldChar w:fldCharType="begin"/>
          </w:r>
          <w:r>
            <w:rPr>
              <w:sz w:val="28"/>
              <w:szCs w:val="28"/>
            </w:rPr>
            <w:instrText xml:space="preserve"> PAGEREF _Toc18297 \h </w:instrText>
          </w:r>
          <w:r>
            <w:rPr>
              <w:sz w:val="28"/>
              <w:szCs w:val="28"/>
            </w:rPr>
            <w:fldChar w:fldCharType="separate"/>
          </w:r>
          <w:r>
            <w:rPr>
              <w:sz w:val="28"/>
              <w:szCs w:val="28"/>
            </w:rPr>
            <w:t>6</w:t>
          </w:r>
          <w:r>
            <w:rPr>
              <w:sz w:val="28"/>
              <w:szCs w:val="28"/>
            </w:rPr>
            <w:fldChar w:fldCharType="end"/>
          </w:r>
          <w:r>
            <w:rPr>
              <w:rFonts w:asciiTheme="minorEastAsia" w:hAnsiTheme="minorEastAsia" w:eastAsiaTheme="minorEastAsia"/>
              <w:bCs/>
              <w:color w:val="000000" w:themeColor="text1"/>
              <w:sz w:val="28"/>
              <w:szCs w:val="28"/>
              <w:lang w:val="zh-CN"/>
              <w14:textFill>
                <w14:solidFill>
                  <w14:schemeClr w14:val="tx1"/>
                </w14:solidFill>
              </w14:textFill>
            </w:rPr>
            <w:fldChar w:fldCharType="end"/>
          </w:r>
        </w:p>
        <w:p w14:paraId="5C0A665A">
          <w:pPr>
            <w:pStyle w:val="5"/>
            <w:tabs>
              <w:tab w:val="right" w:leader="dot" w:pos="9468"/>
            </w:tabs>
            <w:rPr>
              <w:sz w:val="28"/>
              <w:szCs w:val="28"/>
            </w:rPr>
          </w:pPr>
          <w:r>
            <w:rPr>
              <w:rFonts w:asciiTheme="minorEastAsia" w:hAnsiTheme="minorEastAsia" w:eastAsiaTheme="minorEastAsia"/>
              <w:bCs/>
              <w:color w:val="000000" w:themeColor="text1"/>
              <w:sz w:val="28"/>
              <w:szCs w:val="28"/>
              <w:lang w:val="zh-CN"/>
              <w14:textFill>
                <w14:solidFill>
                  <w14:schemeClr w14:val="tx1"/>
                </w14:solidFill>
              </w14:textFill>
            </w:rPr>
            <w:fldChar w:fldCharType="begin"/>
          </w:r>
          <w:r>
            <w:rPr>
              <w:rFonts w:asciiTheme="minorEastAsia" w:hAnsiTheme="minorEastAsia" w:eastAsiaTheme="minorEastAsia"/>
              <w:bCs/>
              <w:sz w:val="28"/>
              <w:szCs w:val="28"/>
              <w:lang w:val="zh-CN"/>
            </w:rPr>
            <w:instrText xml:space="preserve"> HYPERLINK \l _Toc26690 </w:instrText>
          </w:r>
          <w:r>
            <w:rPr>
              <w:rFonts w:asciiTheme="minorEastAsia" w:hAnsiTheme="minorEastAsia" w:eastAsiaTheme="minorEastAsia"/>
              <w:bCs/>
              <w:sz w:val="28"/>
              <w:szCs w:val="28"/>
              <w:lang w:val="zh-CN"/>
            </w:rPr>
            <w:fldChar w:fldCharType="separate"/>
          </w:r>
          <w:r>
            <w:rPr>
              <w:rFonts w:hint="eastAsia" w:ascii="Times New Roman"/>
              <w:sz w:val="28"/>
              <w:szCs w:val="32"/>
              <w:lang w:val="en-US" w:eastAsia="zh-CN"/>
            </w:rPr>
            <w:t>5</w:t>
          </w:r>
          <w:r>
            <w:rPr>
              <w:rFonts w:ascii="Times New Roman"/>
              <w:sz w:val="28"/>
              <w:szCs w:val="32"/>
            </w:rPr>
            <w:t xml:space="preserve"> 采用国际标准</w:t>
          </w:r>
          <w:r>
            <w:rPr>
              <w:rFonts w:hint="eastAsia" w:ascii="Times New Roman"/>
              <w:sz w:val="28"/>
              <w:szCs w:val="32"/>
            </w:rPr>
            <w:t>，与国际、国外同类标准水平的对比情况，国内外关键指标对比分析或与测试的国外样品、样机的相关数据对比情况；</w:t>
          </w:r>
          <w:r>
            <w:rPr>
              <w:sz w:val="28"/>
              <w:szCs w:val="28"/>
            </w:rPr>
            <w:tab/>
          </w:r>
          <w:r>
            <w:rPr>
              <w:sz w:val="28"/>
              <w:szCs w:val="28"/>
            </w:rPr>
            <w:fldChar w:fldCharType="begin"/>
          </w:r>
          <w:r>
            <w:rPr>
              <w:sz w:val="28"/>
              <w:szCs w:val="28"/>
            </w:rPr>
            <w:instrText xml:space="preserve"> PAGEREF _Toc26690 \h </w:instrText>
          </w:r>
          <w:r>
            <w:rPr>
              <w:sz w:val="28"/>
              <w:szCs w:val="28"/>
            </w:rPr>
            <w:fldChar w:fldCharType="separate"/>
          </w:r>
          <w:r>
            <w:rPr>
              <w:sz w:val="28"/>
              <w:szCs w:val="28"/>
            </w:rPr>
            <w:t>6</w:t>
          </w:r>
          <w:r>
            <w:rPr>
              <w:sz w:val="28"/>
              <w:szCs w:val="28"/>
            </w:rPr>
            <w:fldChar w:fldCharType="end"/>
          </w:r>
          <w:r>
            <w:rPr>
              <w:rFonts w:asciiTheme="minorEastAsia" w:hAnsiTheme="minorEastAsia" w:eastAsiaTheme="minorEastAsia"/>
              <w:bCs/>
              <w:color w:val="000000" w:themeColor="text1"/>
              <w:sz w:val="28"/>
              <w:szCs w:val="28"/>
              <w:lang w:val="zh-CN"/>
              <w14:textFill>
                <w14:solidFill>
                  <w14:schemeClr w14:val="tx1"/>
                </w14:solidFill>
              </w14:textFill>
            </w:rPr>
            <w:fldChar w:fldCharType="end"/>
          </w:r>
        </w:p>
        <w:p w14:paraId="44DD8394">
          <w:pPr>
            <w:pStyle w:val="5"/>
            <w:tabs>
              <w:tab w:val="right" w:leader="dot" w:pos="9468"/>
            </w:tabs>
            <w:rPr>
              <w:sz w:val="28"/>
              <w:szCs w:val="28"/>
            </w:rPr>
          </w:pPr>
          <w:r>
            <w:rPr>
              <w:rFonts w:asciiTheme="minorEastAsia" w:hAnsiTheme="minorEastAsia" w:eastAsiaTheme="minorEastAsia"/>
              <w:bCs/>
              <w:color w:val="000000" w:themeColor="text1"/>
              <w:sz w:val="28"/>
              <w:szCs w:val="28"/>
              <w:lang w:val="zh-CN"/>
              <w14:textFill>
                <w14:solidFill>
                  <w14:schemeClr w14:val="tx1"/>
                </w14:solidFill>
              </w14:textFill>
            </w:rPr>
            <w:fldChar w:fldCharType="begin"/>
          </w:r>
          <w:r>
            <w:rPr>
              <w:rFonts w:asciiTheme="minorEastAsia" w:hAnsiTheme="minorEastAsia" w:eastAsiaTheme="minorEastAsia"/>
              <w:bCs/>
              <w:sz w:val="28"/>
              <w:szCs w:val="28"/>
              <w:lang w:val="zh-CN"/>
            </w:rPr>
            <w:instrText xml:space="preserve"> HYPERLINK \l _Toc4955 </w:instrText>
          </w:r>
          <w:r>
            <w:rPr>
              <w:rFonts w:asciiTheme="minorEastAsia" w:hAnsiTheme="minorEastAsia" w:eastAsiaTheme="minorEastAsia"/>
              <w:bCs/>
              <w:sz w:val="28"/>
              <w:szCs w:val="28"/>
              <w:lang w:val="zh-CN"/>
            </w:rPr>
            <w:fldChar w:fldCharType="separate"/>
          </w:r>
          <w:r>
            <w:rPr>
              <w:rFonts w:hint="eastAsia" w:ascii="Times New Roman"/>
              <w:sz w:val="28"/>
              <w:szCs w:val="32"/>
              <w:lang w:val="en-US" w:eastAsia="zh-CN"/>
            </w:rPr>
            <w:t>6</w:t>
          </w:r>
          <w:r>
            <w:rPr>
              <w:rFonts w:ascii="Times New Roman"/>
              <w:sz w:val="28"/>
              <w:szCs w:val="32"/>
            </w:rPr>
            <w:t xml:space="preserve"> 与现行相关法律、法规、规章及相关标准</w:t>
          </w:r>
          <w:r>
            <w:rPr>
              <w:rFonts w:hint="eastAsia" w:ascii="Times New Roman"/>
              <w:sz w:val="28"/>
              <w:szCs w:val="32"/>
            </w:rPr>
            <w:t>，特别是强制性标准</w:t>
          </w:r>
          <w:r>
            <w:rPr>
              <w:rFonts w:ascii="Times New Roman"/>
              <w:sz w:val="28"/>
              <w:szCs w:val="32"/>
            </w:rPr>
            <w:t>的协调</w:t>
          </w:r>
          <w:r>
            <w:rPr>
              <w:rFonts w:hint="eastAsia" w:ascii="Times New Roman"/>
              <w:sz w:val="28"/>
              <w:szCs w:val="32"/>
            </w:rPr>
            <w:t>性</w:t>
          </w:r>
          <w:r>
            <w:rPr>
              <w:sz w:val="28"/>
              <w:szCs w:val="28"/>
            </w:rPr>
            <w:tab/>
          </w:r>
          <w:r>
            <w:rPr>
              <w:sz w:val="28"/>
              <w:szCs w:val="28"/>
            </w:rPr>
            <w:fldChar w:fldCharType="begin"/>
          </w:r>
          <w:r>
            <w:rPr>
              <w:sz w:val="28"/>
              <w:szCs w:val="28"/>
            </w:rPr>
            <w:instrText xml:space="preserve"> PAGEREF _Toc4955 \h </w:instrText>
          </w:r>
          <w:r>
            <w:rPr>
              <w:sz w:val="28"/>
              <w:szCs w:val="28"/>
            </w:rPr>
            <w:fldChar w:fldCharType="separate"/>
          </w:r>
          <w:r>
            <w:rPr>
              <w:sz w:val="28"/>
              <w:szCs w:val="28"/>
            </w:rPr>
            <w:t>7</w:t>
          </w:r>
          <w:r>
            <w:rPr>
              <w:sz w:val="28"/>
              <w:szCs w:val="28"/>
            </w:rPr>
            <w:fldChar w:fldCharType="end"/>
          </w:r>
          <w:r>
            <w:rPr>
              <w:rFonts w:asciiTheme="minorEastAsia" w:hAnsiTheme="minorEastAsia" w:eastAsiaTheme="minorEastAsia"/>
              <w:bCs/>
              <w:color w:val="000000" w:themeColor="text1"/>
              <w:sz w:val="28"/>
              <w:szCs w:val="28"/>
              <w:lang w:val="zh-CN"/>
              <w14:textFill>
                <w14:solidFill>
                  <w14:schemeClr w14:val="tx1"/>
                </w14:solidFill>
              </w14:textFill>
            </w:rPr>
            <w:fldChar w:fldCharType="end"/>
          </w:r>
        </w:p>
        <w:p w14:paraId="558ED85D">
          <w:pPr>
            <w:pStyle w:val="5"/>
            <w:tabs>
              <w:tab w:val="right" w:leader="dot" w:pos="9468"/>
            </w:tabs>
            <w:rPr>
              <w:sz w:val="28"/>
              <w:szCs w:val="28"/>
            </w:rPr>
          </w:pPr>
          <w:r>
            <w:rPr>
              <w:rFonts w:asciiTheme="minorEastAsia" w:hAnsiTheme="minorEastAsia" w:eastAsiaTheme="minorEastAsia"/>
              <w:bCs/>
              <w:color w:val="000000" w:themeColor="text1"/>
              <w:sz w:val="28"/>
              <w:szCs w:val="28"/>
              <w:lang w:val="zh-CN"/>
              <w14:textFill>
                <w14:solidFill>
                  <w14:schemeClr w14:val="tx1"/>
                </w14:solidFill>
              </w14:textFill>
            </w:rPr>
            <w:fldChar w:fldCharType="begin"/>
          </w:r>
          <w:r>
            <w:rPr>
              <w:rFonts w:asciiTheme="minorEastAsia" w:hAnsiTheme="minorEastAsia" w:eastAsiaTheme="minorEastAsia"/>
              <w:bCs/>
              <w:sz w:val="28"/>
              <w:szCs w:val="28"/>
              <w:lang w:val="zh-CN"/>
            </w:rPr>
            <w:instrText xml:space="preserve"> HYPERLINK \l _Toc12128 </w:instrText>
          </w:r>
          <w:r>
            <w:rPr>
              <w:rFonts w:asciiTheme="minorEastAsia" w:hAnsiTheme="minorEastAsia" w:eastAsiaTheme="minorEastAsia"/>
              <w:bCs/>
              <w:sz w:val="28"/>
              <w:szCs w:val="28"/>
              <w:lang w:val="zh-CN"/>
            </w:rPr>
            <w:fldChar w:fldCharType="separate"/>
          </w:r>
          <w:r>
            <w:rPr>
              <w:rFonts w:hint="eastAsia" w:ascii="Times New Roman"/>
              <w:sz w:val="28"/>
              <w:szCs w:val="32"/>
              <w:lang w:val="en-US" w:eastAsia="zh-CN"/>
            </w:rPr>
            <w:t>7</w:t>
          </w:r>
          <w:r>
            <w:rPr>
              <w:rFonts w:ascii="Times New Roman"/>
              <w:sz w:val="28"/>
              <w:szCs w:val="32"/>
            </w:rPr>
            <w:t xml:space="preserve"> 重大意见分歧的处理依据和结果</w:t>
          </w:r>
          <w:r>
            <w:rPr>
              <w:sz w:val="28"/>
              <w:szCs w:val="28"/>
            </w:rPr>
            <w:tab/>
          </w:r>
          <w:r>
            <w:rPr>
              <w:sz w:val="28"/>
              <w:szCs w:val="28"/>
            </w:rPr>
            <w:fldChar w:fldCharType="begin"/>
          </w:r>
          <w:r>
            <w:rPr>
              <w:sz w:val="28"/>
              <w:szCs w:val="28"/>
            </w:rPr>
            <w:instrText xml:space="preserve"> PAGEREF _Toc12128 \h </w:instrText>
          </w:r>
          <w:r>
            <w:rPr>
              <w:sz w:val="28"/>
              <w:szCs w:val="28"/>
            </w:rPr>
            <w:fldChar w:fldCharType="separate"/>
          </w:r>
          <w:r>
            <w:rPr>
              <w:sz w:val="28"/>
              <w:szCs w:val="28"/>
            </w:rPr>
            <w:t>7</w:t>
          </w:r>
          <w:r>
            <w:rPr>
              <w:sz w:val="28"/>
              <w:szCs w:val="28"/>
            </w:rPr>
            <w:fldChar w:fldCharType="end"/>
          </w:r>
          <w:r>
            <w:rPr>
              <w:rFonts w:asciiTheme="minorEastAsia" w:hAnsiTheme="minorEastAsia" w:eastAsiaTheme="minorEastAsia"/>
              <w:bCs/>
              <w:color w:val="000000" w:themeColor="text1"/>
              <w:sz w:val="28"/>
              <w:szCs w:val="28"/>
              <w:lang w:val="zh-CN"/>
              <w14:textFill>
                <w14:solidFill>
                  <w14:schemeClr w14:val="tx1"/>
                </w14:solidFill>
              </w14:textFill>
            </w:rPr>
            <w:fldChar w:fldCharType="end"/>
          </w:r>
        </w:p>
        <w:p w14:paraId="488219D2">
          <w:pPr>
            <w:pStyle w:val="5"/>
            <w:tabs>
              <w:tab w:val="right" w:leader="dot" w:pos="9468"/>
            </w:tabs>
            <w:rPr>
              <w:sz w:val="28"/>
              <w:szCs w:val="28"/>
            </w:rPr>
          </w:pPr>
          <w:r>
            <w:rPr>
              <w:rFonts w:asciiTheme="minorEastAsia" w:hAnsiTheme="minorEastAsia" w:eastAsiaTheme="minorEastAsia"/>
              <w:bCs/>
              <w:color w:val="000000" w:themeColor="text1"/>
              <w:sz w:val="28"/>
              <w:szCs w:val="28"/>
              <w:lang w:val="zh-CN"/>
              <w14:textFill>
                <w14:solidFill>
                  <w14:schemeClr w14:val="tx1"/>
                </w14:solidFill>
              </w14:textFill>
            </w:rPr>
            <w:fldChar w:fldCharType="begin"/>
          </w:r>
          <w:r>
            <w:rPr>
              <w:rFonts w:asciiTheme="minorEastAsia" w:hAnsiTheme="minorEastAsia" w:eastAsiaTheme="minorEastAsia"/>
              <w:bCs/>
              <w:sz w:val="28"/>
              <w:szCs w:val="28"/>
              <w:lang w:val="zh-CN"/>
            </w:rPr>
            <w:instrText xml:space="preserve"> HYPERLINK \l _Toc29268 </w:instrText>
          </w:r>
          <w:r>
            <w:rPr>
              <w:rFonts w:asciiTheme="minorEastAsia" w:hAnsiTheme="minorEastAsia" w:eastAsiaTheme="minorEastAsia"/>
              <w:bCs/>
              <w:sz w:val="28"/>
              <w:szCs w:val="28"/>
              <w:lang w:val="zh-CN"/>
            </w:rPr>
            <w:fldChar w:fldCharType="separate"/>
          </w:r>
          <w:r>
            <w:rPr>
              <w:rFonts w:hint="eastAsia" w:ascii="Times New Roman"/>
              <w:sz w:val="28"/>
              <w:szCs w:val="32"/>
              <w:lang w:val="en-US" w:eastAsia="zh-CN"/>
            </w:rPr>
            <w:t>8</w:t>
          </w:r>
          <w:r>
            <w:rPr>
              <w:rFonts w:ascii="Times New Roman"/>
              <w:sz w:val="28"/>
              <w:szCs w:val="32"/>
            </w:rPr>
            <w:t xml:space="preserve"> </w:t>
          </w:r>
          <w:r>
            <w:rPr>
              <w:rFonts w:hint="eastAsia" w:ascii="Times New Roman"/>
              <w:sz w:val="28"/>
              <w:szCs w:val="32"/>
            </w:rPr>
            <w:t>标准性质的建议说明</w:t>
          </w:r>
          <w:r>
            <w:rPr>
              <w:sz w:val="28"/>
              <w:szCs w:val="28"/>
            </w:rPr>
            <w:tab/>
          </w:r>
          <w:r>
            <w:rPr>
              <w:sz w:val="28"/>
              <w:szCs w:val="28"/>
            </w:rPr>
            <w:fldChar w:fldCharType="begin"/>
          </w:r>
          <w:r>
            <w:rPr>
              <w:sz w:val="28"/>
              <w:szCs w:val="28"/>
            </w:rPr>
            <w:instrText xml:space="preserve"> PAGEREF _Toc29268 \h </w:instrText>
          </w:r>
          <w:r>
            <w:rPr>
              <w:sz w:val="28"/>
              <w:szCs w:val="28"/>
            </w:rPr>
            <w:fldChar w:fldCharType="separate"/>
          </w:r>
          <w:r>
            <w:rPr>
              <w:sz w:val="28"/>
              <w:szCs w:val="28"/>
            </w:rPr>
            <w:t>7</w:t>
          </w:r>
          <w:r>
            <w:rPr>
              <w:sz w:val="28"/>
              <w:szCs w:val="28"/>
            </w:rPr>
            <w:fldChar w:fldCharType="end"/>
          </w:r>
          <w:r>
            <w:rPr>
              <w:rFonts w:asciiTheme="minorEastAsia" w:hAnsiTheme="minorEastAsia" w:eastAsiaTheme="minorEastAsia"/>
              <w:bCs/>
              <w:color w:val="000000" w:themeColor="text1"/>
              <w:sz w:val="28"/>
              <w:szCs w:val="28"/>
              <w:lang w:val="zh-CN"/>
              <w14:textFill>
                <w14:solidFill>
                  <w14:schemeClr w14:val="tx1"/>
                </w14:solidFill>
              </w14:textFill>
            </w:rPr>
            <w:fldChar w:fldCharType="end"/>
          </w:r>
        </w:p>
        <w:p w14:paraId="2567C0FD">
          <w:pPr>
            <w:pStyle w:val="5"/>
            <w:tabs>
              <w:tab w:val="right" w:leader="dot" w:pos="9468"/>
            </w:tabs>
            <w:rPr>
              <w:sz w:val="28"/>
              <w:szCs w:val="28"/>
            </w:rPr>
          </w:pPr>
          <w:r>
            <w:rPr>
              <w:rFonts w:asciiTheme="minorEastAsia" w:hAnsiTheme="minorEastAsia" w:eastAsiaTheme="minorEastAsia"/>
              <w:bCs/>
              <w:color w:val="000000" w:themeColor="text1"/>
              <w:sz w:val="28"/>
              <w:szCs w:val="28"/>
              <w:lang w:val="zh-CN"/>
              <w14:textFill>
                <w14:solidFill>
                  <w14:schemeClr w14:val="tx1"/>
                </w14:solidFill>
              </w14:textFill>
            </w:rPr>
            <w:fldChar w:fldCharType="begin"/>
          </w:r>
          <w:r>
            <w:rPr>
              <w:rFonts w:asciiTheme="minorEastAsia" w:hAnsiTheme="minorEastAsia" w:eastAsiaTheme="minorEastAsia"/>
              <w:bCs/>
              <w:sz w:val="28"/>
              <w:szCs w:val="28"/>
              <w:lang w:val="zh-CN"/>
            </w:rPr>
            <w:instrText xml:space="preserve"> HYPERLINK \l _Toc22430 </w:instrText>
          </w:r>
          <w:r>
            <w:rPr>
              <w:rFonts w:asciiTheme="minorEastAsia" w:hAnsiTheme="minorEastAsia" w:eastAsiaTheme="minorEastAsia"/>
              <w:bCs/>
              <w:sz w:val="28"/>
              <w:szCs w:val="28"/>
              <w:lang w:val="zh-CN"/>
            </w:rPr>
            <w:fldChar w:fldCharType="separate"/>
          </w:r>
          <w:r>
            <w:rPr>
              <w:rFonts w:hint="eastAsia" w:ascii="Times New Roman"/>
              <w:sz w:val="28"/>
              <w:szCs w:val="32"/>
              <w:lang w:val="en-US" w:eastAsia="zh-CN"/>
            </w:rPr>
            <w:t>9</w:t>
          </w:r>
          <w:r>
            <w:rPr>
              <w:rFonts w:ascii="Times New Roman"/>
              <w:sz w:val="28"/>
              <w:szCs w:val="32"/>
            </w:rPr>
            <w:t xml:space="preserve"> 贯彻标准的措施建议</w:t>
          </w:r>
          <w:r>
            <w:rPr>
              <w:sz w:val="28"/>
              <w:szCs w:val="28"/>
            </w:rPr>
            <w:tab/>
          </w:r>
          <w:r>
            <w:rPr>
              <w:sz w:val="28"/>
              <w:szCs w:val="28"/>
            </w:rPr>
            <w:fldChar w:fldCharType="begin"/>
          </w:r>
          <w:r>
            <w:rPr>
              <w:sz w:val="28"/>
              <w:szCs w:val="28"/>
            </w:rPr>
            <w:instrText xml:space="preserve"> PAGEREF _Toc22430 \h </w:instrText>
          </w:r>
          <w:r>
            <w:rPr>
              <w:sz w:val="28"/>
              <w:szCs w:val="28"/>
            </w:rPr>
            <w:fldChar w:fldCharType="separate"/>
          </w:r>
          <w:r>
            <w:rPr>
              <w:sz w:val="28"/>
              <w:szCs w:val="28"/>
            </w:rPr>
            <w:t>7</w:t>
          </w:r>
          <w:r>
            <w:rPr>
              <w:sz w:val="28"/>
              <w:szCs w:val="28"/>
            </w:rPr>
            <w:fldChar w:fldCharType="end"/>
          </w:r>
          <w:r>
            <w:rPr>
              <w:rFonts w:asciiTheme="minorEastAsia" w:hAnsiTheme="minorEastAsia" w:eastAsiaTheme="minorEastAsia"/>
              <w:bCs/>
              <w:color w:val="000000" w:themeColor="text1"/>
              <w:sz w:val="28"/>
              <w:szCs w:val="28"/>
              <w:lang w:val="zh-CN"/>
              <w14:textFill>
                <w14:solidFill>
                  <w14:schemeClr w14:val="tx1"/>
                </w14:solidFill>
              </w14:textFill>
            </w:rPr>
            <w:fldChar w:fldCharType="end"/>
          </w:r>
        </w:p>
        <w:p w14:paraId="41D4426B">
          <w:pPr>
            <w:pStyle w:val="5"/>
            <w:tabs>
              <w:tab w:val="right" w:leader="dot" w:pos="9468"/>
            </w:tabs>
            <w:rPr>
              <w:sz w:val="28"/>
              <w:szCs w:val="28"/>
            </w:rPr>
          </w:pPr>
          <w:r>
            <w:rPr>
              <w:rFonts w:asciiTheme="minorEastAsia" w:hAnsiTheme="minorEastAsia" w:eastAsiaTheme="minorEastAsia"/>
              <w:bCs/>
              <w:color w:val="000000" w:themeColor="text1"/>
              <w:sz w:val="28"/>
              <w:szCs w:val="28"/>
              <w:lang w:val="zh-CN"/>
              <w14:textFill>
                <w14:solidFill>
                  <w14:schemeClr w14:val="tx1"/>
                </w14:solidFill>
              </w14:textFill>
            </w:rPr>
            <w:fldChar w:fldCharType="begin"/>
          </w:r>
          <w:r>
            <w:rPr>
              <w:rFonts w:asciiTheme="minorEastAsia" w:hAnsiTheme="minorEastAsia" w:eastAsiaTheme="minorEastAsia"/>
              <w:bCs/>
              <w:sz w:val="28"/>
              <w:szCs w:val="28"/>
              <w:lang w:val="zh-CN"/>
            </w:rPr>
            <w:instrText xml:space="preserve"> HYPERLINK \l _Toc956 </w:instrText>
          </w:r>
          <w:r>
            <w:rPr>
              <w:rFonts w:asciiTheme="minorEastAsia" w:hAnsiTheme="minorEastAsia" w:eastAsiaTheme="minorEastAsia"/>
              <w:bCs/>
              <w:sz w:val="28"/>
              <w:szCs w:val="28"/>
              <w:lang w:val="zh-CN"/>
            </w:rPr>
            <w:fldChar w:fldCharType="separate"/>
          </w:r>
          <w:r>
            <w:rPr>
              <w:rFonts w:ascii="Times New Roman"/>
              <w:sz w:val="28"/>
              <w:szCs w:val="32"/>
            </w:rPr>
            <w:t>1</w:t>
          </w:r>
          <w:r>
            <w:rPr>
              <w:rFonts w:hint="eastAsia" w:ascii="Times New Roman"/>
              <w:sz w:val="28"/>
              <w:szCs w:val="32"/>
              <w:lang w:val="en-US" w:eastAsia="zh-CN"/>
            </w:rPr>
            <w:t>0</w:t>
          </w:r>
          <w:r>
            <w:rPr>
              <w:rFonts w:ascii="Times New Roman"/>
              <w:sz w:val="28"/>
              <w:szCs w:val="32"/>
            </w:rPr>
            <w:t xml:space="preserve"> 废止现行有关标准的建议</w:t>
          </w:r>
          <w:r>
            <w:rPr>
              <w:sz w:val="28"/>
              <w:szCs w:val="28"/>
            </w:rPr>
            <w:tab/>
          </w:r>
          <w:r>
            <w:rPr>
              <w:sz w:val="28"/>
              <w:szCs w:val="28"/>
            </w:rPr>
            <w:fldChar w:fldCharType="begin"/>
          </w:r>
          <w:r>
            <w:rPr>
              <w:sz w:val="28"/>
              <w:szCs w:val="28"/>
            </w:rPr>
            <w:instrText xml:space="preserve"> PAGEREF _Toc956 \h </w:instrText>
          </w:r>
          <w:r>
            <w:rPr>
              <w:sz w:val="28"/>
              <w:szCs w:val="28"/>
            </w:rPr>
            <w:fldChar w:fldCharType="separate"/>
          </w:r>
          <w:r>
            <w:rPr>
              <w:sz w:val="28"/>
              <w:szCs w:val="28"/>
            </w:rPr>
            <w:t>8</w:t>
          </w:r>
          <w:r>
            <w:rPr>
              <w:sz w:val="28"/>
              <w:szCs w:val="28"/>
            </w:rPr>
            <w:fldChar w:fldCharType="end"/>
          </w:r>
          <w:r>
            <w:rPr>
              <w:rFonts w:asciiTheme="minorEastAsia" w:hAnsiTheme="minorEastAsia" w:eastAsiaTheme="minorEastAsia"/>
              <w:bCs/>
              <w:color w:val="000000" w:themeColor="text1"/>
              <w:sz w:val="28"/>
              <w:szCs w:val="28"/>
              <w:lang w:val="zh-CN"/>
              <w14:textFill>
                <w14:solidFill>
                  <w14:schemeClr w14:val="tx1"/>
                </w14:solidFill>
              </w14:textFill>
            </w:rPr>
            <w:fldChar w:fldCharType="end"/>
          </w:r>
        </w:p>
        <w:p w14:paraId="1341B50D">
          <w:pPr>
            <w:pStyle w:val="5"/>
            <w:tabs>
              <w:tab w:val="right" w:leader="dot" w:pos="9468"/>
            </w:tabs>
          </w:pPr>
          <w:r>
            <w:rPr>
              <w:rFonts w:asciiTheme="minorEastAsia" w:hAnsiTheme="minorEastAsia" w:eastAsiaTheme="minorEastAsia"/>
              <w:bCs/>
              <w:color w:val="000000" w:themeColor="text1"/>
              <w:sz w:val="28"/>
              <w:szCs w:val="28"/>
              <w:lang w:val="zh-CN"/>
              <w14:textFill>
                <w14:solidFill>
                  <w14:schemeClr w14:val="tx1"/>
                </w14:solidFill>
              </w14:textFill>
            </w:rPr>
            <w:fldChar w:fldCharType="begin"/>
          </w:r>
          <w:r>
            <w:rPr>
              <w:rFonts w:asciiTheme="minorEastAsia" w:hAnsiTheme="minorEastAsia" w:eastAsiaTheme="minorEastAsia"/>
              <w:bCs/>
              <w:sz w:val="28"/>
              <w:szCs w:val="28"/>
              <w:lang w:val="zh-CN"/>
            </w:rPr>
            <w:instrText xml:space="preserve"> HYPERLINK \l _Toc30754 </w:instrText>
          </w:r>
          <w:r>
            <w:rPr>
              <w:rFonts w:asciiTheme="minorEastAsia" w:hAnsiTheme="minorEastAsia" w:eastAsiaTheme="minorEastAsia"/>
              <w:bCs/>
              <w:sz w:val="28"/>
              <w:szCs w:val="28"/>
              <w:lang w:val="zh-CN"/>
            </w:rPr>
            <w:fldChar w:fldCharType="separate"/>
          </w:r>
          <w:r>
            <w:rPr>
              <w:rFonts w:ascii="Times New Roman"/>
              <w:sz w:val="28"/>
              <w:szCs w:val="32"/>
            </w:rPr>
            <w:t>1</w:t>
          </w:r>
          <w:r>
            <w:rPr>
              <w:rFonts w:hint="eastAsia" w:ascii="Times New Roman"/>
              <w:sz w:val="28"/>
              <w:szCs w:val="32"/>
              <w:lang w:val="en-US" w:eastAsia="zh-CN"/>
            </w:rPr>
            <w:t>1</w:t>
          </w:r>
          <w:r>
            <w:rPr>
              <w:rFonts w:ascii="Times New Roman"/>
              <w:sz w:val="28"/>
              <w:szCs w:val="32"/>
            </w:rPr>
            <w:t xml:space="preserve"> 其他应说明的事项</w:t>
          </w:r>
          <w:r>
            <w:rPr>
              <w:sz w:val="28"/>
              <w:szCs w:val="28"/>
            </w:rPr>
            <w:tab/>
          </w:r>
          <w:r>
            <w:rPr>
              <w:sz w:val="28"/>
              <w:szCs w:val="28"/>
            </w:rPr>
            <w:fldChar w:fldCharType="begin"/>
          </w:r>
          <w:r>
            <w:rPr>
              <w:sz w:val="28"/>
              <w:szCs w:val="28"/>
            </w:rPr>
            <w:instrText xml:space="preserve"> PAGEREF _Toc30754 \h </w:instrText>
          </w:r>
          <w:r>
            <w:rPr>
              <w:sz w:val="28"/>
              <w:szCs w:val="28"/>
            </w:rPr>
            <w:fldChar w:fldCharType="separate"/>
          </w:r>
          <w:r>
            <w:rPr>
              <w:sz w:val="28"/>
              <w:szCs w:val="28"/>
            </w:rPr>
            <w:t>8</w:t>
          </w:r>
          <w:r>
            <w:rPr>
              <w:sz w:val="28"/>
              <w:szCs w:val="28"/>
            </w:rPr>
            <w:fldChar w:fldCharType="end"/>
          </w:r>
          <w:r>
            <w:rPr>
              <w:rFonts w:asciiTheme="minorEastAsia" w:hAnsiTheme="minorEastAsia" w:eastAsiaTheme="minorEastAsia"/>
              <w:bCs/>
              <w:color w:val="000000" w:themeColor="text1"/>
              <w:sz w:val="28"/>
              <w:szCs w:val="28"/>
              <w:lang w:val="zh-CN"/>
              <w14:textFill>
                <w14:solidFill>
                  <w14:schemeClr w14:val="tx1"/>
                </w14:solidFill>
              </w14:textFill>
            </w:rPr>
            <w:fldChar w:fldCharType="end"/>
          </w:r>
        </w:p>
        <w:p w14:paraId="6C6DCDB8">
          <w:pPr>
            <w:pStyle w:val="4"/>
            <w:tabs>
              <w:tab w:val="right" w:leader="dot" w:pos="9458"/>
            </w:tabs>
            <w:spacing w:line="360" w:lineRule="auto"/>
            <w:jc w:val="both"/>
            <w:rPr>
              <w:color w:val="000000" w:themeColor="text1"/>
              <w14:textFill>
                <w14:solidFill>
                  <w14:schemeClr w14:val="tx1"/>
                </w14:solidFill>
              </w14:textFill>
            </w:rPr>
          </w:pPr>
          <w:r>
            <w:rPr>
              <w:rFonts w:asciiTheme="minorEastAsia" w:hAnsiTheme="minorEastAsia" w:eastAsiaTheme="minorEastAsia"/>
              <w:bCs/>
              <w:color w:val="000000" w:themeColor="text1"/>
              <w:lang w:val="zh-CN"/>
              <w14:textFill>
                <w14:solidFill>
                  <w14:schemeClr w14:val="tx1"/>
                </w14:solidFill>
              </w14:textFill>
            </w:rPr>
            <w:fldChar w:fldCharType="end"/>
          </w:r>
        </w:p>
      </w:sdtContent>
    </w:sdt>
    <w:p w14:paraId="4B79F232">
      <w:pPr>
        <w:pStyle w:val="8"/>
        <w:framePr w:w="0" w:hRule="auto" w:wrap="auto" w:vAnchor="margin" w:hAnchor="text" w:xAlign="left" w:yAlign="inline"/>
        <w:spacing w:line="360" w:lineRule="auto"/>
        <w:rPr>
          <w:rFonts w:ascii="Times New Roman" w:eastAsia="宋体"/>
          <w:color w:val="000000" w:themeColor="text1"/>
          <w:sz w:val="32"/>
          <w:szCs w:val="32"/>
          <w14:textFill>
            <w14:solidFill>
              <w14:schemeClr w14:val="tx1"/>
            </w14:solidFill>
          </w14:textFill>
        </w:rPr>
      </w:pPr>
    </w:p>
    <w:p w14:paraId="204D46CD">
      <w:pPr>
        <w:jc w:val="center"/>
        <w:rPr>
          <w:rFonts w:ascii="方正小标宋简体" w:eastAsia="方正小标宋简体"/>
          <w:bCs/>
          <w:color w:val="000000" w:themeColor="text1"/>
          <w:sz w:val="48"/>
          <w:szCs w:val="44"/>
          <w14:textFill>
            <w14:solidFill>
              <w14:schemeClr w14:val="tx1"/>
            </w14:solidFill>
          </w14:textFill>
        </w:rPr>
      </w:pPr>
      <w:r>
        <w:rPr>
          <w:color w:val="000000" w:themeColor="text1"/>
          <w:sz w:val="48"/>
          <w:szCs w:val="48"/>
          <w14:textFill>
            <w14:solidFill>
              <w14:schemeClr w14:val="tx1"/>
            </w14:solidFill>
          </w14:textFill>
        </w:rPr>
        <w:br w:type="page"/>
      </w:r>
      <w:r>
        <w:rPr>
          <w:rFonts w:hint="eastAsia" w:ascii="方正小标宋简体" w:eastAsia="方正小标宋简体"/>
          <w:bCs/>
          <w:color w:val="000000" w:themeColor="text1"/>
          <w:sz w:val="32"/>
          <w:szCs w:val="32"/>
          <w14:textFill>
            <w14:solidFill>
              <w14:schemeClr w14:val="tx1"/>
            </w14:solidFill>
          </w14:textFill>
        </w:rPr>
        <w:t>JC/T XXXX-20XX《</w:t>
      </w:r>
      <w:r>
        <w:rPr>
          <w:rFonts w:hint="eastAsia" w:ascii="方正小标宋简体" w:eastAsia="方正小标宋简体"/>
          <w:bCs/>
          <w:color w:val="000000" w:themeColor="text1"/>
          <w:sz w:val="32"/>
          <w:szCs w:val="32"/>
          <w:lang w:eastAsia="zh-CN"/>
          <w14:textFill>
            <w14:solidFill>
              <w14:schemeClr w14:val="tx1"/>
            </w14:solidFill>
          </w14:textFill>
        </w:rPr>
        <w:t>建筑用防腐木材技术规范</w:t>
      </w:r>
      <w:r>
        <w:rPr>
          <w:rFonts w:hint="eastAsia" w:ascii="方正小标宋简体" w:eastAsia="方正小标宋简体"/>
          <w:bCs/>
          <w:color w:val="000000" w:themeColor="text1"/>
          <w:sz w:val="32"/>
          <w:szCs w:val="32"/>
          <w14:textFill>
            <w14:solidFill>
              <w14:schemeClr w14:val="tx1"/>
            </w14:solidFill>
          </w14:textFill>
        </w:rPr>
        <w:t>》</w:t>
      </w:r>
    </w:p>
    <w:p w14:paraId="4FA1E9C2">
      <w:pPr>
        <w:jc w:val="center"/>
        <w:rPr>
          <w:rFonts w:ascii="方正小标宋简体" w:eastAsia="方正小标宋简体"/>
          <w:bCs/>
          <w:color w:val="000000" w:themeColor="text1"/>
          <w:sz w:val="32"/>
          <w:szCs w:val="32"/>
          <w14:textFill>
            <w14:solidFill>
              <w14:schemeClr w14:val="tx1"/>
            </w14:solidFill>
          </w14:textFill>
        </w:rPr>
      </w:pPr>
      <w:r>
        <w:rPr>
          <w:rFonts w:hint="eastAsia" w:ascii="方正小标宋简体" w:eastAsia="方正小标宋简体"/>
          <w:bCs/>
          <w:color w:val="000000" w:themeColor="text1"/>
          <w:sz w:val="32"/>
          <w:szCs w:val="32"/>
          <w14:textFill>
            <w14:solidFill>
              <w14:schemeClr w14:val="tx1"/>
            </w14:solidFill>
          </w14:textFill>
        </w:rPr>
        <w:t>行业标准编制说明</w:t>
      </w:r>
    </w:p>
    <w:p w14:paraId="119195AA">
      <w:pPr>
        <w:pStyle w:val="10"/>
        <w:spacing w:before="326" w:beforeLines="100" w:after="326" w:afterLines="100"/>
        <w:rPr>
          <w:rFonts w:ascii="Times New Roman"/>
          <w:color w:val="000000" w:themeColor="text1"/>
          <w:sz w:val="28"/>
          <w:szCs w:val="28"/>
          <w14:textFill>
            <w14:solidFill>
              <w14:schemeClr w14:val="tx1"/>
            </w14:solidFill>
          </w14:textFill>
        </w:rPr>
      </w:pPr>
      <w:bookmarkStart w:id="0" w:name="_Toc30336"/>
      <w:r>
        <w:rPr>
          <w:rFonts w:ascii="Times New Roman"/>
          <w:color w:val="000000" w:themeColor="text1"/>
          <w:sz w:val="28"/>
          <w:szCs w:val="28"/>
          <w14:textFill>
            <w14:solidFill>
              <w14:schemeClr w14:val="tx1"/>
            </w14:solidFill>
          </w14:textFill>
        </w:rPr>
        <w:t>1 标准编制工作简况</w:t>
      </w:r>
      <w:bookmarkEnd w:id="0"/>
    </w:p>
    <w:p w14:paraId="19275A99">
      <w:pPr>
        <w:pStyle w:val="11"/>
        <w:numPr>
          <w:ilvl w:val="1"/>
          <w:numId w:val="1"/>
        </w:numPr>
        <w:snapToGrid w:val="0"/>
        <w:spacing w:before="163" w:beforeLines="50" w:after="163" w:afterLines="50" w:line="500" w:lineRule="exact"/>
        <w:ind w:left="0"/>
        <w:rPr>
          <w:color w:val="000000" w:themeColor="text1"/>
          <w:sz w:val="24"/>
          <w:szCs w:val="24"/>
          <w14:textFill>
            <w14:solidFill>
              <w14:schemeClr w14:val="tx1"/>
            </w14:solidFill>
          </w14:textFill>
        </w:rPr>
      </w:pPr>
      <w:bookmarkStart w:id="1" w:name="_Toc10933"/>
      <w:bookmarkStart w:id="2" w:name="_Toc31072"/>
      <w:r>
        <w:rPr>
          <w:color w:val="000000" w:themeColor="text1"/>
          <w:sz w:val="24"/>
          <w:szCs w:val="24"/>
          <w14:textFill>
            <w14:solidFill>
              <w14:schemeClr w14:val="tx1"/>
            </w14:solidFill>
          </w14:textFill>
        </w:rPr>
        <w:t>任务来源</w:t>
      </w:r>
      <w:bookmarkEnd w:id="1"/>
      <w:bookmarkEnd w:id="2"/>
    </w:p>
    <w:p w14:paraId="15CB7022">
      <w:pPr>
        <w:spacing w:line="360" w:lineRule="auto"/>
        <w:ind w:firstLine="480" w:firstLineChars="200"/>
        <w:jc w:val="both"/>
        <w:rPr>
          <w:rFonts w:eastAsiaTheme="minorEastAsia"/>
          <w:color w:val="000000" w:themeColor="text1"/>
          <w:szCs w:val="28"/>
          <w14:textFill>
            <w14:solidFill>
              <w14:schemeClr w14:val="tx1"/>
            </w14:solidFill>
          </w14:textFill>
        </w:rPr>
      </w:pPr>
      <w:r>
        <w:rPr>
          <w:rFonts w:hint="eastAsia"/>
          <w:color w:val="000000" w:themeColor="text1"/>
          <w14:textFill>
            <w14:solidFill>
              <w14:schemeClr w14:val="tx1"/>
            </w14:solidFill>
          </w14:textFill>
        </w:rPr>
        <w:t>根据《工业和信息化部办公厅关于印发2024年第一批行业标准制修订计划的通知》（工信厅科〔2024〕18号）</w:t>
      </w:r>
      <w:r>
        <w:rPr>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建筑用防腐木材技术规范</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行业</w:t>
      </w:r>
      <w:r>
        <w:rPr>
          <w:color w:val="000000" w:themeColor="text1"/>
          <w14:textFill>
            <w14:solidFill>
              <w14:schemeClr w14:val="tx1"/>
            </w14:solidFill>
          </w14:textFill>
        </w:rPr>
        <w:t>标准已列入标准项目计划（计划编号：</w:t>
      </w:r>
      <w:r>
        <w:rPr>
          <w:rFonts w:hint="eastAsia"/>
          <w:color w:val="000000" w:themeColor="text1"/>
          <w14:textFill>
            <w14:solidFill>
              <w14:schemeClr w14:val="tx1"/>
            </w14:solidFill>
          </w14:textFill>
        </w:rPr>
        <w:t>2024-0</w:t>
      </w:r>
      <w:r>
        <w:rPr>
          <w:rFonts w:hint="eastAsia"/>
          <w:color w:val="000000" w:themeColor="text1"/>
          <w:lang w:val="en-US" w:eastAsia="zh-CN"/>
          <w14:textFill>
            <w14:solidFill>
              <w14:schemeClr w14:val="tx1"/>
            </w14:solidFill>
          </w14:textFill>
        </w:rPr>
        <w:t>228</w:t>
      </w:r>
      <w:r>
        <w:rPr>
          <w:rFonts w:hint="eastAsia"/>
          <w:color w:val="000000" w:themeColor="text1"/>
          <w14:textFill>
            <w14:solidFill>
              <w14:schemeClr w14:val="tx1"/>
            </w14:solidFill>
          </w14:textFill>
        </w:rPr>
        <w:t>T-JC</w:t>
      </w:r>
      <w:r>
        <w:rPr>
          <w:color w:val="000000" w:themeColor="text1"/>
          <w14:textFill>
            <w14:solidFill>
              <w14:schemeClr w14:val="tx1"/>
            </w14:solidFill>
          </w14:textFill>
        </w:rPr>
        <w:t>），标准技术归口单位为</w:t>
      </w:r>
      <w:r>
        <w:rPr>
          <w:rFonts w:hint="eastAsia"/>
          <w:color w:val="000000" w:themeColor="text1"/>
          <w14:textFill>
            <w14:solidFill>
              <w14:schemeClr w14:val="tx1"/>
            </w14:solidFill>
          </w14:textFill>
        </w:rPr>
        <w:t>建材工业综合标准化技术委员会</w:t>
      </w:r>
      <w:r>
        <w:rPr>
          <w:color w:val="000000" w:themeColor="text1"/>
          <w14:textFill>
            <w14:solidFill>
              <w14:schemeClr w14:val="tx1"/>
            </w14:solidFill>
          </w14:textFill>
        </w:rPr>
        <w:t>，该标准的起草工作由</w:t>
      </w:r>
      <w:r>
        <w:rPr>
          <w:rFonts w:hint="eastAsia"/>
          <w:color w:val="000000" w:themeColor="text1"/>
          <w14:textFill>
            <w14:solidFill>
              <w14:schemeClr w14:val="tx1"/>
            </w14:solidFill>
          </w14:textFill>
        </w:rPr>
        <w:t>木材节约发展中心</w:t>
      </w:r>
      <w:r>
        <w:rPr>
          <w:color w:val="000000" w:themeColor="text1"/>
          <w14:textFill>
            <w14:solidFill>
              <w14:schemeClr w14:val="tx1"/>
            </w14:solidFill>
          </w14:textFill>
        </w:rPr>
        <w:t>负责。</w:t>
      </w:r>
    </w:p>
    <w:p w14:paraId="74B4543A">
      <w:pPr>
        <w:pStyle w:val="11"/>
        <w:numPr>
          <w:ilvl w:val="1"/>
          <w:numId w:val="1"/>
        </w:numPr>
        <w:snapToGrid w:val="0"/>
        <w:spacing w:before="163" w:beforeLines="50" w:after="163" w:afterLines="50" w:line="500" w:lineRule="exact"/>
        <w:ind w:left="0"/>
        <w:rPr>
          <w:color w:val="000000" w:themeColor="text1"/>
          <w:sz w:val="24"/>
          <w:szCs w:val="24"/>
          <w14:textFill>
            <w14:solidFill>
              <w14:schemeClr w14:val="tx1"/>
            </w14:solidFill>
          </w14:textFill>
        </w:rPr>
      </w:pPr>
      <w:bookmarkStart w:id="3" w:name="_Toc7396"/>
      <w:bookmarkStart w:id="4" w:name="_Toc44068192"/>
      <w:bookmarkStart w:id="5" w:name="_Toc17910"/>
      <w:r>
        <w:rPr>
          <w:color w:val="000000" w:themeColor="text1"/>
          <w:sz w:val="24"/>
          <w:szCs w:val="24"/>
          <w14:textFill>
            <w14:solidFill>
              <w14:schemeClr w14:val="tx1"/>
            </w14:solidFill>
          </w14:textFill>
        </w:rPr>
        <w:t>起草单位</w:t>
      </w:r>
      <w:bookmarkEnd w:id="3"/>
      <w:bookmarkEnd w:id="4"/>
      <w:bookmarkEnd w:id="5"/>
    </w:p>
    <w:p w14:paraId="550EFC41">
      <w:pPr>
        <w:spacing w:line="360" w:lineRule="auto"/>
        <w:ind w:firstLine="480" w:firstLineChars="200"/>
        <w:jc w:val="both"/>
        <w:rPr>
          <w:rFonts w:eastAsiaTheme="majorEastAsia"/>
          <w:color w:val="000000" w:themeColor="text1"/>
          <w14:textFill>
            <w14:solidFill>
              <w14:schemeClr w14:val="tx1"/>
            </w14:solidFill>
          </w14:textFill>
        </w:rPr>
      </w:pPr>
      <w:r>
        <w:rPr>
          <w:rFonts w:hint="eastAsia" w:eastAsiaTheme="majorEastAsia"/>
          <w:color w:val="000000" w:themeColor="text1"/>
          <w14:textFill>
            <w14:solidFill>
              <w14:schemeClr w14:val="tx1"/>
            </w14:solidFill>
          </w14:textFill>
        </w:rPr>
        <w:t>本标准由</w:t>
      </w:r>
      <w:r>
        <w:rPr>
          <w:rFonts w:hint="eastAsia"/>
          <w:color w:val="000000" w:themeColor="text1"/>
          <w14:textFill>
            <w14:solidFill>
              <w14:schemeClr w14:val="tx1"/>
            </w14:solidFill>
          </w14:textFill>
        </w:rPr>
        <w:t>木材节约发展中心</w:t>
      </w:r>
      <w:r>
        <w:rPr>
          <w:rFonts w:hint="eastAsia"/>
          <w:color w:val="000000" w:themeColor="text1"/>
          <w:lang w:val="en-US" w:eastAsia="zh-CN"/>
          <w14:textFill>
            <w14:solidFill>
              <w14:schemeClr w14:val="tx1"/>
            </w14:solidFill>
          </w14:textFill>
        </w:rPr>
        <w:t>负责</w:t>
      </w:r>
      <w:r>
        <w:rPr>
          <w:rFonts w:hint="eastAsia" w:eastAsiaTheme="majorEastAsia"/>
          <w:color w:val="000000" w:themeColor="text1"/>
          <w14:textFill>
            <w14:solidFill>
              <w14:schemeClr w14:val="tx1"/>
            </w14:solidFill>
          </w14:textFill>
        </w:rPr>
        <w:t>起草，形成《</w:t>
      </w:r>
      <w:r>
        <w:rPr>
          <w:rFonts w:hint="eastAsia" w:eastAsiaTheme="majorEastAsia"/>
          <w:color w:val="000000" w:themeColor="text1"/>
          <w:lang w:eastAsia="zh-CN"/>
          <w14:textFill>
            <w14:solidFill>
              <w14:schemeClr w14:val="tx1"/>
            </w14:solidFill>
          </w14:textFill>
        </w:rPr>
        <w:t>建筑用防腐木材技术规范</w:t>
      </w:r>
      <w:r>
        <w:rPr>
          <w:rFonts w:hint="eastAsia" w:eastAsiaTheme="majorEastAsia"/>
          <w:color w:val="000000" w:themeColor="text1"/>
          <w14:textFill>
            <w14:solidFill>
              <w14:schemeClr w14:val="tx1"/>
            </w14:solidFill>
          </w14:textFill>
        </w:rPr>
        <w:t>》标准的编制组。标准编制组分工如下：</w:t>
      </w:r>
    </w:p>
    <w:p w14:paraId="1021872E">
      <w:pPr>
        <w:numPr>
          <w:ilvl w:val="0"/>
          <w:numId w:val="2"/>
        </w:numPr>
        <w:spacing w:line="360" w:lineRule="auto"/>
        <w:ind w:firstLine="480" w:firstLineChars="200"/>
        <w:jc w:val="both"/>
        <w:rPr>
          <w:rFonts w:hint="eastAsia" w:eastAsiaTheme="majorEastAsia"/>
          <w:color w:val="000000" w:themeColor="text1"/>
          <w:lang w:eastAsia="zh-CN"/>
          <w14:textFill>
            <w14:solidFill>
              <w14:schemeClr w14:val="tx1"/>
            </w14:solidFill>
          </w14:textFill>
        </w:rPr>
      </w:pPr>
      <w:r>
        <w:rPr>
          <w:rFonts w:hint="eastAsia" w:eastAsiaTheme="majorEastAsia"/>
          <w:color w:val="000000" w:themeColor="text1"/>
          <w14:textFill>
            <w14:solidFill>
              <w14:schemeClr w14:val="tx1"/>
            </w14:solidFill>
          </w14:textFill>
        </w:rPr>
        <w:t>木材节约发展中心：主要负责标准立项、标准讨论会组织及筹备。主要负责标准立项、标准讨论会组织及筹备、行业征求意见汇总等</w:t>
      </w:r>
      <w:r>
        <w:rPr>
          <w:rFonts w:hint="eastAsia" w:eastAsiaTheme="majorEastAsia"/>
          <w:color w:val="000000" w:themeColor="text1"/>
          <w:lang w:eastAsia="zh-CN"/>
          <w14:textFill>
            <w14:solidFill>
              <w14:schemeClr w14:val="tx1"/>
            </w14:solidFill>
          </w14:textFill>
        </w:rPr>
        <w:t>。</w:t>
      </w:r>
    </w:p>
    <w:p w14:paraId="5CE0B7F4">
      <w:pPr>
        <w:numPr>
          <w:ilvl w:val="0"/>
          <w:numId w:val="2"/>
        </w:numPr>
        <w:spacing w:line="360" w:lineRule="auto"/>
        <w:ind w:firstLine="480" w:firstLineChars="200"/>
        <w:jc w:val="both"/>
        <w:rPr>
          <w:rFonts w:hint="eastAsia" w:eastAsiaTheme="majorEastAsia"/>
          <w:color w:val="000000" w:themeColor="text1"/>
          <w14:textFill>
            <w14:solidFill>
              <w14:schemeClr w14:val="tx1"/>
            </w14:solidFill>
          </w14:textFill>
        </w:rPr>
      </w:pPr>
      <w:r>
        <w:rPr>
          <w:rFonts w:hint="eastAsia" w:eastAsiaTheme="majorEastAsia"/>
          <w:color w:val="000000" w:themeColor="text1"/>
          <w:lang w:val="en-US" w:eastAsia="zh-CN"/>
          <w14:textFill>
            <w14:solidFill>
              <w14:schemeClr w14:val="tx1"/>
            </w14:solidFill>
          </w14:textFill>
        </w:rPr>
        <w:t>木材节约发展中心所属实验室（</w:t>
      </w:r>
      <w:r>
        <w:rPr>
          <w:rFonts w:hint="eastAsia" w:eastAsiaTheme="majorEastAsia"/>
          <w:color w:val="000000" w:themeColor="text1"/>
          <w14:textFill>
            <w14:solidFill>
              <w14:schemeClr w14:val="tx1"/>
            </w14:solidFill>
          </w14:textFill>
        </w:rPr>
        <w:t>国家木材与木制品性能质量检验检测中心</w:t>
      </w:r>
      <w:r>
        <w:rPr>
          <w:rFonts w:hint="eastAsia" w:eastAsiaTheme="majorEastAsia"/>
          <w:color w:val="000000" w:themeColor="text1"/>
          <w:lang w:eastAsia="zh-CN"/>
          <w14:textFill>
            <w14:solidFill>
              <w14:schemeClr w14:val="tx1"/>
            </w14:solidFill>
          </w14:textFill>
        </w:rPr>
        <w:t>）</w:t>
      </w:r>
      <w:r>
        <w:rPr>
          <w:rFonts w:hint="eastAsia" w:eastAsiaTheme="majorEastAsia"/>
          <w:color w:val="000000" w:themeColor="text1"/>
          <w14:textFill>
            <w14:solidFill>
              <w14:schemeClr w14:val="tx1"/>
            </w14:solidFill>
          </w14:textFill>
        </w:rPr>
        <w:t>：负责开展相关调研、验证工作，标准相关文献搜集，标准正文的编写及修改，为本标准修订提供技术支持。</w:t>
      </w:r>
    </w:p>
    <w:p w14:paraId="201185D8">
      <w:pPr>
        <w:numPr>
          <w:ilvl w:val="-1"/>
          <w:numId w:val="0"/>
        </w:numPr>
        <w:spacing w:line="360" w:lineRule="auto"/>
        <w:ind w:firstLine="0" w:firstLineChars="0"/>
        <w:jc w:val="both"/>
        <w:rPr>
          <w:rFonts w:hint="eastAsia" w:eastAsiaTheme="majorEastAsia"/>
          <w:color w:val="000000" w:themeColor="text1"/>
          <w14:textFill>
            <w14:solidFill>
              <w14:schemeClr w14:val="tx1"/>
            </w14:solidFill>
          </w14:textFill>
        </w:rPr>
      </w:pPr>
    </w:p>
    <w:p w14:paraId="1A3F163F">
      <w:pPr>
        <w:pStyle w:val="11"/>
        <w:numPr>
          <w:ilvl w:val="0"/>
          <w:numId w:val="0"/>
        </w:numPr>
        <w:snapToGrid w:val="0"/>
        <w:spacing w:before="163" w:beforeLines="50" w:after="163" w:afterLines="50" w:line="500" w:lineRule="exact"/>
        <w:ind w:leftChars="0"/>
        <w:rPr>
          <w:rFonts w:hint="eastAsia" w:eastAsia="黑体"/>
          <w:color w:val="000000" w:themeColor="text1"/>
          <w:sz w:val="24"/>
          <w:szCs w:val="24"/>
          <w:lang w:val="en-US" w:eastAsia="zh-CN"/>
          <w14:textFill>
            <w14:solidFill>
              <w14:schemeClr w14:val="tx1"/>
            </w14:solidFill>
          </w14:textFill>
        </w:rPr>
      </w:pPr>
      <w:bookmarkStart w:id="6" w:name="_Toc44068193"/>
      <w:bookmarkStart w:id="7" w:name="_Toc24989"/>
      <w:bookmarkStart w:id="8" w:name="_Toc8376"/>
      <w:r>
        <w:rPr>
          <w:rFonts w:hint="eastAsia"/>
          <w:color w:val="000000" w:themeColor="text1"/>
          <w:sz w:val="24"/>
          <w:szCs w:val="24"/>
          <w:lang w:val="en-US" w:eastAsia="zh-CN"/>
          <w14:textFill>
            <w14:solidFill>
              <w14:schemeClr w14:val="tx1"/>
            </w14:solidFill>
          </w14:textFill>
        </w:rPr>
        <w:t xml:space="preserve">1.3 </w:t>
      </w:r>
      <w:r>
        <w:rPr>
          <w:color w:val="000000" w:themeColor="text1"/>
          <w:sz w:val="24"/>
          <w:szCs w:val="24"/>
          <w14:textFill>
            <w14:solidFill>
              <w14:schemeClr w14:val="tx1"/>
            </w14:solidFill>
          </w14:textFill>
        </w:rPr>
        <w:t>标准编制</w:t>
      </w:r>
      <w:r>
        <w:rPr>
          <w:rFonts w:hint="eastAsia"/>
          <w:color w:val="000000" w:themeColor="text1"/>
          <w:sz w:val="24"/>
          <w:szCs w:val="24"/>
          <w:lang w:val="en-US" w:eastAsia="zh-CN"/>
          <w14:textFill>
            <w14:solidFill>
              <w14:schemeClr w14:val="tx1"/>
            </w14:solidFill>
          </w14:textFill>
        </w:rPr>
        <w:t>目的</w:t>
      </w:r>
      <w:r>
        <w:rPr>
          <w:color w:val="000000" w:themeColor="text1"/>
          <w:sz w:val="24"/>
          <w:szCs w:val="24"/>
          <w14:textFill>
            <w14:solidFill>
              <w14:schemeClr w14:val="tx1"/>
            </w14:solidFill>
          </w14:textFill>
        </w:rPr>
        <w:t>及</w:t>
      </w:r>
      <w:bookmarkEnd w:id="6"/>
      <w:bookmarkEnd w:id="7"/>
      <w:bookmarkEnd w:id="8"/>
      <w:r>
        <w:rPr>
          <w:rFonts w:hint="eastAsia"/>
          <w:color w:val="000000" w:themeColor="text1"/>
          <w:sz w:val="24"/>
          <w:szCs w:val="24"/>
          <w:lang w:val="en-US" w:eastAsia="zh-CN"/>
          <w14:textFill>
            <w14:solidFill>
              <w14:schemeClr w14:val="tx1"/>
            </w14:solidFill>
          </w14:textFill>
        </w:rPr>
        <w:t>意义</w:t>
      </w:r>
    </w:p>
    <w:p w14:paraId="3CD30BAD">
      <w:pPr>
        <w:spacing w:line="360" w:lineRule="auto"/>
        <w:ind w:firstLine="480" w:firstLineChars="200"/>
        <w:jc w:val="both"/>
        <w:rPr>
          <w:rFonts w:hint="eastAsia" w:eastAsiaTheme="minorEastAsia"/>
          <w:color w:val="000000" w:themeColor="text1"/>
          <w:szCs w:val="28"/>
          <w:lang w:val="en-US" w:eastAsia="zh-CN"/>
          <w14:textFill>
            <w14:solidFill>
              <w14:schemeClr w14:val="tx1"/>
            </w14:solidFill>
          </w14:textFill>
        </w:rPr>
      </w:pPr>
      <w:r>
        <w:rPr>
          <w:rFonts w:hint="eastAsia" w:eastAsiaTheme="minorEastAsia"/>
          <w:color w:val="000000" w:themeColor="text1"/>
          <w:szCs w:val="28"/>
          <w:lang w:val="en-US" w:eastAsia="zh-CN"/>
          <w14:textFill>
            <w14:solidFill>
              <w14:schemeClr w14:val="tx1"/>
            </w14:solidFill>
          </w14:textFill>
        </w:rPr>
        <w:t>目前，全球木材防腐技术已成为木材保护技术的重要组成部分，并广泛应用于建筑保护领域，为世界各国建筑木材防腐处理方面创造了许多宝贵的方法和经验。美国木材保护者腐者协会(AWPA)制定的木材防腐剂及防腐木标准，针对不同的树种、木制品、使用条件、防腐剂种类，有比较详细的规定和分析方法；澳大利亚标准（AU）中对防腐剂的质量有较详细的质量控制要求。防腐木的生产应用已有50多年的历史，有较成熟的成套技术和生产装备。据不完全统计，我国已拥有百余家生产企业，已广泛的应用于建筑工程，在北京、海南、广东、江苏、安徽、等地广泛应用。防腐木材料具有耐久性，可以有效保护建筑结构免受腐蚀和磨损，延长使用寿命，降低建筑成本，在建筑领域中应用逐渐扩展，并取得了良好的使用效果，对缓解木材资源匮乏，保护生态环境具有重要意义。为了更好地贯彻执行国家发布的相关技术、经济政策法规，适应当前绿色、低碳、节能的发展要求，与其他相关新标准相适应，修订本标准。以期满足当前高水平需求，并为推动其向国家标准、国际标准的转化打下基础。本标准自2011年实施至今，对促进防腐木材使用，保障工程安全具有重要意义。标准实施近12年时间，防腐木材过多年的发展，已有新的产品、技术和应用场景，亟需对该标准进行修订和补充，调整技术指标要求，并对规范性引用文件、术语和定义、技术条件等内容进行修订。</w:t>
      </w:r>
    </w:p>
    <w:p w14:paraId="7E64DF2D">
      <w:pPr>
        <w:spacing w:line="360" w:lineRule="auto"/>
        <w:ind w:firstLine="480" w:firstLineChars="200"/>
        <w:jc w:val="both"/>
        <w:rPr>
          <w:rFonts w:hint="eastAsia" w:eastAsiaTheme="minorEastAsia"/>
          <w:color w:val="000000" w:themeColor="text1"/>
          <w:szCs w:val="28"/>
          <w:lang w:val="en-US" w:eastAsia="zh-CN"/>
          <w14:textFill>
            <w14:solidFill>
              <w14:schemeClr w14:val="tx1"/>
            </w14:solidFill>
          </w14:textFill>
        </w:rPr>
      </w:pPr>
      <w:r>
        <w:rPr>
          <w:rFonts w:hint="eastAsia" w:eastAsiaTheme="minorEastAsia"/>
          <w:color w:val="000000" w:themeColor="text1"/>
          <w:szCs w:val="28"/>
          <w:lang w:val="en-US" w:eastAsia="zh-CN"/>
          <w14:textFill>
            <w14:solidFill>
              <w14:schemeClr w14:val="tx1"/>
            </w14:solidFill>
          </w14:textFill>
        </w:rPr>
        <w:t>通过修订本标准，进一步规范化、标准化，有利于提高建筑用防腐木材产品质量，从而解决木材防腐剂种类、浓度及处理方法不统一,特别是在工程实施的过程中为节约成本、节约时间及达到外观颜色较淡的目的，使用防腐剂的浓度偏低，使载药量偏低，不能达到满意的处理效果等问题，本标准积极响应绿色、低碳发展和保护生态环境的要求，所有内容和项目与现行相关法律、法规、规章及相关国家和行业标准、与国内外标准协调一致性，对规范行业发展，提升产品质量、推广先进技术、节能降耗和引领行业健康发展具有现实意义。</w:t>
      </w:r>
    </w:p>
    <w:p w14:paraId="327E2505">
      <w:pPr>
        <w:pStyle w:val="11"/>
        <w:numPr>
          <w:ilvl w:val="0"/>
          <w:numId w:val="0"/>
        </w:numPr>
        <w:snapToGrid w:val="0"/>
        <w:spacing w:before="163" w:beforeLines="50" w:after="163" w:afterLines="50" w:line="500" w:lineRule="exact"/>
        <w:ind w:leftChars="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w:t>
      </w:r>
      <w:r>
        <w:rPr>
          <w:rFonts w:hint="eastAsia"/>
          <w:color w:val="000000" w:themeColor="text1"/>
          <w:sz w:val="24"/>
          <w:szCs w:val="24"/>
          <w:lang w:val="en-US" w:eastAsia="zh-CN"/>
          <w14:textFill>
            <w14:solidFill>
              <w14:schemeClr w14:val="tx1"/>
            </w14:solidFill>
          </w14:textFill>
        </w:rPr>
        <w:t xml:space="preserve">4 </w:t>
      </w:r>
      <w:r>
        <w:rPr>
          <w:color w:val="000000" w:themeColor="text1"/>
          <w:sz w:val="24"/>
          <w:szCs w:val="24"/>
          <w14:textFill>
            <w14:solidFill>
              <w14:schemeClr w14:val="tx1"/>
            </w14:solidFill>
          </w14:textFill>
        </w:rPr>
        <w:t>主要工作过程</w:t>
      </w:r>
    </w:p>
    <w:p w14:paraId="23C48217">
      <w:pPr>
        <w:spacing w:line="360" w:lineRule="auto"/>
        <w:ind w:firstLine="480" w:firstLineChars="200"/>
        <w:jc w:val="both"/>
        <w:rPr>
          <w:rFonts w:hint="eastAsia" w:eastAsia="宋体"/>
          <w:color w:val="000000" w:themeColor="text1"/>
          <w:szCs w:val="28"/>
          <w:lang w:val="en-US" w:eastAsia="zh-CN"/>
          <w14:textFill>
            <w14:solidFill>
              <w14:schemeClr w14:val="tx1"/>
            </w14:solidFill>
          </w14:textFill>
        </w:rPr>
      </w:pPr>
      <w:r>
        <w:rPr>
          <w:rFonts w:hint="eastAsia" w:eastAsiaTheme="minorEastAsia"/>
          <w:color w:val="000000" w:themeColor="text1"/>
          <w:szCs w:val="28"/>
          <w14:textFill>
            <w14:solidFill>
              <w14:schemeClr w14:val="tx1"/>
            </w14:solidFill>
          </w14:textFill>
        </w:rPr>
        <w:t>为贯彻中央经济工作会议和全国工业和信息化工作会议精神，落实《关于促进制造业产品和服务质量提升的实施意见》要求，推进工业质量品牌建设工作，支持制造业高质量发展以《中共中央 国务院关于开展质量提升行动的指导意见》，</w:t>
      </w:r>
      <w:r>
        <w:rPr>
          <w:rFonts w:eastAsiaTheme="minorEastAsia"/>
          <w:color w:val="000000" w:themeColor="text1"/>
          <w:szCs w:val="28"/>
          <w14:textFill>
            <w14:solidFill>
              <w14:schemeClr w14:val="tx1"/>
            </w14:solidFill>
          </w14:textFill>
        </w:rPr>
        <w:t>开展本标准的制定工作</w:t>
      </w:r>
      <w:r>
        <w:rPr>
          <w:rFonts w:hint="eastAsia" w:eastAsiaTheme="minorEastAsia"/>
          <w:color w:val="000000" w:themeColor="text1"/>
          <w:szCs w:val="28"/>
          <w14:textFill>
            <w14:solidFill>
              <w14:schemeClr w14:val="tx1"/>
            </w14:solidFill>
          </w14:textFill>
        </w:rPr>
        <w:t>。标准起草组组织行业专家和企业代表对现行标准的实施情况进行广泛调研，收集各方意见和建议，并对国内外相关标准进行对比分析，为标准修订提供参考依据。</w:t>
      </w:r>
      <w:r>
        <w:rPr>
          <w:rFonts w:hint="eastAsia" w:eastAsiaTheme="minorEastAsia"/>
          <w:color w:val="000000" w:themeColor="text1"/>
          <w:szCs w:val="28"/>
          <w:lang w:val="en-US" w:eastAsia="zh-CN"/>
          <w14:textFill>
            <w14:solidFill>
              <w14:schemeClr w14:val="tx1"/>
            </w14:solidFill>
          </w14:textFill>
        </w:rPr>
        <w:t>该标准给出了</w:t>
      </w:r>
      <w:r>
        <w:rPr>
          <w:rFonts w:hint="default" w:ascii="Times New Roman" w:hAnsi="Times New Roman" w:cs="Times New Roman"/>
        </w:rPr>
        <w:t>建筑用防腐木材技术规范</w:t>
      </w:r>
      <w:r>
        <w:rPr>
          <w:rFonts w:hint="eastAsia" w:ascii="Times New Roman" w:hAnsi="Times New Roman" w:cs="Times New Roman"/>
          <w:lang w:eastAsia="zh-CN"/>
        </w:rPr>
        <w:t>，</w:t>
      </w:r>
    </w:p>
    <w:p w14:paraId="53151126">
      <w:pPr>
        <w:spacing w:line="360" w:lineRule="auto"/>
        <w:ind w:firstLine="480" w:firstLineChars="200"/>
        <w:jc w:val="both"/>
        <w:rPr>
          <w:color w:val="000000" w:themeColor="text1"/>
          <w14:textFill>
            <w14:solidFill>
              <w14:schemeClr w14:val="tx1"/>
            </w14:solidFill>
          </w14:textFill>
        </w:rPr>
      </w:pPr>
      <w:r>
        <w:rPr>
          <w:color w:val="000000" w:themeColor="text1"/>
          <w14:textFill>
            <w14:solidFill>
              <w14:schemeClr w14:val="tx1"/>
            </w14:solidFill>
          </w14:textFill>
        </w:rPr>
        <w:t>具体</w:t>
      </w:r>
      <w:r>
        <w:rPr>
          <w:rFonts w:hint="eastAsia"/>
          <w:color w:val="000000" w:themeColor="text1"/>
          <w14:textFill>
            <w14:solidFill>
              <w14:schemeClr w14:val="tx1"/>
            </w14:solidFill>
          </w14:textFill>
        </w:rPr>
        <w:t>编制</w:t>
      </w:r>
      <w:r>
        <w:rPr>
          <w:color w:val="000000" w:themeColor="text1"/>
          <w14:textFill>
            <w14:solidFill>
              <w14:schemeClr w14:val="tx1"/>
            </w14:solidFill>
          </w14:textFill>
        </w:rPr>
        <w:t>过程如下：</w:t>
      </w:r>
    </w:p>
    <w:p w14:paraId="6A3FB6B1">
      <w:pPr>
        <w:spacing w:line="360" w:lineRule="auto"/>
        <w:ind w:firstLine="480" w:firstLineChars="200"/>
        <w:jc w:val="both"/>
        <w:rPr>
          <w:rFonts w:eastAsiaTheme="minorEastAsia"/>
          <w:color w:val="000000" w:themeColor="text1"/>
          <w:szCs w:val="28"/>
          <w14:textFill>
            <w14:solidFill>
              <w14:schemeClr w14:val="tx1"/>
            </w14:solidFill>
          </w14:textFill>
        </w:rPr>
      </w:pPr>
      <w:r>
        <w:rPr>
          <w:rFonts w:hint="eastAsia" w:eastAsiaTheme="minorEastAsia"/>
          <w:color w:val="000000" w:themeColor="text1"/>
          <w:szCs w:val="28"/>
          <w14:textFill>
            <w14:solidFill>
              <w14:schemeClr w14:val="tx1"/>
            </w14:solidFill>
          </w14:textFill>
        </w:rPr>
        <w:t>202</w:t>
      </w:r>
      <w:r>
        <w:rPr>
          <w:rFonts w:hint="eastAsia" w:eastAsiaTheme="minorEastAsia"/>
          <w:color w:val="000000" w:themeColor="text1"/>
          <w:szCs w:val="28"/>
          <w:lang w:val="en-US" w:eastAsia="zh-CN"/>
          <w14:textFill>
            <w14:solidFill>
              <w14:schemeClr w14:val="tx1"/>
            </w14:solidFill>
          </w14:textFill>
        </w:rPr>
        <w:t>4</w:t>
      </w:r>
      <w:r>
        <w:rPr>
          <w:rFonts w:hint="eastAsia" w:eastAsiaTheme="minorEastAsia"/>
          <w:color w:val="000000" w:themeColor="text1"/>
          <w:szCs w:val="28"/>
          <w14:textFill>
            <w14:solidFill>
              <w14:schemeClr w14:val="tx1"/>
            </w14:solidFill>
          </w14:textFill>
        </w:rPr>
        <w:t>年</w:t>
      </w:r>
      <w:r>
        <w:rPr>
          <w:rFonts w:hint="eastAsia" w:eastAsiaTheme="minorEastAsia"/>
          <w:color w:val="000000" w:themeColor="text1"/>
          <w:szCs w:val="28"/>
          <w:lang w:val="en-US" w:eastAsia="zh-CN"/>
          <w14:textFill>
            <w14:solidFill>
              <w14:schemeClr w14:val="tx1"/>
            </w14:solidFill>
          </w14:textFill>
        </w:rPr>
        <w:t>3</w:t>
      </w:r>
      <w:r>
        <w:rPr>
          <w:rFonts w:hint="eastAsia" w:eastAsiaTheme="minorEastAsia"/>
          <w:color w:val="000000" w:themeColor="text1"/>
          <w:szCs w:val="28"/>
          <w14:textFill>
            <w14:solidFill>
              <w14:schemeClr w14:val="tx1"/>
            </w14:solidFill>
          </w14:textFill>
        </w:rPr>
        <w:t>月，工业和信息化部下达</w:t>
      </w:r>
      <w:r>
        <w:rPr>
          <w:rFonts w:eastAsiaTheme="minorEastAsia"/>
          <w:color w:val="000000" w:themeColor="text1"/>
          <w:szCs w:val="28"/>
          <w14:textFill>
            <w14:solidFill>
              <w14:schemeClr w14:val="tx1"/>
            </w14:solidFill>
          </w14:textFill>
        </w:rPr>
        <w:t>了</w:t>
      </w:r>
      <w:r>
        <w:rPr>
          <w:color w:val="000000" w:themeColor="text1"/>
          <w14:textFill>
            <w14:solidFill>
              <w14:schemeClr w14:val="tx1"/>
            </w14:solidFill>
          </w14:textFill>
        </w:rPr>
        <w:t>《</w:t>
      </w:r>
      <w:bookmarkStart w:id="23" w:name="_GoBack"/>
      <w:r>
        <w:rPr>
          <w:rFonts w:hint="eastAsia"/>
          <w:color w:val="000000" w:themeColor="text1"/>
          <w:lang w:eastAsia="zh-CN"/>
          <w14:textFill>
            <w14:solidFill>
              <w14:schemeClr w14:val="tx1"/>
            </w14:solidFill>
          </w14:textFill>
        </w:rPr>
        <w:t>建筑用防腐木材技术规范</w:t>
      </w:r>
      <w:bookmarkEnd w:id="23"/>
      <w:r>
        <w:rPr>
          <w:color w:val="000000" w:themeColor="text1"/>
          <w14:textFill>
            <w14:solidFill>
              <w14:schemeClr w14:val="tx1"/>
            </w14:solidFill>
          </w14:textFill>
        </w:rPr>
        <w:t>》</w:t>
      </w:r>
      <w:r>
        <w:rPr>
          <w:rFonts w:hint="eastAsia" w:eastAsiaTheme="minorEastAsia"/>
          <w:color w:val="000000" w:themeColor="text1"/>
          <w:szCs w:val="28"/>
          <w14:textFill>
            <w14:solidFill>
              <w14:schemeClr w14:val="tx1"/>
            </w14:solidFill>
          </w14:textFill>
        </w:rPr>
        <w:t>行业</w:t>
      </w:r>
      <w:r>
        <w:rPr>
          <w:rFonts w:eastAsiaTheme="minorEastAsia"/>
          <w:color w:val="000000" w:themeColor="text1"/>
          <w:szCs w:val="28"/>
          <w14:textFill>
            <w14:solidFill>
              <w14:schemeClr w14:val="tx1"/>
            </w14:solidFill>
          </w14:textFill>
        </w:rPr>
        <w:t>标准</w:t>
      </w:r>
      <w:r>
        <w:rPr>
          <w:rFonts w:hint="eastAsia"/>
          <w:color w:val="000000" w:themeColor="text1"/>
          <w14:textFill>
            <w14:solidFill>
              <w14:schemeClr w14:val="tx1"/>
            </w14:solidFill>
          </w14:textFill>
        </w:rPr>
        <w:t>项目计划</w:t>
      </w:r>
      <w:r>
        <w:rPr>
          <w:color w:val="000000" w:themeColor="text1"/>
          <w14:textFill>
            <w14:solidFill>
              <w14:schemeClr w14:val="tx1"/>
            </w14:solidFill>
          </w14:textFill>
        </w:rPr>
        <w:t>，计划编号</w:t>
      </w:r>
      <w:r>
        <w:rPr>
          <w:rFonts w:hint="eastAsia"/>
          <w:color w:val="000000" w:themeColor="text1"/>
          <w14:textFill>
            <w14:solidFill>
              <w14:schemeClr w14:val="tx1"/>
            </w14:solidFill>
          </w14:textFill>
        </w:rPr>
        <w:t>为2024-0228T-JC</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代替标准SB∕T 10628-2011</w:t>
      </w:r>
      <w:r>
        <w:rPr>
          <w:rFonts w:hint="eastAsia" w:eastAsiaTheme="minorEastAsia"/>
          <w:color w:val="000000" w:themeColor="text1"/>
          <w:szCs w:val="28"/>
          <w14:textFill>
            <w14:solidFill>
              <w14:schemeClr w14:val="tx1"/>
            </w14:solidFill>
          </w14:textFill>
        </w:rPr>
        <w:t>。</w:t>
      </w:r>
    </w:p>
    <w:p w14:paraId="1769569F">
      <w:pPr>
        <w:spacing w:line="360" w:lineRule="auto"/>
        <w:ind w:firstLine="480" w:firstLineChars="200"/>
        <w:jc w:val="both"/>
        <w:rPr>
          <w:rFonts w:hint="eastAsia" w:eastAsiaTheme="minorEastAsia"/>
          <w:color w:val="000000" w:themeColor="text1"/>
          <w:szCs w:val="28"/>
          <w14:textFill>
            <w14:solidFill>
              <w14:schemeClr w14:val="tx1"/>
            </w14:solidFill>
          </w14:textFill>
        </w:rPr>
      </w:pPr>
      <w:r>
        <w:rPr>
          <w:rFonts w:hint="eastAsia" w:eastAsiaTheme="minorEastAsia"/>
          <w:color w:val="000000" w:themeColor="text1"/>
          <w:szCs w:val="28"/>
          <w14:textFill>
            <w14:solidFill>
              <w14:schemeClr w14:val="tx1"/>
            </w14:solidFill>
          </w14:textFill>
        </w:rPr>
        <w:t>202</w:t>
      </w:r>
      <w:r>
        <w:rPr>
          <w:rFonts w:hint="eastAsia" w:eastAsiaTheme="minorEastAsia"/>
          <w:color w:val="000000" w:themeColor="text1"/>
          <w:szCs w:val="28"/>
          <w:lang w:val="en-US" w:eastAsia="zh-CN"/>
          <w14:textFill>
            <w14:solidFill>
              <w14:schemeClr w14:val="tx1"/>
            </w14:solidFill>
          </w14:textFill>
        </w:rPr>
        <w:t>4</w:t>
      </w:r>
      <w:r>
        <w:rPr>
          <w:rFonts w:hint="eastAsia" w:eastAsiaTheme="minorEastAsia"/>
          <w:color w:val="000000" w:themeColor="text1"/>
          <w:szCs w:val="28"/>
          <w14:textFill>
            <w14:solidFill>
              <w14:schemeClr w14:val="tx1"/>
            </w14:solidFill>
          </w14:textFill>
        </w:rPr>
        <w:t>年</w:t>
      </w:r>
      <w:r>
        <w:rPr>
          <w:rFonts w:hint="eastAsia" w:eastAsiaTheme="minorEastAsia"/>
          <w:color w:val="000000" w:themeColor="text1"/>
          <w:szCs w:val="28"/>
          <w:lang w:val="en-US" w:eastAsia="zh-CN"/>
          <w14:textFill>
            <w14:solidFill>
              <w14:schemeClr w14:val="tx1"/>
            </w14:solidFill>
          </w14:textFill>
        </w:rPr>
        <w:t>4</w:t>
      </w:r>
      <w:r>
        <w:rPr>
          <w:rFonts w:hint="eastAsia" w:eastAsiaTheme="minorEastAsia"/>
          <w:color w:val="000000" w:themeColor="text1"/>
          <w:szCs w:val="28"/>
          <w14:textFill>
            <w14:solidFill>
              <w14:schemeClr w14:val="tx1"/>
            </w14:solidFill>
          </w14:textFill>
        </w:rPr>
        <w:t>月-</w:t>
      </w:r>
      <w:r>
        <w:rPr>
          <w:rFonts w:hint="eastAsia" w:eastAsiaTheme="minorEastAsia"/>
          <w:color w:val="000000" w:themeColor="text1"/>
          <w:szCs w:val="28"/>
          <w:lang w:val="en-US" w:eastAsia="zh-CN"/>
          <w14:textFill>
            <w14:solidFill>
              <w14:schemeClr w14:val="tx1"/>
            </w14:solidFill>
          </w14:textFill>
        </w:rPr>
        <w:t>8</w:t>
      </w:r>
      <w:r>
        <w:rPr>
          <w:rFonts w:hint="eastAsia" w:eastAsiaTheme="minorEastAsia"/>
          <w:color w:val="000000" w:themeColor="text1"/>
          <w:szCs w:val="28"/>
          <w14:textFill>
            <w14:solidFill>
              <w14:schemeClr w14:val="tx1"/>
            </w14:solidFill>
          </w14:textFill>
        </w:rPr>
        <w:t>月</w:t>
      </w:r>
      <w:r>
        <w:rPr>
          <w:rFonts w:eastAsiaTheme="minorEastAsia"/>
          <w:color w:val="000000" w:themeColor="text1"/>
          <w:szCs w:val="28"/>
          <w14:textFill>
            <w14:solidFill>
              <w14:schemeClr w14:val="tx1"/>
            </w14:solidFill>
          </w14:textFill>
        </w:rPr>
        <w:t>，</w:t>
      </w:r>
      <w:r>
        <w:rPr>
          <w:rFonts w:hint="eastAsia" w:eastAsiaTheme="minorEastAsia"/>
          <w:color w:val="000000" w:themeColor="text1"/>
          <w:szCs w:val="28"/>
          <w14:textFill>
            <w14:solidFill>
              <w14:schemeClr w14:val="tx1"/>
            </w14:solidFill>
          </w14:textFill>
        </w:rPr>
        <w:t>编制组查阅和参考了相关标准和相关文献，并</w:t>
      </w:r>
      <w:r>
        <w:rPr>
          <w:rFonts w:eastAsiaTheme="minorEastAsia"/>
          <w:color w:val="000000" w:themeColor="text1"/>
          <w:szCs w:val="28"/>
          <w14:textFill>
            <w14:solidFill>
              <w14:schemeClr w14:val="tx1"/>
            </w14:solidFill>
          </w14:textFill>
        </w:rPr>
        <w:t>对</w:t>
      </w:r>
      <w:r>
        <w:rPr>
          <w:rFonts w:hint="eastAsia" w:eastAsiaTheme="minorEastAsia"/>
          <w:color w:val="000000" w:themeColor="text1"/>
          <w:szCs w:val="28"/>
          <w:lang w:val="en-US" w:eastAsia="zh-CN"/>
          <w14:textFill>
            <w14:solidFill>
              <w14:schemeClr w14:val="tx1"/>
            </w14:solidFill>
          </w14:textFill>
        </w:rPr>
        <w:t>防腐木</w:t>
      </w:r>
      <w:r>
        <w:rPr>
          <w:rFonts w:eastAsiaTheme="minorEastAsia"/>
          <w:color w:val="000000" w:themeColor="text1"/>
          <w:szCs w:val="28"/>
          <w14:textFill>
            <w14:solidFill>
              <w14:schemeClr w14:val="tx1"/>
            </w14:solidFill>
          </w14:textFill>
        </w:rPr>
        <w:t>企业进行</w:t>
      </w:r>
      <w:r>
        <w:rPr>
          <w:rFonts w:hint="eastAsia" w:eastAsiaTheme="minorEastAsia"/>
          <w:color w:val="000000" w:themeColor="text1"/>
          <w:szCs w:val="28"/>
          <w14:textFill>
            <w14:solidFill>
              <w14:schemeClr w14:val="tx1"/>
            </w14:solidFill>
          </w14:textFill>
        </w:rPr>
        <w:t>实地调研</w:t>
      </w:r>
      <w:r>
        <w:rPr>
          <w:rFonts w:eastAsiaTheme="minorEastAsia"/>
          <w:color w:val="000000" w:themeColor="text1"/>
          <w:szCs w:val="28"/>
          <w14:textFill>
            <w14:solidFill>
              <w14:schemeClr w14:val="tx1"/>
            </w14:solidFill>
          </w14:textFill>
        </w:rPr>
        <w:t>，</w:t>
      </w:r>
      <w:r>
        <w:rPr>
          <w:rFonts w:hint="eastAsia" w:eastAsiaTheme="minorEastAsia"/>
          <w:color w:val="000000" w:themeColor="text1"/>
          <w:szCs w:val="28"/>
          <w14:textFill>
            <w14:solidFill>
              <w14:schemeClr w14:val="tx1"/>
            </w14:solidFill>
          </w14:textFill>
        </w:rPr>
        <w:t>搜集并分析了相关信息，编制完成标准草案。</w:t>
      </w:r>
    </w:p>
    <w:p w14:paraId="14250029">
      <w:pPr>
        <w:spacing w:line="360" w:lineRule="auto"/>
        <w:ind w:firstLine="480" w:firstLineChars="200"/>
        <w:jc w:val="both"/>
        <w:rPr>
          <w:rFonts w:hint="eastAsia" w:eastAsiaTheme="minorEastAsia"/>
          <w:color w:val="000000" w:themeColor="text1"/>
          <w:szCs w:val="28"/>
          <w:lang w:val="en-US" w:eastAsia="zh-CN"/>
          <w14:textFill>
            <w14:solidFill>
              <w14:schemeClr w14:val="tx1"/>
            </w14:solidFill>
          </w14:textFill>
        </w:rPr>
      </w:pPr>
      <w:r>
        <w:rPr>
          <w:rFonts w:hint="eastAsia" w:eastAsiaTheme="minorEastAsia"/>
          <w:color w:val="000000" w:themeColor="text1"/>
          <w:szCs w:val="28"/>
          <w:lang w:val="en-US" w:eastAsia="zh-CN"/>
          <w14:textFill>
            <w14:solidFill>
              <w14:schemeClr w14:val="tx1"/>
            </w14:solidFill>
          </w14:textFill>
        </w:rPr>
        <w:t>2024年8月6日，编制组组织召开标准工作研讨会，在会议上讨论了标准的主要内容。</w:t>
      </w:r>
    </w:p>
    <w:p w14:paraId="0BF7D4A7">
      <w:pPr>
        <w:spacing w:line="360" w:lineRule="auto"/>
        <w:ind w:firstLine="480" w:firstLineChars="200"/>
        <w:jc w:val="both"/>
        <w:rPr>
          <w:rFonts w:hint="eastAsia" w:eastAsiaTheme="minorEastAsia"/>
          <w:color w:val="000000" w:themeColor="text1"/>
          <w:szCs w:val="28"/>
          <w:lang w:val="en-US" w:eastAsia="zh-CN"/>
          <w14:textFill>
            <w14:solidFill>
              <w14:schemeClr w14:val="tx1"/>
            </w14:solidFill>
          </w14:textFill>
        </w:rPr>
      </w:pPr>
      <w:r>
        <w:rPr>
          <w:rFonts w:hint="eastAsia" w:eastAsiaTheme="minorEastAsia"/>
          <w:color w:val="000000" w:themeColor="text1"/>
          <w:szCs w:val="28"/>
          <w:lang w:val="en-US" w:eastAsia="zh-CN"/>
          <w14:textFill>
            <w14:solidFill>
              <w14:schemeClr w14:val="tx1"/>
            </w14:solidFill>
          </w14:textFill>
        </w:rPr>
        <w:t>2024年9—12月，编制组进一步完善了标准草稿，补充相关参数信息。</w:t>
      </w:r>
    </w:p>
    <w:p w14:paraId="618DFBDF">
      <w:pPr>
        <w:spacing w:line="360" w:lineRule="auto"/>
        <w:ind w:firstLine="480" w:firstLineChars="200"/>
        <w:jc w:val="both"/>
        <w:rPr>
          <w:rFonts w:hint="eastAsia" w:eastAsiaTheme="minorEastAsia"/>
          <w:color w:val="000000" w:themeColor="text1"/>
          <w:szCs w:val="28"/>
          <w:lang w:val="en-US" w:eastAsia="zh-CN"/>
          <w14:textFill>
            <w14:solidFill>
              <w14:schemeClr w14:val="tx1"/>
            </w14:solidFill>
          </w14:textFill>
        </w:rPr>
      </w:pPr>
      <w:r>
        <w:rPr>
          <w:rFonts w:hint="eastAsia" w:eastAsiaTheme="minorEastAsia"/>
          <w:color w:val="000000" w:themeColor="text1"/>
          <w:szCs w:val="28"/>
          <w:lang w:val="en-US" w:eastAsia="zh-CN"/>
          <w14:textFill>
            <w14:solidFill>
              <w14:schemeClr w14:val="tx1"/>
            </w14:solidFill>
          </w14:textFill>
        </w:rPr>
        <w:t>2025年3月19日，编制组对标准草稿进行了讨论，进一步明确了相关参数，标准征求意见稿（初稿）。</w:t>
      </w:r>
    </w:p>
    <w:p w14:paraId="7AB9E54D">
      <w:pPr>
        <w:spacing w:line="360" w:lineRule="auto"/>
        <w:ind w:firstLine="480" w:firstLineChars="200"/>
        <w:jc w:val="both"/>
        <w:rPr>
          <w:rFonts w:hint="eastAsia" w:eastAsiaTheme="minorEastAsia"/>
          <w:color w:val="000000" w:themeColor="text1"/>
          <w:szCs w:val="28"/>
          <w:lang w:val="en-US" w:eastAsia="zh-CN"/>
          <w14:textFill>
            <w14:solidFill>
              <w14:schemeClr w14:val="tx1"/>
            </w14:solidFill>
          </w14:textFill>
        </w:rPr>
      </w:pPr>
      <w:r>
        <w:rPr>
          <w:rFonts w:hint="eastAsia" w:eastAsiaTheme="minorEastAsia"/>
          <w:color w:val="000000" w:themeColor="text1"/>
          <w:szCs w:val="28"/>
          <w:lang w:val="en-US" w:eastAsia="zh-CN"/>
          <w14:textFill>
            <w14:solidFill>
              <w14:schemeClr w14:val="tx1"/>
            </w14:solidFill>
          </w14:textFill>
        </w:rPr>
        <w:t>2025年4—8月，编制组对标准征求意见稿（初稿）进一步补充完善，形成了征求意见稿。</w:t>
      </w:r>
    </w:p>
    <w:p w14:paraId="72F6BF50">
      <w:pPr>
        <w:spacing w:line="360" w:lineRule="auto"/>
        <w:ind w:firstLine="480" w:firstLineChars="200"/>
        <w:jc w:val="both"/>
        <w:rPr>
          <w:rFonts w:hint="default" w:eastAsiaTheme="minorEastAsia"/>
          <w:color w:val="000000" w:themeColor="text1"/>
          <w:szCs w:val="28"/>
          <w:highlight w:val="yellow"/>
          <w:lang w:val="en-US" w:eastAsia="zh-CN"/>
          <w14:textFill>
            <w14:solidFill>
              <w14:schemeClr w14:val="tx1"/>
            </w14:solidFill>
          </w14:textFill>
        </w:rPr>
      </w:pPr>
      <w:r>
        <w:rPr>
          <w:rFonts w:hint="eastAsia" w:eastAsiaTheme="minorEastAsia"/>
          <w:color w:val="000000" w:themeColor="text1"/>
          <w:szCs w:val="28"/>
          <w:lang w:val="en-US" w:eastAsia="zh-CN"/>
          <w14:textFill>
            <w14:solidFill>
              <w14:schemeClr w14:val="tx1"/>
            </w14:solidFill>
          </w14:textFill>
        </w:rPr>
        <w:t>2025年9月—10月，在中国建筑材料联合会官网进行为期45天的公开征求意见。</w:t>
      </w:r>
    </w:p>
    <w:p w14:paraId="2D191A60">
      <w:pPr>
        <w:pStyle w:val="10"/>
        <w:spacing w:before="326" w:beforeLines="100" w:after="326" w:afterLines="100"/>
        <w:rPr>
          <w:rFonts w:ascii="Times New Roman"/>
          <w:color w:val="000000" w:themeColor="text1"/>
          <w:sz w:val="28"/>
          <w:szCs w:val="28"/>
          <w14:textFill>
            <w14:solidFill>
              <w14:schemeClr w14:val="tx1"/>
            </w14:solidFill>
          </w14:textFill>
        </w:rPr>
      </w:pPr>
      <w:bookmarkStart w:id="9" w:name="_Toc10897"/>
      <w:r>
        <w:rPr>
          <w:rFonts w:ascii="Times New Roman"/>
          <w:color w:val="000000" w:themeColor="text1"/>
          <w:sz w:val="28"/>
          <w:szCs w:val="28"/>
          <w14:textFill>
            <w14:solidFill>
              <w14:schemeClr w14:val="tx1"/>
            </w14:solidFill>
          </w14:textFill>
        </w:rPr>
        <w:t>2 标准</w:t>
      </w:r>
      <w:r>
        <w:rPr>
          <w:rFonts w:hint="eastAsia" w:ascii="Times New Roman"/>
          <w:color w:val="000000" w:themeColor="text1"/>
          <w:sz w:val="28"/>
          <w:szCs w:val="28"/>
          <w:lang w:val="en-US" w:eastAsia="zh-CN"/>
          <w14:textFill>
            <w14:solidFill>
              <w14:schemeClr w14:val="tx1"/>
            </w14:solidFill>
          </w14:textFill>
        </w:rPr>
        <w:t>修订</w:t>
      </w:r>
      <w:r>
        <w:rPr>
          <w:rFonts w:ascii="Times New Roman"/>
          <w:color w:val="000000" w:themeColor="text1"/>
          <w:sz w:val="28"/>
          <w:szCs w:val="28"/>
          <w14:textFill>
            <w14:solidFill>
              <w14:schemeClr w14:val="tx1"/>
            </w14:solidFill>
          </w14:textFill>
        </w:rPr>
        <w:t>的原则和主要内容</w:t>
      </w:r>
      <w:bookmarkEnd w:id="9"/>
    </w:p>
    <w:p w14:paraId="3715AB58">
      <w:pPr>
        <w:pStyle w:val="11"/>
        <w:spacing w:before="163" w:beforeLines="50" w:after="163" w:afterLines="50" w:line="500" w:lineRule="exact"/>
        <w:rPr>
          <w:color w:val="000000" w:themeColor="text1"/>
          <w:sz w:val="24"/>
          <w:szCs w:val="24"/>
          <w14:textFill>
            <w14:solidFill>
              <w14:schemeClr w14:val="tx1"/>
            </w14:solidFill>
          </w14:textFill>
        </w:rPr>
      </w:pPr>
      <w:bookmarkStart w:id="10" w:name="_Toc12672"/>
      <w:bookmarkStart w:id="11" w:name="_Toc3975"/>
      <w:r>
        <w:rPr>
          <w:color w:val="000000" w:themeColor="text1"/>
          <w:sz w:val="24"/>
          <w:szCs w:val="24"/>
          <w14:textFill>
            <w14:solidFill>
              <w14:schemeClr w14:val="tx1"/>
            </w14:solidFill>
          </w14:textFill>
        </w:rPr>
        <w:t>2.1 标准</w:t>
      </w:r>
      <w:r>
        <w:rPr>
          <w:rFonts w:hint="eastAsia"/>
          <w:color w:val="000000" w:themeColor="text1"/>
          <w:sz w:val="24"/>
          <w:szCs w:val="24"/>
          <w:lang w:val="en-US" w:eastAsia="zh-CN"/>
          <w14:textFill>
            <w14:solidFill>
              <w14:schemeClr w14:val="tx1"/>
            </w14:solidFill>
          </w14:textFill>
        </w:rPr>
        <w:t>修订</w:t>
      </w:r>
      <w:r>
        <w:rPr>
          <w:color w:val="000000" w:themeColor="text1"/>
          <w:sz w:val="24"/>
          <w:szCs w:val="24"/>
          <w14:textFill>
            <w14:solidFill>
              <w14:schemeClr w14:val="tx1"/>
            </w14:solidFill>
          </w14:textFill>
        </w:rPr>
        <w:t>的原则</w:t>
      </w:r>
      <w:bookmarkEnd w:id="10"/>
      <w:bookmarkEnd w:id="11"/>
    </w:p>
    <w:p w14:paraId="3CD490FD">
      <w:pPr>
        <w:spacing w:line="360" w:lineRule="auto"/>
        <w:ind w:firstLine="48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本</w:t>
      </w:r>
      <w:r>
        <w:rPr>
          <w:color w:val="000000" w:themeColor="text1"/>
          <w14:textFill>
            <w14:solidFill>
              <w14:schemeClr w14:val="tx1"/>
            </w14:solidFill>
          </w14:textFill>
        </w:rPr>
        <w:t>标准</w:t>
      </w:r>
      <w:r>
        <w:rPr>
          <w:rFonts w:hint="eastAsia"/>
          <w:color w:val="000000" w:themeColor="text1"/>
          <w14:textFill>
            <w14:solidFill>
              <w14:schemeClr w14:val="tx1"/>
            </w14:solidFill>
          </w14:textFill>
        </w:rPr>
        <w:t>按GB</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T</w:t>
      </w:r>
      <w:r>
        <w:rPr>
          <w:color w:val="000000" w:themeColor="text1"/>
          <w14:textFill>
            <w14:solidFill>
              <w14:schemeClr w14:val="tx1"/>
            </w14:solidFill>
          </w14:textFill>
        </w:rPr>
        <w:t xml:space="preserve"> 1.1-2020</w:t>
      </w:r>
      <w:r>
        <w:rPr>
          <w:rFonts w:hint="eastAsia"/>
          <w:color w:val="000000" w:themeColor="text1"/>
          <w14:textFill>
            <w14:solidFill>
              <w14:schemeClr w14:val="tx1"/>
            </w14:solidFill>
          </w14:textFill>
        </w:rPr>
        <w:t>《标准化工作导则 第1部分：标准化文件的结构和起草规则》编制</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符合国家现行法律、法规政策文件要求。</w:t>
      </w:r>
    </w:p>
    <w:p w14:paraId="26D04F2F">
      <w:pPr>
        <w:spacing w:line="360" w:lineRule="auto"/>
        <w:ind w:firstLine="480"/>
        <w:jc w:val="both"/>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修订</w:t>
      </w:r>
      <w:r>
        <w:rPr>
          <w:rFonts w:hint="eastAsia"/>
          <w:color w:val="000000" w:themeColor="text1"/>
          <w14:textFill>
            <w14:solidFill>
              <w14:schemeClr w14:val="tx1"/>
            </w14:solidFill>
          </w14:textFill>
        </w:rPr>
        <w:t>过程中遵循以下原则：</w:t>
      </w:r>
    </w:p>
    <w:p w14:paraId="6DA51594">
      <w:pPr>
        <w:spacing w:line="360" w:lineRule="auto"/>
        <w:ind w:firstLine="48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科学性与先进性：结合当前木材防腐领域的最新研究成果和技术发展，对标准内容进行更新和完善，确保标准的技术水平处于行业领先地位。</w:t>
      </w:r>
    </w:p>
    <w:p w14:paraId="73B99D46">
      <w:pPr>
        <w:spacing w:line="360" w:lineRule="auto"/>
        <w:ind w:firstLine="48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实用性与可操作性：充分考虑行业实际应用需求，确保标准中的各项条款清晰明确、易于理解和执行，便于企业和检测机构在实际操作中应用。</w:t>
      </w:r>
    </w:p>
    <w:p w14:paraId="45C82AB5">
      <w:pPr>
        <w:spacing w:line="360" w:lineRule="auto"/>
        <w:ind w:firstLine="48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协调性与一致性：与相关国家标准和行业标准保持协调一致，避免出现冲突或重复，确保整个标准</w:t>
      </w:r>
      <w:r>
        <w:rPr>
          <w:rFonts w:hint="eastAsia" w:eastAsiaTheme="minorEastAsia"/>
          <w:color w:val="000000" w:themeColor="text1"/>
          <w:szCs w:val="28"/>
          <w14:textFill>
            <w14:solidFill>
              <w14:schemeClr w14:val="tx1"/>
            </w14:solidFill>
          </w14:textFill>
        </w:rPr>
        <w:t>体系</w:t>
      </w:r>
      <w:r>
        <w:rPr>
          <w:rFonts w:hint="eastAsia"/>
          <w:color w:val="000000" w:themeColor="text1"/>
          <w14:textFill>
            <w14:solidFill>
              <w14:schemeClr w14:val="tx1"/>
            </w14:solidFill>
          </w14:textFill>
        </w:rPr>
        <w:t>的完整性和统一性。</w:t>
      </w:r>
    </w:p>
    <w:p w14:paraId="2300387B">
      <w:pPr>
        <w:pStyle w:val="11"/>
        <w:spacing w:before="163" w:beforeLines="50" w:after="163" w:afterLines="50" w:line="500" w:lineRule="exact"/>
        <w:rPr>
          <w:rFonts w:hint="eastAsia"/>
          <w:color w:val="000000" w:themeColor="text1"/>
          <w:sz w:val="24"/>
          <w:szCs w:val="24"/>
          <w14:textFill>
            <w14:solidFill>
              <w14:schemeClr w14:val="tx1"/>
            </w14:solidFill>
          </w14:textFill>
        </w:rPr>
      </w:pPr>
      <w:bookmarkStart w:id="12" w:name="_Toc21477"/>
      <w:bookmarkStart w:id="13" w:name="_Toc20896"/>
      <w:r>
        <w:rPr>
          <w:rFonts w:hint="eastAsia"/>
          <w:color w:val="000000" w:themeColor="text1"/>
          <w:sz w:val="24"/>
          <w:szCs w:val="24"/>
          <w14:textFill>
            <w14:solidFill>
              <w14:schemeClr w14:val="tx1"/>
            </w14:solidFill>
          </w14:textFill>
        </w:rPr>
        <w:t>2.2 标准</w:t>
      </w:r>
      <w:r>
        <w:rPr>
          <w:rFonts w:hint="eastAsia"/>
          <w:color w:val="000000" w:themeColor="text1"/>
          <w:sz w:val="24"/>
          <w:szCs w:val="24"/>
          <w:lang w:val="en-US" w:eastAsia="zh-CN"/>
          <w14:textFill>
            <w14:solidFill>
              <w14:schemeClr w14:val="tx1"/>
            </w14:solidFill>
          </w14:textFill>
        </w:rPr>
        <w:t>修订</w:t>
      </w:r>
      <w:r>
        <w:rPr>
          <w:rFonts w:hint="eastAsia"/>
          <w:color w:val="000000" w:themeColor="text1"/>
          <w:sz w:val="24"/>
          <w:szCs w:val="24"/>
          <w14:textFill>
            <w14:solidFill>
              <w14:schemeClr w14:val="tx1"/>
            </w14:solidFill>
          </w14:textFill>
        </w:rPr>
        <w:t>的主要内容</w:t>
      </w:r>
      <w:bookmarkEnd w:id="12"/>
      <w:bookmarkEnd w:id="13"/>
    </w:p>
    <w:p w14:paraId="07EE083F">
      <w:pPr>
        <w:spacing w:line="360" w:lineRule="auto"/>
        <w:ind w:firstLine="480"/>
        <w:jc w:val="both"/>
        <w:rPr>
          <w:rFonts w:hint="default"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（一）</w:t>
      </w:r>
      <w:r>
        <w:rPr>
          <w:rFonts w:hint="eastAsia" w:eastAsiaTheme="minorEastAsia"/>
          <w:color w:val="000000" w:themeColor="text1"/>
          <w:szCs w:val="28"/>
          <w:lang w:val="en-US" w:eastAsia="zh-CN"/>
          <w14:textFill>
            <w14:solidFill>
              <w14:schemeClr w14:val="tx1"/>
            </w14:solidFill>
          </w14:textFill>
        </w:rPr>
        <w:t>标准名称</w:t>
      </w:r>
    </w:p>
    <w:p w14:paraId="3F0F127F">
      <w:pPr>
        <w:spacing w:line="360" w:lineRule="auto"/>
        <w:ind w:firstLine="480"/>
        <w:jc w:val="both"/>
        <w:rPr>
          <w:rFonts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原标准：</w:t>
      </w:r>
      <w:r>
        <w:rPr>
          <w:rFonts w:hint="eastAsia" w:eastAsiaTheme="minorEastAsia"/>
          <w:color w:val="000000" w:themeColor="text1"/>
          <w:szCs w:val="28"/>
          <w:lang w:val="en-US" w:eastAsia="zh-CN"/>
          <w14:textFill>
            <w14:solidFill>
              <w14:schemeClr w14:val="tx1"/>
            </w14:solidFill>
          </w14:textFill>
        </w:rPr>
        <w:t>建筑用加压处理防腐木材</w:t>
      </w:r>
      <w:r>
        <w:rPr>
          <w:rFonts w:eastAsiaTheme="minorEastAsia"/>
          <w:color w:val="000000" w:themeColor="text1"/>
          <w:szCs w:val="28"/>
          <w:lang w:val="en-US" w:eastAsia="zh-CN"/>
          <w14:textFill>
            <w14:solidFill>
              <w14:schemeClr w14:val="tx1"/>
            </w14:solidFill>
          </w14:textFill>
        </w:rPr>
        <w:t>。</w:t>
      </w:r>
    </w:p>
    <w:p w14:paraId="28CF4DD9">
      <w:pPr>
        <w:spacing w:line="360" w:lineRule="auto"/>
        <w:ind w:firstLine="480"/>
        <w:jc w:val="both"/>
        <w:rPr>
          <w:rFonts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修订后标准：</w:t>
      </w:r>
      <w:r>
        <w:rPr>
          <w:rFonts w:hint="eastAsia" w:eastAsiaTheme="minorEastAsia"/>
          <w:color w:val="000000" w:themeColor="text1"/>
          <w:szCs w:val="28"/>
          <w:lang w:val="en-US" w:eastAsia="zh-CN"/>
          <w14:textFill>
            <w14:solidFill>
              <w14:schemeClr w14:val="tx1"/>
            </w14:solidFill>
          </w14:textFill>
        </w:rPr>
        <w:t>建筑用防腐木材技术规范</w:t>
      </w:r>
      <w:r>
        <w:rPr>
          <w:rFonts w:eastAsiaTheme="minorEastAsia"/>
          <w:color w:val="000000" w:themeColor="text1"/>
          <w:szCs w:val="28"/>
          <w:lang w:val="en-US" w:eastAsia="zh-CN"/>
          <w14:textFill>
            <w14:solidFill>
              <w14:schemeClr w14:val="tx1"/>
            </w14:solidFill>
          </w14:textFill>
        </w:rPr>
        <w:t>。</w:t>
      </w:r>
    </w:p>
    <w:p w14:paraId="5826E5CF">
      <w:pPr>
        <w:spacing w:line="360" w:lineRule="auto"/>
        <w:ind w:firstLine="480"/>
        <w:jc w:val="both"/>
        <w:rPr>
          <w:rFonts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修订原因：</w:t>
      </w:r>
      <w:r>
        <w:rPr>
          <w:rFonts w:hint="eastAsia" w:eastAsiaTheme="minorEastAsia"/>
          <w:color w:val="000000" w:themeColor="text1"/>
          <w:szCs w:val="28"/>
          <w:lang w:val="en-US" w:eastAsia="zh-CN"/>
          <w14:textFill>
            <w14:solidFill>
              <w14:schemeClr w14:val="tx1"/>
            </w14:solidFill>
          </w14:textFill>
        </w:rPr>
        <w:t>原名称无法覆盖新增的技术指标要求</w:t>
      </w:r>
      <w:r>
        <w:rPr>
          <w:rFonts w:eastAsiaTheme="minorEastAsia"/>
          <w:color w:val="000000" w:themeColor="text1"/>
          <w:szCs w:val="28"/>
          <w:lang w:val="en-US" w:eastAsia="zh-CN"/>
          <w14:textFill>
            <w14:solidFill>
              <w14:schemeClr w14:val="tx1"/>
            </w14:solidFill>
          </w14:textFill>
        </w:rPr>
        <w:t>。</w:t>
      </w:r>
    </w:p>
    <w:p w14:paraId="0DE4AC53">
      <w:pPr>
        <w:spacing w:line="360" w:lineRule="auto"/>
        <w:ind w:firstLine="480"/>
        <w:jc w:val="both"/>
        <w:rPr>
          <w:rFonts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（二）</w:t>
      </w:r>
      <w:r>
        <w:rPr>
          <w:rFonts w:hint="eastAsia" w:eastAsiaTheme="minorEastAsia"/>
          <w:color w:val="000000" w:themeColor="text1"/>
          <w:szCs w:val="28"/>
          <w:lang w:val="en-US" w:eastAsia="zh-CN"/>
          <w14:textFill>
            <w14:solidFill>
              <w14:schemeClr w14:val="tx1"/>
            </w14:solidFill>
          </w14:textFill>
        </w:rPr>
        <w:t>范围</w:t>
      </w:r>
    </w:p>
    <w:p w14:paraId="17ABB399">
      <w:pPr>
        <w:spacing w:line="360" w:lineRule="auto"/>
        <w:ind w:firstLine="480"/>
        <w:jc w:val="both"/>
        <w:rPr>
          <w:rFonts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原标准：</w:t>
      </w:r>
      <w:r>
        <w:rPr>
          <w:rFonts w:hint="eastAsia" w:eastAsiaTheme="minorEastAsia"/>
          <w:color w:val="000000" w:themeColor="text1"/>
          <w:szCs w:val="28"/>
          <w:lang w:val="en-US" w:eastAsia="zh-CN"/>
          <w14:textFill>
            <w14:solidFill>
              <w14:schemeClr w14:val="tx1"/>
            </w14:solidFill>
          </w14:textFill>
        </w:rPr>
        <w:t>本标准适用于建造房屋、桥梁、景观、园林等建筑物使用的加压处理防腐木材。</w:t>
      </w:r>
      <w:r>
        <w:rPr>
          <w:rFonts w:eastAsiaTheme="minorEastAsia"/>
          <w:color w:val="000000" w:themeColor="text1"/>
          <w:szCs w:val="28"/>
          <w:lang w:val="en-US" w:eastAsia="zh-CN"/>
          <w14:textFill>
            <w14:solidFill>
              <w14:schemeClr w14:val="tx1"/>
            </w14:solidFill>
          </w14:textFill>
        </w:rPr>
        <w:t>修订后标准：</w:t>
      </w:r>
      <w:r>
        <w:rPr>
          <w:rFonts w:hint="eastAsia" w:eastAsiaTheme="minorEastAsia"/>
          <w:color w:val="000000" w:themeColor="text1"/>
          <w:szCs w:val="28"/>
          <w:lang w:val="en-US" w:eastAsia="zh-CN"/>
          <w14:textFill>
            <w14:solidFill>
              <w14:schemeClr w14:val="tx1"/>
            </w14:solidFill>
          </w14:textFill>
        </w:rPr>
        <w:t>本文件适用于建造住宅，桥梁，体育馆，景观，园林、古建等建筑物使用的防腐木材的生产、施工、质量验收。</w:t>
      </w:r>
    </w:p>
    <w:p w14:paraId="33ACE7C4">
      <w:pPr>
        <w:spacing w:line="360" w:lineRule="auto"/>
        <w:ind w:firstLine="480"/>
        <w:jc w:val="both"/>
        <w:rPr>
          <w:rFonts w:hint="default"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修订原因：</w:t>
      </w:r>
      <w:r>
        <w:rPr>
          <w:rFonts w:hint="eastAsia" w:eastAsiaTheme="minorEastAsia"/>
          <w:color w:val="000000" w:themeColor="text1"/>
          <w:szCs w:val="28"/>
          <w:lang w:val="en-US" w:eastAsia="zh-CN"/>
          <w14:textFill>
            <w14:solidFill>
              <w14:schemeClr w14:val="tx1"/>
            </w14:solidFill>
          </w14:textFill>
        </w:rPr>
        <w:t>新增体育馆、古建领域以贴合市场，并与新标准名称对应。</w:t>
      </w:r>
    </w:p>
    <w:p w14:paraId="1C798A41">
      <w:pPr>
        <w:spacing w:line="360" w:lineRule="auto"/>
        <w:ind w:firstLine="480"/>
        <w:jc w:val="both"/>
        <w:rPr>
          <w:rFonts w:hint="default"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（三）</w:t>
      </w:r>
      <w:r>
        <w:rPr>
          <w:rFonts w:hint="eastAsia" w:eastAsiaTheme="minorEastAsia"/>
          <w:color w:val="000000" w:themeColor="text1"/>
          <w:szCs w:val="28"/>
          <w:lang w:val="en-US" w:eastAsia="zh-CN"/>
          <w14:textFill>
            <w14:solidFill>
              <w14:schemeClr w14:val="tx1"/>
            </w14:solidFill>
          </w14:textFill>
        </w:rPr>
        <w:t>术语和定义</w:t>
      </w:r>
    </w:p>
    <w:p w14:paraId="4F0F12DE">
      <w:pPr>
        <w:spacing w:line="360" w:lineRule="auto"/>
        <w:ind w:firstLine="480"/>
        <w:jc w:val="both"/>
        <w:rPr>
          <w:rFonts w:hint="default"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原标准：</w:t>
      </w:r>
      <w:r>
        <w:rPr>
          <w:rFonts w:hint="eastAsia" w:eastAsiaTheme="minorEastAsia"/>
          <w:color w:val="000000" w:themeColor="text1"/>
          <w:szCs w:val="28"/>
          <w:lang w:val="en-US" w:eastAsia="zh-CN"/>
          <w14:textFill>
            <w14:solidFill>
              <w14:schemeClr w14:val="tx1"/>
            </w14:solidFill>
          </w14:textFill>
        </w:rPr>
        <w:t>无</w:t>
      </w:r>
    </w:p>
    <w:p w14:paraId="1EBF2E8F">
      <w:pPr>
        <w:spacing w:line="360" w:lineRule="auto"/>
        <w:ind w:firstLine="480"/>
        <w:jc w:val="both"/>
        <w:rPr>
          <w:rFonts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修订后标准：增加了</w:t>
      </w:r>
      <w:r>
        <w:rPr>
          <w:rFonts w:hint="eastAsia" w:eastAsiaTheme="minorEastAsia"/>
          <w:color w:val="000000" w:themeColor="text1"/>
          <w:szCs w:val="28"/>
          <w:lang w:val="en-US" w:eastAsia="zh-CN"/>
          <w14:textFill>
            <w14:solidFill>
              <w14:schemeClr w14:val="tx1"/>
            </w14:solidFill>
          </w14:textFill>
        </w:rPr>
        <w:t>防腐木材、承重结构防腐木材、非承重结构防腐木材的术语定义</w:t>
      </w:r>
      <w:r>
        <w:rPr>
          <w:rFonts w:eastAsiaTheme="minorEastAsia"/>
          <w:color w:val="000000" w:themeColor="text1"/>
          <w:szCs w:val="28"/>
          <w:lang w:val="en-US" w:eastAsia="zh-CN"/>
          <w14:textFill>
            <w14:solidFill>
              <w14:schemeClr w14:val="tx1"/>
            </w14:solidFill>
          </w14:textFill>
        </w:rPr>
        <w:t>。</w:t>
      </w:r>
    </w:p>
    <w:p w14:paraId="7AF90B98">
      <w:pPr>
        <w:spacing w:line="360" w:lineRule="auto"/>
        <w:ind w:firstLine="480"/>
        <w:jc w:val="both"/>
        <w:rPr>
          <w:rFonts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修订原因：</w:t>
      </w:r>
      <w:r>
        <w:rPr>
          <w:rFonts w:hint="eastAsia" w:eastAsiaTheme="minorEastAsia"/>
          <w:color w:val="000000" w:themeColor="text1"/>
          <w:szCs w:val="28"/>
          <w:lang w:val="en-US" w:eastAsia="zh-CN"/>
          <w14:textFill>
            <w14:solidFill>
              <w14:schemeClr w14:val="tx1"/>
            </w14:solidFill>
          </w14:textFill>
        </w:rPr>
        <w:t>明确承重结构和非承重结构防腐木材的差异</w:t>
      </w:r>
      <w:r>
        <w:rPr>
          <w:rFonts w:eastAsiaTheme="minorEastAsia"/>
          <w:color w:val="000000" w:themeColor="text1"/>
          <w:szCs w:val="28"/>
          <w:lang w:val="en-US" w:eastAsia="zh-CN"/>
          <w14:textFill>
            <w14:solidFill>
              <w14:schemeClr w14:val="tx1"/>
            </w14:solidFill>
          </w14:textFill>
        </w:rPr>
        <w:t>。</w:t>
      </w:r>
    </w:p>
    <w:p w14:paraId="4799B0DF">
      <w:pPr>
        <w:spacing w:line="360" w:lineRule="auto"/>
        <w:ind w:firstLine="480"/>
        <w:jc w:val="both"/>
        <w:rPr>
          <w:rFonts w:hint="default"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（四）</w:t>
      </w:r>
      <w:r>
        <w:rPr>
          <w:rFonts w:hint="eastAsia" w:eastAsiaTheme="minorEastAsia"/>
          <w:color w:val="000000" w:themeColor="text1"/>
          <w:szCs w:val="28"/>
          <w:lang w:val="en-US" w:eastAsia="zh-CN"/>
          <w14:textFill>
            <w14:solidFill>
              <w14:schemeClr w14:val="tx1"/>
            </w14:solidFill>
          </w14:textFill>
        </w:rPr>
        <w:t>产品分类</w:t>
      </w:r>
    </w:p>
    <w:p w14:paraId="154FB61C">
      <w:pPr>
        <w:spacing w:line="360" w:lineRule="auto"/>
        <w:ind w:firstLine="480"/>
        <w:jc w:val="both"/>
        <w:rPr>
          <w:rFonts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原标准：</w:t>
      </w:r>
      <w:r>
        <w:rPr>
          <w:rFonts w:hint="eastAsia" w:eastAsiaTheme="minorEastAsia"/>
          <w:color w:val="000000" w:themeColor="text1"/>
          <w:szCs w:val="28"/>
          <w:lang w:val="en-US" w:eastAsia="zh-CN"/>
          <w14:textFill>
            <w14:solidFill>
              <w14:schemeClr w14:val="tx1"/>
            </w14:solidFill>
          </w14:textFill>
        </w:rPr>
        <w:t>无</w:t>
      </w:r>
      <w:r>
        <w:rPr>
          <w:rFonts w:eastAsiaTheme="minorEastAsia"/>
          <w:color w:val="000000" w:themeColor="text1"/>
          <w:szCs w:val="28"/>
          <w:lang w:val="en-US" w:eastAsia="zh-CN"/>
          <w14:textFill>
            <w14:solidFill>
              <w14:schemeClr w14:val="tx1"/>
            </w14:solidFill>
          </w14:textFill>
        </w:rPr>
        <w:t>。</w:t>
      </w:r>
    </w:p>
    <w:p w14:paraId="0A7CDDCF">
      <w:pPr>
        <w:spacing w:line="360" w:lineRule="auto"/>
        <w:ind w:firstLine="480"/>
        <w:jc w:val="both"/>
        <w:rPr>
          <w:rFonts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修订后标准：增加了</w:t>
      </w:r>
      <w:r>
        <w:rPr>
          <w:rFonts w:hint="eastAsia" w:eastAsiaTheme="minorEastAsia"/>
          <w:color w:val="000000" w:themeColor="text1"/>
          <w:szCs w:val="28"/>
          <w:lang w:val="en-US" w:eastAsia="zh-CN"/>
          <w14:textFill>
            <w14:solidFill>
              <w14:schemeClr w14:val="tx1"/>
            </w14:solidFill>
          </w14:textFill>
        </w:rPr>
        <w:t>按结构分类、用途分类、使用环境分类等</w:t>
      </w:r>
      <w:r>
        <w:rPr>
          <w:rFonts w:eastAsiaTheme="minorEastAsia"/>
          <w:color w:val="000000" w:themeColor="text1"/>
          <w:szCs w:val="28"/>
          <w:lang w:val="en-US" w:eastAsia="zh-CN"/>
          <w14:textFill>
            <w14:solidFill>
              <w14:schemeClr w14:val="tx1"/>
            </w14:solidFill>
          </w14:textFill>
        </w:rPr>
        <w:t>内容，</w:t>
      </w:r>
      <w:r>
        <w:rPr>
          <w:rFonts w:hint="eastAsia" w:eastAsiaTheme="minorEastAsia"/>
          <w:color w:val="000000" w:themeColor="text1"/>
          <w:szCs w:val="28"/>
          <w:lang w:val="en-US" w:eastAsia="zh-CN"/>
          <w14:textFill>
            <w14:solidFill>
              <w14:schemeClr w14:val="tx1"/>
            </w14:solidFill>
          </w14:textFill>
        </w:rPr>
        <w:t>明确“按使用环境分类”具体场景</w:t>
      </w:r>
      <w:r>
        <w:rPr>
          <w:rFonts w:eastAsiaTheme="minorEastAsia"/>
          <w:color w:val="000000" w:themeColor="text1"/>
          <w:szCs w:val="28"/>
          <w:lang w:val="en-US" w:eastAsia="zh-CN"/>
          <w14:textFill>
            <w14:solidFill>
              <w14:schemeClr w14:val="tx1"/>
            </w14:solidFill>
          </w14:textFill>
        </w:rPr>
        <w:t>。</w:t>
      </w:r>
    </w:p>
    <w:p w14:paraId="78F6A1AF">
      <w:pPr>
        <w:spacing w:line="360" w:lineRule="auto"/>
        <w:ind w:firstLine="480"/>
        <w:jc w:val="both"/>
        <w:rPr>
          <w:rFonts w:hint="default"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修订原因：</w:t>
      </w:r>
      <w:r>
        <w:rPr>
          <w:rFonts w:hint="eastAsia" w:eastAsiaTheme="minorEastAsia"/>
          <w:color w:val="000000" w:themeColor="text1"/>
          <w:szCs w:val="28"/>
          <w:lang w:val="en-US" w:eastAsia="zh-CN"/>
          <w14:textFill>
            <w14:solidFill>
              <w14:schemeClr w14:val="tx1"/>
            </w14:solidFill>
          </w14:textFill>
        </w:rPr>
        <w:t>明确防腐木材的分类和具体使用场景，确保其能实际使用。</w:t>
      </w:r>
    </w:p>
    <w:p w14:paraId="53F05904">
      <w:pPr>
        <w:spacing w:line="360" w:lineRule="auto"/>
        <w:ind w:firstLine="480"/>
        <w:jc w:val="both"/>
        <w:rPr>
          <w:rFonts w:hint="default"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（五）</w:t>
      </w:r>
      <w:r>
        <w:rPr>
          <w:rFonts w:hint="eastAsia" w:eastAsiaTheme="minorEastAsia"/>
          <w:color w:val="000000" w:themeColor="text1"/>
          <w:szCs w:val="28"/>
          <w:lang w:val="en-US" w:eastAsia="zh-CN"/>
          <w14:textFill>
            <w14:solidFill>
              <w14:schemeClr w14:val="tx1"/>
            </w14:solidFill>
          </w14:textFill>
        </w:rPr>
        <w:t>涂覆封闭处理</w:t>
      </w:r>
    </w:p>
    <w:p w14:paraId="59BAF58F">
      <w:pPr>
        <w:spacing w:line="360" w:lineRule="auto"/>
        <w:ind w:firstLine="480"/>
        <w:jc w:val="both"/>
        <w:rPr>
          <w:rFonts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原标准：</w:t>
      </w:r>
      <w:r>
        <w:rPr>
          <w:rFonts w:hint="eastAsia" w:eastAsiaTheme="minorEastAsia"/>
          <w:color w:val="000000" w:themeColor="text1"/>
          <w:szCs w:val="28"/>
          <w:lang w:val="en-US" w:eastAsia="zh-CN"/>
          <w14:textFill>
            <w14:solidFill>
              <w14:schemeClr w14:val="tx1"/>
            </w14:solidFill>
          </w14:textFill>
        </w:rPr>
        <w:t>如果需对防病木材进行切剂、钻孔、开棒、开槽、赚刻等加工时,应使用原防腐剂的浓溶被或其他适当的防腐剂在新加工面进行涂覆处理,以封闭新暴露的木材表面。</w:t>
      </w:r>
    </w:p>
    <w:p w14:paraId="50938469">
      <w:pPr>
        <w:spacing w:line="360" w:lineRule="auto"/>
        <w:ind w:firstLine="480"/>
        <w:jc w:val="both"/>
        <w:rPr>
          <w:rFonts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修订后标准：增加了</w:t>
      </w:r>
      <w:r>
        <w:rPr>
          <w:rFonts w:hint="eastAsia" w:eastAsiaTheme="minorEastAsia"/>
          <w:color w:val="000000" w:themeColor="text1"/>
          <w:szCs w:val="28"/>
          <w:lang w:val="en-US" w:eastAsia="zh-CN"/>
          <w14:textFill>
            <w14:solidFill>
              <w14:schemeClr w14:val="tx1"/>
            </w14:solidFill>
          </w14:textFill>
        </w:rPr>
        <w:t>涂覆处理的操作要求，包括总涂覆量、涂覆边数等</w:t>
      </w:r>
      <w:r>
        <w:rPr>
          <w:rFonts w:eastAsiaTheme="minorEastAsia"/>
          <w:color w:val="000000" w:themeColor="text1"/>
          <w:szCs w:val="28"/>
          <w:lang w:val="en-US" w:eastAsia="zh-CN"/>
          <w14:textFill>
            <w14:solidFill>
              <w14:schemeClr w14:val="tx1"/>
            </w14:solidFill>
          </w14:textFill>
        </w:rPr>
        <w:t>。</w:t>
      </w:r>
    </w:p>
    <w:p w14:paraId="5827C0D0">
      <w:pPr>
        <w:spacing w:line="360" w:lineRule="auto"/>
        <w:ind w:firstLine="480"/>
        <w:jc w:val="both"/>
        <w:rPr>
          <w:rFonts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修订原因：</w:t>
      </w:r>
      <w:r>
        <w:rPr>
          <w:rFonts w:hint="eastAsia" w:eastAsiaTheme="minorEastAsia"/>
          <w:color w:val="000000" w:themeColor="text1"/>
          <w:szCs w:val="28"/>
          <w:lang w:val="en-US" w:eastAsia="zh-CN"/>
          <w14:textFill>
            <w14:solidFill>
              <w14:schemeClr w14:val="tx1"/>
            </w14:solidFill>
          </w14:textFill>
        </w:rPr>
        <w:t>明确具体要求，便于使用方</w:t>
      </w:r>
      <w:r>
        <w:rPr>
          <w:rFonts w:eastAsiaTheme="minorEastAsia"/>
          <w:color w:val="000000" w:themeColor="text1"/>
          <w:szCs w:val="28"/>
          <w:lang w:val="en-US" w:eastAsia="zh-CN"/>
          <w14:textFill>
            <w14:solidFill>
              <w14:schemeClr w14:val="tx1"/>
            </w14:solidFill>
          </w14:textFill>
        </w:rPr>
        <w:t>能够根据</w:t>
      </w:r>
      <w:r>
        <w:rPr>
          <w:rFonts w:hint="eastAsia" w:eastAsiaTheme="minorEastAsia"/>
          <w:color w:val="000000" w:themeColor="text1"/>
          <w:szCs w:val="28"/>
          <w:lang w:val="en-US" w:eastAsia="zh-CN"/>
          <w14:textFill>
            <w14:solidFill>
              <w14:schemeClr w14:val="tx1"/>
            </w14:solidFill>
          </w14:textFill>
        </w:rPr>
        <w:t>标准进行实际操作。</w:t>
      </w:r>
    </w:p>
    <w:p w14:paraId="6BC969F4">
      <w:pPr>
        <w:spacing w:line="360" w:lineRule="auto"/>
        <w:ind w:firstLine="480"/>
        <w:jc w:val="both"/>
        <w:rPr>
          <w:rFonts w:hint="default"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（六）</w:t>
      </w:r>
      <w:r>
        <w:rPr>
          <w:rFonts w:hint="eastAsia" w:eastAsiaTheme="minorEastAsia"/>
          <w:color w:val="000000" w:themeColor="text1"/>
          <w:szCs w:val="28"/>
          <w:lang w:val="en-US" w:eastAsia="zh-CN"/>
          <w14:textFill>
            <w14:solidFill>
              <w14:schemeClr w14:val="tx1"/>
            </w14:solidFill>
          </w14:textFill>
        </w:rPr>
        <w:t>防腐剂最低保持量</w:t>
      </w:r>
    </w:p>
    <w:p w14:paraId="49015D13">
      <w:pPr>
        <w:spacing w:line="360" w:lineRule="auto"/>
        <w:ind w:firstLine="480"/>
        <w:jc w:val="both"/>
        <w:rPr>
          <w:rFonts w:hint="default"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原标准：</w:t>
      </w:r>
      <w:r>
        <w:rPr>
          <w:rFonts w:hint="eastAsia" w:eastAsiaTheme="minorEastAsia"/>
          <w:color w:val="000000" w:themeColor="text1"/>
          <w:szCs w:val="28"/>
          <w:lang w:val="en-US" w:eastAsia="zh-CN"/>
          <w14:textFill>
            <w14:solidFill>
              <w14:schemeClr w14:val="tx1"/>
            </w14:solidFill>
          </w14:textFill>
        </w:rPr>
        <w:t>使用环境等级分类为C3级</w:t>
      </w:r>
    </w:p>
    <w:p w14:paraId="00DB48B6">
      <w:pPr>
        <w:spacing w:line="360" w:lineRule="auto"/>
        <w:ind w:firstLine="480"/>
        <w:jc w:val="both"/>
        <w:rPr>
          <w:rFonts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修订后标准：</w:t>
      </w:r>
      <w:r>
        <w:rPr>
          <w:rFonts w:hint="eastAsia" w:eastAsiaTheme="minorEastAsia"/>
          <w:color w:val="000000" w:themeColor="text1"/>
          <w:szCs w:val="28"/>
          <w:lang w:val="en-US" w:eastAsia="zh-CN"/>
          <w14:textFill>
            <w14:solidFill>
              <w14:schemeClr w14:val="tx1"/>
            </w14:solidFill>
          </w14:textFill>
        </w:rPr>
        <w:t>将C3级进一步分为C3.1和C3.2两个等级</w:t>
      </w:r>
      <w:r>
        <w:rPr>
          <w:rFonts w:eastAsiaTheme="minorEastAsia"/>
          <w:color w:val="000000" w:themeColor="text1"/>
          <w:szCs w:val="28"/>
          <w:lang w:val="en-US" w:eastAsia="zh-CN"/>
          <w14:textFill>
            <w14:solidFill>
              <w14:schemeClr w14:val="tx1"/>
            </w14:solidFill>
          </w14:textFill>
        </w:rPr>
        <w:t>。</w:t>
      </w:r>
    </w:p>
    <w:p w14:paraId="127D1BA9">
      <w:pPr>
        <w:spacing w:line="360" w:lineRule="auto"/>
        <w:ind w:firstLine="480"/>
        <w:jc w:val="both"/>
        <w:rPr>
          <w:rFonts w:hint="default"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修订原因：</w:t>
      </w:r>
      <w:r>
        <w:rPr>
          <w:rFonts w:hint="eastAsia" w:eastAsiaTheme="minorEastAsia"/>
          <w:color w:val="000000" w:themeColor="text1"/>
          <w:szCs w:val="28"/>
          <w:lang w:val="en-US" w:eastAsia="zh-CN"/>
          <w14:textFill>
            <w14:solidFill>
              <w14:schemeClr w14:val="tx1"/>
            </w14:solidFill>
          </w14:textFill>
        </w:rPr>
        <w:t>结合市场产品使用实际，明确细分等级和用途，完善标准内容。</w:t>
      </w:r>
    </w:p>
    <w:p w14:paraId="3286CB0D">
      <w:pPr>
        <w:spacing w:line="360" w:lineRule="auto"/>
        <w:ind w:firstLine="480"/>
        <w:jc w:val="both"/>
        <w:rPr>
          <w:rFonts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（七）新增内容</w:t>
      </w:r>
    </w:p>
    <w:p w14:paraId="2ABD110E">
      <w:pPr>
        <w:spacing w:line="360" w:lineRule="auto"/>
        <w:ind w:firstLine="480"/>
        <w:jc w:val="both"/>
        <w:rPr>
          <w:rFonts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修订后标准：增加了</w:t>
      </w:r>
      <w:r>
        <w:rPr>
          <w:rFonts w:hint="eastAsia" w:eastAsiaTheme="minorEastAsia"/>
          <w:color w:val="000000" w:themeColor="text1"/>
          <w:szCs w:val="28"/>
          <w:lang w:val="en-US" w:eastAsia="zh-CN"/>
          <w14:textFill>
            <w14:solidFill>
              <w14:schemeClr w14:val="tx1"/>
            </w14:solidFill>
          </w14:textFill>
        </w:rPr>
        <w:t>对施工过程中操作人员的安全防护要求、含水率检验方法、</w:t>
      </w:r>
      <w:r>
        <w:rPr>
          <w:rFonts w:hint="eastAsia"/>
          <w:lang w:val="en-US" w:eastAsia="zh-CN"/>
        </w:rPr>
        <w:t>部件的标志、包装、运输、贮存</w:t>
      </w:r>
      <w:r>
        <w:rPr>
          <w:rFonts w:eastAsiaTheme="minorEastAsia"/>
          <w:color w:val="000000" w:themeColor="text1"/>
          <w:szCs w:val="28"/>
          <w:lang w:val="en-US" w:eastAsia="zh-CN"/>
          <w14:textFill>
            <w14:solidFill>
              <w14:schemeClr w14:val="tx1"/>
            </w14:solidFill>
          </w14:textFill>
        </w:rPr>
        <w:t>。</w:t>
      </w:r>
    </w:p>
    <w:p w14:paraId="6BFC13AE">
      <w:pPr>
        <w:spacing w:line="360" w:lineRule="auto"/>
        <w:ind w:firstLine="480"/>
        <w:jc w:val="both"/>
        <w:rPr>
          <w:rFonts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修订原因：</w:t>
      </w:r>
      <w:r>
        <w:rPr>
          <w:rFonts w:hint="eastAsia" w:eastAsiaTheme="minorEastAsia"/>
          <w:color w:val="000000" w:themeColor="text1"/>
          <w:szCs w:val="28"/>
          <w:lang w:val="en-US" w:eastAsia="zh-CN"/>
          <w14:textFill>
            <w14:solidFill>
              <w14:schemeClr w14:val="tx1"/>
            </w14:solidFill>
          </w14:textFill>
        </w:rPr>
        <w:t>提高标准的完整性和实用性，也与修改后的标准名称对应，便于标准使用</w:t>
      </w:r>
      <w:r>
        <w:rPr>
          <w:rFonts w:eastAsiaTheme="minorEastAsia"/>
          <w:color w:val="000000" w:themeColor="text1"/>
          <w:szCs w:val="28"/>
          <w:lang w:val="en-US" w:eastAsia="zh-CN"/>
          <w14:textFill>
            <w14:solidFill>
              <w14:schemeClr w14:val="tx1"/>
            </w14:solidFill>
          </w14:textFill>
        </w:rPr>
        <w:t>。</w:t>
      </w:r>
    </w:p>
    <w:p w14:paraId="3D077CA6">
      <w:pPr>
        <w:pStyle w:val="10"/>
        <w:spacing w:before="326" w:beforeLines="100" w:after="326" w:afterLines="100"/>
        <w:rPr>
          <w:rFonts w:ascii="Times New Roman"/>
          <w:color w:val="000000" w:themeColor="text1"/>
          <w:sz w:val="28"/>
          <w:szCs w:val="28"/>
          <w14:textFill>
            <w14:solidFill>
              <w14:schemeClr w14:val="tx1"/>
            </w14:solidFill>
          </w14:textFill>
        </w:rPr>
      </w:pPr>
      <w:bookmarkStart w:id="14" w:name="_Toc26386"/>
      <w:r>
        <w:rPr>
          <w:rFonts w:hint="eastAsia" w:ascii="Times New Roman"/>
          <w:color w:val="000000" w:themeColor="text1"/>
          <w:sz w:val="28"/>
          <w:szCs w:val="28"/>
          <w:lang w:val="en-US" w:eastAsia="zh-CN"/>
          <w14:textFill>
            <w14:solidFill>
              <w14:schemeClr w14:val="tx1"/>
            </w14:solidFill>
          </w14:textFill>
        </w:rPr>
        <w:t>3</w:t>
      </w:r>
      <w:r>
        <w:rPr>
          <w:rFonts w:ascii="Times New Roman"/>
          <w:color w:val="000000" w:themeColor="text1"/>
          <w:sz w:val="28"/>
          <w:szCs w:val="28"/>
          <w14:textFill>
            <w14:solidFill>
              <w14:schemeClr w14:val="tx1"/>
            </w14:solidFill>
          </w14:textFill>
        </w:rPr>
        <w:t xml:space="preserve"> 标准中涉及专利</w:t>
      </w:r>
      <w:r>
        <w:rPr>
          <w:rFonts w:hint="eastAsia" w:ascii="Times New Roman"/>
          <w:color w:val="000000" w:themeColor="text1"/>
          <w:sz w:val="28"/>
          <w:szCs w:val="28"/>
          <w14:textFill>
            <w14:solidFill>
              <w14:schemeClr w14:val="tx1"/>
            </w14:solidFill>
          </w14:textFill>
        </w:rPr>
        <w:t>、知识产权</w:t>
      </w:r>
      <w:r>
        <w:rPr>
          <w:rFonts w:ascii="Times New Roman"/>
          <w:color w:val="000000" w:themeColor="text1"/>
          <w:sz w:val="28"/>
          <w:szCs w:val="28"/>
          <w14:textFill>
            <w14:solidFill>
              <w14:schemeClr w14:val="tx1"/>
            </w14:solidFill>
          </w14:textFill>
        </w:rPr>
        <w:t>情况说明</w:t>
      </w:r>
      <w:bookmarkEnd w:id="14"/>
    </w:p>
    <w:p w14:paraId="6345C7CA">
      <w:pPr>
        <w:spacing w:line="360" w:lineRule="auto"/>
        <w:ind w:firstLine="480"/>
        <w:jc w:val="both"/>
        <w:rPr>
          <w:rFonts w:eastAsiaTheme="minorEastAsia"/>
          <w:color w:val="000000" w:themeColor="text1"/>
          <w:szCs w:val="28"/>
          <w14:textFill>
            <w14:solidFill>
              <w14:schemeClr w14:val="tx1"/>
            </w14:solidFill>
          </w14:textFill>
        </w:rPr>
      </w:pPr>
      <w:r>
        <w:rPr>
          <w:rFonts w:eastAsiaTheme="minorEastAsia"/>
          <w:color w:val="000000" w:themeColor="text1"/>
          <w:szCs w:val="28"/>
          <w14:textFill>
            <w14:solidFill>
              <w14:schemeClr w14:val="tx1"/>
            </w14:solidFill>
          </w14:textFill>
        </w:rPr>
        <w:t>经检索，本标准所列技术内容没有涉及专利和知识产权的情况。</w:t>
      </w:r>
    </w:p>
    <w:p w14:paraId="04CAECBA">
      <w:pPr>
        <w:pStyle w:val="10"/>
        <w:spacing w:before="326" w:beforeLines="100" w:after="326" w:afterLines="100"/>
        <w:rPr>
          <w:rFonts w:ascii="Times New Roman"/>
          <w:color w:val="000000" w:themeColor="text1"/>
          <w:sz w:val="28"/>
          <w:szCs w:val="28"/>
          <w14:textFill>
            <w14:solidFill>
              <w14:schemeClr w14:val="tx1"/>
            </w14:solidFill>
          </w14:textFill>
        </w:rPr>
      </w:pPr>
      <w:bookmarkStart w:id="15" w:name="_Toc18297"/>
      <w:r>
        <w:rPr>
          <w:rFonts w:hint="eastAsia" w:ascii="Times New Roman"/>
          <w:color w:val="000000" w:themeColor="text1"/>
          <w:sz w:val="28"/>
          <w:szCs w:val="28"/>
          <w:lang w:val="en-US" w:eastAsia="zh-CN"/>
          <w14:textFill>
            <w14:solidFill>
              <w14:schemeClr w14:val="tx1"/>
            </w14:solidFill>
          </w14:textFill>
        </w:rPr>
        <w:t>4</w:t>
      </w:r>
      <w:r>
        <w:rPr>
          <w:rFonts w:ascii="Times New Roman"/>
          <w:color w:val="000000" w:themeColor="text1"/>
          <w:sz w:val="28"/>
          <w:szCs w:val="28"/>
          <w14:textFill>
            <w14:solidFill>
              <w14:schemeClr w14:val="tx1"/>
            </w14:solidFill>
          </w14:textFill>
        </w:rPr>
        <w:t xml:space="preserve"> </w:t>
      </w:r>
      <w:r>
        <w:rPr>
          <w:rFonts w:hint="eastAsia" w:ascii="Times New Roman"/>
          <w:color w:val="000000" w:themeColor="text1"/>
          <w:sz w:val="28"/>
          <w:szCs w:val="28"/>
          <w14:textFill>
            <w14:solidFill>
              <w14:schemeClr w14:val="tx1"/>
            </w14:solidFill>
          </w14:textFill>
        </w:rPr>
        <w:t>产业化情况、推广应用论证和预期达到的经济效果等情况；</w:t>
      </w:r>
      <w:bookmarkEnd w:id="15"/>
    </w:p>
    <w:p w14:paraId="2EC03C24">
      <w:pPr>
        <w:spacing w:line="360" w:lineRule="auto"/>
        <w:ind w:firstLine="495"/>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本标准的修订将对防腐木材行业产生积极影响：</w:t>
      </w:r>
    </w:p>
    <w:p w14:paraId="42B03687">
      <w:pPr>
        <w:spacing w:line="360" w:lineRule="auto"/>
        <w:ind w:firstLine="495"/>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提高产品质量：通过</w:t>
      </w:r>
      <w:r>
        <w:rPr>
          <w:rFonts w:hint="eastAsia"/>
          <w:color w:val="000000" w:themeColor="text1"/>
          <w:lang w:val="en-US" w:eastAsia="zh-CN"/>
          <w14:textFill>
            <w14:solidFill>
              <w14:schemeClr w14:val="tx1"/>
            </w14:solidFill>
          </w14:textFill>
        </w:rPr>
        <w:t>规定更加详细的技术指标，</w:t>
      </w:r>
      <w:r>
        <w:rPr>
          <w:rFonts w:hint="eastAsia"/>
          <w:color w:val="000000" w:themeColor="text1"/>
          <w14:textFill>
            <w14:solidFill>
              <w14:schemeClr w14:val="tx1"/>
            </w14:solidFill>
          </w14:textFill>
        </w:rPr>
        <w:t>能够</w:t>
      </w:r>
      <w:r>
        <w:rPr>
          <w:rFonts w:hint="eastAsia"/>
          <w:color w:val="000000" w:themeColor="text1"/>
          <w:lang w:val="en-US" w:eastAsia="zh-CN"/>
          <w14:textFill>
            <w14:solidFill>
              <w14:schemeClr w14:val="tx1"/>
            </w14:solidFill>
          </w14:textFill>
        </w:rPr>
        <w:t>促进防腐木材在建筑领域的应用</w:t>
      </w:r>
      <w:r>
        <w:rPr>
          <w:rFonts w:hint="eastAsia"/>
          <w:color w:val="000000" w:themeColor="text1"/>
          <w14:textFill>
            <w14:solidFill>
              <w14:schemeClr w14:val="tx1"/>
            </w14:solidFill>
          </w14:textFill>
        </w:rPr>
        <w:t>，从而</w:t>
      </w:r>
      <w:r>
        <w:rPr>
          <w:rFonts w:hint="eastAsia"/>
          <w:color w:val="000000" w:themeColor="text1"/>
          <w:lang w:val="en-US" w:eastAsia="zh-CN"/>
          <w14:textFill>
            <w14:solidFill>
              <w14:schemeClr w14:val="tx1"/>
            </w14:solidFill>
          </w14:textFill>
        </w:rPr>
        <w:t>激励企业对照用途提升</w:t>
      </w:r>
      <w:r>
        <w:rPr>
          <w:rFonts w:hint="eastAsia"/>
          <w:color w:val="000000" w:themeColor="text1"/>
          <w14:textFill>
            <w14:solidFill>
              <w14:schemeClr w14:val="tx1"/>
            </w14:solidFill>
          </w14:textFill>
        </w:rPr>
        <w:t>产品质量。</w:t>
      </w:r>
    </w:p>
    <w:p w14:paraId="31B61DBC">
      <w:pPr>
        <w:spacing w:line="360" w:lineRule="auto"/>
        <w:ind w:firstLine="495"/>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保障人身安全：</w:t>
      </w:r>
      <w:r>
        <w:rPr>
          <w:rFonts w:hint="eastAsia"/>
          <w:color w:val="000000" w:themeColor="text1"/>
          <w:lang w:val="en-US" w:eastAsia="zh-CN"/>
          <w14:textFill>
            <w14:solidFill>
              <w14:schemeClr w14:val="tx1"/>
            </w14:solidFill>
          </w14:textFill>
        </w:rPr>
        <w:t>提出了安全防护要求，从而保障了防腐木材接触和施工暴露人员的安全，进一步促进了行业规范</w:t>
      </w:r>
      <w:r>
        <w:rPr>
          <w:rFonts w:hint="eastAsia"/>
          <w:color w:val="000000" w:themeColor="text1"/>
          <w14:textFill>
            <w14:solidFill>
              <w14:schemeClr w14:val="tx1"/>
            </w14:solidFill>
          </w14:textFill>
        </w:rPr>
        <w:t>。</w:t>
      </w:r>
    </w:p>
    <w:p w14:paraId="5E0E9AF6">
      <w:pPr>
        <w:spacing w:line="360" w:lineRule="auto"/>
        <w:ind w:firstLine="495"/>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促进行业发展：标准的修订将推动行业技术进步，提升行业整体水平，增强我国</w:t>
      </w:r>
      <w:r>
        <w:rPr>
          <w:rFonts w:hint="eastAsia"/>
          <w:color w:val="000000" w:themeColor="text1"/>
          <w:lang w:val="en-US" w:eastAsia="zh-CN"/>
          <w14:textFill>
            <w14:solidFill>
              <w14:schemeClr w14:val="tx1"/>
            </w14:solidFill>
          </w14:textFill>
        </w:rPr>
        <w:t>防腐木</w:t>
      </w:r>
      <w:r>
        <w:rPr>
          <w:rFonts w:hint="eastAsia"/>
          <w:color w:val="000000" w:themeColor="text1"/>
          <w14:textFill>
            <w14:solidFill>
              <w14:schemeClr w14:val="tx1"/>
            </w14:solidFill>
          </w14:textFill>
        </w:rPr>
        <w:t>产品在</w:t>
      </w:r>
      <w:r>
        <w:rPr>
          <w:rFonts w:hint="eastAsia"/>
          <w:color w:val="000000" w:themeColor="text1"/>
          <w:lang w:val="en-US" w:eastAsia="zh-CN"/>
          <w14:textFill>
            <w14:solidFill>
              <w14:schemeClr w14:val="tx1"/>
            </w14:solidFill>
          </w14:textFill>
        </w:rPr>
        <w:t>建筑</w:t>
      </w:r>
      <w:r>
        <w:rPr>
          <w:rFonts w:hint="eastAsia"/>
          <w:color w:val="000000" w:themeColor="text1"/>
          <w14:textFill>
            <w14:solidFill>
              <w14:schemeClr w14:val="tx1"/>
            </w14:solidFill>
          </w14:textFill>
        </w:rPr>
        <w:t>市场上的竞争力。</w:t>
      </w:r>
    </w:p>
    <w:p w14:paraId="4D675133">
      <w:pPr>
        <w:pStyle w:val="10"/>
        <w:spacing w:before="326" w:beforeLines="100" w:after="326" w:afterLines="100"/>
        <w:rPr>
          <w:rFonts w:ascii="Times New Roman"/>
          <w:color w:val="000000" w:themeColor="text1"/>
          <w:sz w:val="28"/>
          <w:szCs w:val="28"/>
          <w14:textFill>
            <w14:solidFill>
              <w14:schemeClr w14:val="tx1"/>
            </w14:solidFill>
          </w14:textFill>
        </w:rPr>
      </w:pPr>
      <w:bookmarkStart w:id="16" w:name="_Toc26690"/>
      <w:r>
        <w:rPr>
          <w:rFonts w:hint="eastAsia" w:ascii="Times New Roman"/>
          <w:color w:val="000000" w:themeColor="text1"/>
          <w:sz w:val="28"/>
          <w:szCs w:val="28"/>
          <w:lang w:val="en-US" w:eastAsia="zh-CN"/>
          <w14:textFill>
            <w14:solidFill>
              <w14:schemeClr w14:val="tx1"/>
            </w14:solidFill>
          </w14:textFill>
        </w:rPr>
        <w:t>5</w:t>
      </w:r>
      <w:r>
        <w:rPr>
          <w:rFonts w:ascii="Times New Roman"/>
          <w:color w:val="000000" w:themeColor="text1"/>
          <w:sz w:val="28"/>
          <w:szCs w:val="28"/>
          <w14:textFill>
            <w14:solidFill>
              <w14:schemeClr w14:val="tx1"/>
            </w14:solidFill>
          </w14:textFill>
        </w:rPr>
        <w:t xml:space="preserve"> 采用国际标准</w:t>
      </w:r>
      <w:r>
        <w:rPr>
          <w:rFonts w:hint="eastAsia" w:ascii="Times New Roman"/>
          <w:color w:val="000000" w:themeColor="text1"/>
          <w:sz w:val="28"/>
          <w:szCs w:val="28"/>
          <w14:textFill>
            <w14:solidFill>
              <w14:schemeClr w14:val="tx1"/>
            </w14:solidFill>
          </w14:textFill>
        </w:rPr>
        <w:t>，与国际、国外同类标准水平的对比情况，国内外关键指标对比分析或与测试的国外样品、样机的相关数据对比情况；</w:t>
      </w:r>
      <w:bookmarkEnd w:id="16"/>
    </w:p>
    <w:p w14:paraId="4F8DF95A">
      <w:pPr>
        <w:spacing w:line="360" w:lineRule="auto"/>
        <w:ind w:firstLine="495"/>
        <w:jc w:val="both"/>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在标准修订过程中对比了相关国际标准，未发现同类标准</w:t>
      </w:r>
      <w:r>
        <w:rPr>
          <w:rFonts w:hint="eastAsia"/>
          <w:color w:val="000000" w:themeColor="text1"/>
          <w14:textFill>
            <w14:solidFill>
              <w14:schemeClr w14:val="tx1"/>
            </w14:solidFill>
          </w14:textFill>
        </w:rPr>
        <w:t>。主要</w:t>
      </w:r>
      <w:r>
        <w:rPr>
          <w:rFonts w:hint="eastAsia"/>
          <w:color w:val="000000" w:themeColor="text1"/>
          <w:lang w:val="en-US" w:eastAsia="zh-CN"/>
          <w14:textFill>
            <w14:solidFill>
              <w14:schemeClr w14:val="tx1"/>
            </w14:solidFill>
          </w14:textFill>
        </w:rPr>
        <w:t>检索对比</w:t>
      </w:r>
      <w:r>
        <w:rPr>
          <w:rFonts w:hint="eastAsia"/>
          <w:color w:val="000000" w:themeColor="text1"/>
          <w14:textFill>
            <w14:solidFill>
              <w14:schemeClr w14:val="tx1"/>
            </w14:solidFill>
          </w14:textFill>
        </w:rPr>
        <w:t>标准如下：</w:t>
      </w:r>
    </w:p>
    <w:p w14:paraId="5FB174AE">
      <w:pPr>
        <w:keepNext w:val="0"/>
        <w:keepLines w:val="0"/>
        <w:widowControl/>
        <w:numPr>
          <w:ilvl w:val="0"/>
          <w:numId w:val="3"/>
        </w:numPr>
        <w:suppressLineNumbers w:val="0"/>
        <w:spacing w:line="360" w:lineRule="auto"/>
        <w:ind w:leftChars="0" w:firstLine="480" w:firstLineChars="200"/>
        <w:jc w:val="left"/>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ISO 21887:2019</w:t>
      </w:r>
      <w:r>
        <w:rPr>
          <w:rFonts w:hint="eastAsia" w:cs="宋体"/>
          <w:kern w:val="0"/>
          <w:sz w:val="24"/>
          <w:szCs w:val="24"/>
          <w:lang w:val="en-US" w:eastAsia="zh-CN" w:bidi="ar"/>
        </w:rPr>
        <w:t>《</w:t>
      </w:r>
      <w:r>
        <w:rPr>
          <w:rFonts w:hint="default" w:ascii="宋体" w:hAnsi="宋体" w:eastAsia="宋体" w:cs="宋体"/>
          <w:kern w:val="0"/>
          <w:sz w:val="24"/>
          <w:szCs w:val="24"/>
          <w:lang w:val="en-US" w:eastAsia="zh-CN" w:bidi="ar"/>
        </w:rPr>
        <w:t>Durability of wood and wood-based products - Use classes</w:t>
      </w:r>
      <w:r>
        <w:rPr>
          <w:rFonts w:hint="eastAsia" w:cs="宋体"/>
          <w:kern w:val="0"/>
          <w:sz w:val="24"/>
          <w:szCs w:val="24"/>
          <w:lang w:val="en-US" w:eastAsia="zh-CN" w:bidi="ar"/>
        </w:rPr>
        <w:t>》（</w:t>
      </w:r>
      <w:r>
        <w:rPr>
          <w:rFonts w:hint="default" w:ascii="宋体" w:hAnsi="宋体" w:eastAsia="宋体" w:cs="宋体"/>
          <w:kern w:val="0"/>
          <w:sz w:val="24"/>
          <w:szCs w:val="24"/>
          <w:lang w:val="en-US" w:eastAsia="zh-CN" w:bidi="ar"/>
        </w:rPr>
        <w:t>木材和木基产品的耐久性 - 使用类别</w:t>
      </w:r>
      <w:r>
        <w:rPr>
          <w:rFonts w:hint="eastAsia" w:cs="宋体"/>
          <w:kern w:val="0"/>
          <w:sz w:val="24"/>
          <w:szCs w:val="24"/>
          <w:lang w:val="en-US" w:eastAsia="zh-CN" w:bidi="ar"/>
        </w:rPr>
        <w:t>）</w:t>
      </w:r>
    </w:p>
    <w:p w14:paraId="0EBBB3ED">
      <w:pPr>
        <w:keepNext w:val="0"/>
        <w:keepLines w:val="0"/>
        <w:widowControl/>
        <w:numPr>
          <w:ilvl w:val="0"/>
          <w:numId w:val="3"/>
        </w:numPr>
        <w:suppressLineNumbers w:val="0"/>
        <w:spacing w:line="360" w:lineRule="auto"/>
        <w:ind w:leftChars="0" w:firstLine="480" w:firstLineChars="200"/>
        <w:jc w:val="left"/>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EN 335:2013</w:t>
      </w:r>
      <w:r>
        <w:rPr>
          <w:rFonts w:hint="eastAsia" w:cs="宋体"/>
          <w:kern w:val="0"/>
          <w:sz w:val="24"/>
          <w:szCs w:val="24"/>
          <w:lang w:val="en-US" w:eastAsia="zh-CN" w:bidi="ar"/>
        </w:rPr>
        <w:t>《</w:t>
      </w:r>
      <w:r>
        <w:rPr>
          <w:rFonts w:hint="default" w:ascii="宋体" w:hAnsi="宋体" w:eastAsia="宋体" w:cs="宋体"/>
          <w:kern w:val="0"/>
          <w:sz w:val="24"/>
          <w:szCs w:val="24"/>
          <w:lang w:val="en-US" w:eastAsia="zh-CN" w:bidi="ar"/>
        </w:rPr>
        <w:t>Durability of wood and wood-based products - Use classes: definitions, application to solid wood and wood-based products</w:t>
      </w:r>
      <w:r>
        <w:rPr>
          <w:rFonts w:hint="eastAsia" w:cs="宋体"/>
          <w:kern w:val="0"/>
          <w:sz w:val="24"/>
          <w:szCs w:val="24"/>
          <w:lang w:val="en-US" w:eastAsia="zh-CN" w:bidi="ar"/>
        </w:rPr>
        <w:t>》（</w:t>
      </w:r>
      <w:r>
        <w:rPr>
          <w:rFonts w:hint="default" w:ascii="宋体" w:hAnsi="宋体" w:eastAsia="宋体" w:cs="宋体"/>
          <w:kern w:val="0"/>
          <w:sz w:val="24"/>
          <w:szCs w:val="24"/>
          <w:lang w:val="en-US" w:eastAsia="zh-CN" w:bidi="ar"/>
        </w:rPr>
        <w:t>木材和木基制品的耐久性 - 使用类别：定义，应用于实木和木基产品</w:t>
      </w:r>
      <w:r>
        <w:rPr>
          <w:rFonts w:hint="eastAsia" w:cs="宋体"/>
          <w:kern w:val="0"/>
          <w:sz w:val="24"/>
          <w:szCs w:val="24"/>
          <w:lang w:val="en-US" w:eastAsia="zh-CN" w:bidi="ar"/>
        </w:rPr>
        <w:t>）</w:t>
      </w:r>
    </w:p>
    <w:p w14:paraId="78376AC9">
      <w:pPr>
        <w:keepNext w:val="0"/>
        <w:keepLines w:val="0"/>
        <w:widowControl/>
        <w:numPr>
          <w:ilvl w:val="0"/>
          <w:numId w:val="3"/>
        </w:numPr>
        <w:suppressLineNumbers w:val="0"/>
        <w:spacing w:line="360" w:lineRule="auto"/>
        <w:ind w:leftChars="0" w:firstLine="480" w:firstLineChars="200"/>
        <w:jc w:val="left"/>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EN 599-1:2013+A1:2013</w:t>
      </w:r>
      <w:r>
        <w:rPr>
          <w:rFonts w:hint="eastAsia" w:cs="宋体"/>
          <w:kern w:val="0"/>
          <w:sz w:val="24"/>
          <w:szCs w:val="24"/>
          <w:lang w:val="en-US" w:eastAsia="zh-CN" w:bidi="ar"/>
        </w:rPr>
        <w:t>《</w:t>
      </w:r>
      <w:r>
        <w:rPr>
          <w:rFonts w:hint="default" w:ascii="宋体" w:hAnsi="宋体" w:eastAsia="宋体" w:cs="宋体"/>
          <w:kern w:val="0"/>
          <w:sz w:val="24"/>
          <w:szCs w:val="24"/>
          <w:lang w:val="en-US" w:eastAsia="zh-CN" w:bidi="ar"/>
        </w:rPr>
        <w:t>Durability of wood and wood-based products - Efficacy of preventive wood preservatives as determined by biological tests - Part 1: Specification according to use class</w:t>
      </w:r>
      <w:r>
        <w:rPr>
          <w:rFonts w:hint="eastAsia" w:cs="宋体"/>
          <w:kern w:val="0"/>
          <w:sz w:val="24"/>
          <w:szCs w:val="24"/>
          <w:lang w:val="en-US" w:eastAsia="zh-CN" w:bidi="ar"/>
        </w:rPr>
        <w:t>》（</w:t>
      </w:r>
      <w:r>
        <w:rPr>
          <w:rFonts w:hint="default" w:ascii="宋体" w:hAnsi="宋体" w:eastAsia="宋体" w:cs="宋体"/>
          <w:kern w:val="0"/>
          <w:sz w:val="24"/>
          <w:szCs w:val="24"/>
          <w:lang w:val="en-US" w:eastAsia="zh-CN" w:bidi="ar"/>
        </w:rPr>
        <w:t>木材和木基制品的耐久性 - 通过生物试验确定的木材防腐剂性能 - 第1部分：按使用类别制定的规范</w:t>
      </w:r>
      <w:r>
        <w:rPr>
          <w:rFonts w:hint="eastAsia" w:cs="宋体"/>
          <w:kern w:val="0"/>
          <w:sz w:val="24"/>
          <w:szCs w:val="24"/>
          <w:lang w:val="en-US" w:eastAsia="zh-CN" w:bidi="ar"/>
        </w:rPr>
        <w:t>）</w:t>
      </w:r>
    </w:p>
    <w:p w14:paraId="421D553C">
      <w:pPr>
        <w:keepNext w:val="0"/>
        <w:keepLines w:val="0"/>
        <w:widowControl/>
        <w:numPr>
          <w:ilvl w:val="0"/>
          <w:numId w:val="3"/>
        </w:numPr>
        <w:suppressLineNumbers w:val="0"/>
        <w:spacing w:line="360" w:lineRule="auto"/>
        <w:ind w:leftChars="0" w:firstLine="480" w:firstLineChars="200"/>
        <w:jc w:val="left"/>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AWPA U1-22</w:t>
      </w:r>
      <w:r>
        <w:rPr>
          <w:rFonts w:hint="eastAsia" w:cs="宋体"/>
          <w:kern w:val="0"/>
          <w:sz w:val="24"/>
          <w:szCs w:val="24"/>
          <w:lang w:val="en-US" w:eastAsia="zh-CN" w:bidi="ar"/>
        </w:rPr>
        <w:t>《</w:t>
      </w:r>
      <w:r>
        <w:rPr>
          <w:rFonts w:hint="default" w:ascii="宋体" w:hAnsi="宋体" w:eastAsia="宋体" w:cs="宋体"/>
          <w:kern w:val="0"/>
          <w:sz w:val="24"/>
          <w:szCs w:val="24"/>
          <w:lang w:val="en-US" w:eastAsia="zh-CN" w:bidi="ar"/>
        </w:rPr>
        <w:t>Standard for Wood Preservation</w:t>
      </w:r>
      <w:r>
        <w:rPr>
          <w:rFonts w:hint="eastAsia" w:cs="宋体"/>
          <w:kern w:val="0"/>
          <w:sz w:val="24"/>
          <w:szCs w:val="24"/>
          <w:lang w:val="en-US" w:eastAsia="zh-CN" w:bidi="ar"/>
        </w:rPr>
        <w:t>》（</w:t>
      </w:r>
      <w:r>
        <w:rPr>
          <w:rFonts w:hint="default" w:ascii="宋体" w:hAnsi="宋体" w:eastAsia="宋体" w:cs="宋体"/>
          <w:kern w:val="0"/>
          <w:sz w:val="24"/>
          <w:szCs w:val="24"/>
          <w:lang w:val="en-US" w:eastAsia="zh-CN" w:bidi="ar"/>
        </w:rPr>
        <w:t>木材防腐标准</w:t>
      </w:r>
      <w:r>
        <w:rPr>
          <w:rFonts w:hint="eastAsia" w:cs="宋体"/>
          <w:kern w:val="0"/>
          <w:sz w:val="24"/>
          <w:szCs w:val="24"/>
          <w:lang w:val="en-US" w:eastAsia="zh-CN" w:bidi="ar"/>
        </w:rPr>
        <w:t>）</w:t>
      </w:r>
    </w:p>
    <w:p w14:paraId="212455F8">
      <w:pPr>
        <w:keepNext w:val="0"/>
        <w:keepLines w:val="0"/>
        <w:widowControl/>
        <w:numPr>
          <w:ilvl w:val="0"/>
          <w:numId w:val="3"/>
        </w:numPr>
        <w:suppressLineNumbers w:val="0"/>
        <w:spacing w:line="360" w:lineRule="auto"/>
        <w:ind w:leftChars="0" w:firstLine="480" w:firstLineChars="200"/>
        <w:jc w:val="left"/>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AWPA M4</w:t>
      </w:r>
      <w:r>
        <w:rPr>
          <w:rFonts w:hint="eastAsia" w:cs="宋体"/>
          <w:kern w:val="0"/>
          <w:sz w:val="24"/>
          <w:szCs w:val="24"/>
          <w:lang w:val="en-US" w:eastAsia="zh-CN" w:bidi="ar"/>
        </w:rPr>
        <w:t>-11《</w:t>
      </w:r>
      <w:r>
        <w:rPr>
          <w:rFonts w:hint="default" w:ascii="宋体" w:hAnsi="宋体" w:eastAsia="宋体" w:cs="宋体"/>
          <w:kern w:val="0"/>
          <w:sz w:val="24"/>
          <w:szCs w:val="24"/>
          <w:lang w:val="en-US" w:eastAsia="zh-CN" w:bidi="ar"/>
        </w:rPr>
        <w:t>Standard for the Care of Preservative-Treated Wood Product</w:t>
      </w:r>
      <w:r>
        <w:rPr>
          <w:rFonts w:hint="eastAsia" w:cs="宋体"/>
          <w:kern w:val="0"/>
          <w:sz w:val="24"/>
          <w:szCs w:val="24"/>
          <w:lang w:val="en-US" w:eastAsia="zh-CN" w:bidi="ar"/>
        </w:rPr>
        <w:t>s》（</w:t>
      </w:r>
      <w:r>
        <w:rPr>
          <w:rFonts w:hint="default" w:ascii="宋体" w:hAnsi="宋体" w:eastAsia="宋体" w:cs="宋体"/>
          <w:kern w:val="0"/>
          <w:sz w:val="24"/>
          <w:szCs w:val="24"/>
          <w:lang w:val="en-US" w:eastAsia="zh-CN" w:bidi="ar"/>
        </w:rPr>
        <w:t>防腐处理木制品护理标准</w:t>
      </w:r>
      <w:r>
        <w:rPr>
          <w:rFonts w:hint="eastAsia" w:cs="宋体"/>
          <w:kern w:val="0"/>
          <w:sz w:val="24"/>
          <w:szCs w:val="24"/>
          <w:lang w:val="en-US" w:eastAsia="zh-CN" w:bidi="ar"/>
        </w:rPr>
        <w:t>）</w:t>
      </w:r>
    </w:p>
    <w:p w14:paraId="79A7B5BF">
      <w:pPr>
        <w:pStyle w:val="10"/>
        <w:spacing w:before="326" w:beforeLines="100" w:after="326" w:afterLines="100"/>
        <w:rPr>
          <w:rFonts w:ascii="Times New Roman"/>
          <w:color w:val="000000" w:themeColor="text1"/>
          <w:sz w:val="28"/>
          <w:szCs w:val="28"/>
          <w14:textFill>
            <w14:solidFill>
              <w14:schemeClr w14:val="tx1"/>
            </w14:solidFill>
          </w14:textFill>
        </w:rPr>
      </w:pPr>
      <w:bookmarkStart w:id="17" w:name="_Toc4955"/>
      <w:r>
        <w:rPr>
          <w:rFonts w:hint="eastAsia" w:ascii="Times New Roman"/>
          <w:color w:val="000000" w:themeColor="text1"/>
          <w:sz w:val="28"/>
          <w:szCs w:val="28"/>
          <w:lang w:val="en-US" w:eastAsia="zh-CN"/>
          <w14:textFill>
            <w14:solidFill>
              <w14:schemeClr w14:val="tx1"/>
            </w14:solidFill>
          </w14:textFill>
        </w:rPr>
        <w:t>6</w:t>
      </w:r>
      <w:r>
        <w:rPr>
          <w:rFonts w:ascii="Times New Roman"/>
          <w:color w:val="000000" w:themeColor="text1"/>
          <w:sz w:val="28"/>
          <w:szCs w:val="28"/>
          <w14:textFill>
            <w14:solidFill>
              <w14:schemeClr w14:val="tx1"/>
            </w14:solidFill>
          </w14:textFill>
        </w:rPr>
        <w:t xml:space="preserve"> 与现行相关法律、法规、规章及相关标准</w:t>
      </w:r>
      <w:r>
        <w:rPr>
          <w:rFonts w:hint="eastAsia" w:ascii="Times New Roman"/>
          <w:color w:val="000000" w:themeColor="text1"/>
          <w:sz w:val="28"/>
          <w:szCs w:val="28"/>
          <w14:textFill>
            <w14:solidFill>
              <w14:schemeClr w14:val="tx1"/>
            </w14:solidFill>
          </w14:textFill>
        </w:rPr>
        <w:t>，特别是强制性标准</w:t>
      </w:r>
      <w:r>
        <w:rPr>
          <w:rFonts w:ascii="Times New Roman"/>
          <w:color w:val="000000" w:themeColor="text1"/>
          <w:sz w:val="28"/>
          <w:szCs w:val="28"/>
          <w14:textFill>
            <w14:solidFill>
              <w14:schemeClr w14:val="tx1"/>
            </w14:solidFill>
          </w14:textFill>
        </w:rPr>
        <w:t>的协调</w:t>
      </w:r>
      <w:r>
        <w:rPr>
          <w:rFonts w:hint="eastAsia" w:ascii="Times New Roman"/>
          <w:color w:val="000000" w:themeColor="text1"/>
          <w:sz w:val="28"/>
          <w:szCs w:val="28"/>
          <w14:textFill>
            <w14:solidFill>
              <w14:schemeClr w14:val="tx1"/>
            </w14:solidFill>
          </w14:textFill>
        </w:rPr>
        <w:t>性</w:t>
      </w:r>
      <w:bookmarkEnd w:id="17"/>
    </w:p>
    <w:p w14:paraId="14C164E4">
      <w:pPr>
        <w:spacing w:line="360" w:lineRule="auto"/>
        <w:ind w:firstLine="495"/>
        <w:jc w:val="both"/>
        <w:rPr>
          <w:rFonts w:hint="eastAsia"/>
          <w:color w:val="000000" w:themeColor="text1"/>
          <w14:textFill>
            <w14:solidFill>
              <w14:schemeClr w14:val="tx1"/>
            </w14:solidFill>
          </w14:textFill>
        </w:rPr>
      </w:pPr>
      <w:r>
        <w:rPr>
          <w:color w:val="000000" w:themeColor="text1"/>
          <w14:textFill>
            <w14:solidFill>
              <w14:schemeClr w14:val="tx1"/>
            </w14:solidFill>
          </w14:textFill>
        </w:rPr>
        <w:t>目前</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我国</w:t>
      </w:r>
      <w:r>
        <w:rPr>
          <w:rFonts w:hint="eastAsia"/>
          <w:color w:val="000000" w:themeColor="text1"/>
          <w:lang w:val="en-US" w:eastAsia="zh-CN"/>
          <w14:textFill>
            <w14:solidFill>
              <w14:schemeClr w14:val="tx1"/>
            </w14:solidFill>
          </w14:textFill>
        </w:rPr>
        <w:t>标准对防腐木材</w:t>
      </w:r>
      <w:r>
        <w:rPr>
          <w:color w:val="000000" w:themeColor="text1"/>
          <w14:textFill>
            <w14:solidFill>
              <w14:schemeClr w14:val="tx1"/>
            </w14:solidFill>
          </w14:textFill>
        </w:rPr>
        <w:t>提出了相关要求</w:t>
      </w: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但未对建筑用防腐木材提出明确的技术要求，有涉及强制性标准内容与其表达一致</w:t>
      </w:r>
      <w:r>
        <w:rPr>
          <w:rFonts w:hint="eastAsia"/>
          <w:color w:val="000000" w:themeColor="text1"/>
          <w14:textFill>
            <w14:solidFill>
              <w14:schemeClr w14:val="tx1"/>
            </w14:solidFill>
          </w14:textFill>
        </w:rPr>
        <w:t>。主要</w:t>
      </w:r>
      <w:r>
        <w:rPr>
          <w:rFonts w:hint="eastAsia"/>
          <w:color w:val="000000" w:themeColor="text1"/>
          <w:lang w:val="en-US" w:eastAsia="zh-CN"/>
          <w14:textFill>
            <w14:solidFill>
              <w14:schemeClr w14:val="tx1"/>
            </w14:solidFill>
          </w14:textFill>
        </w:rPr>
        <w:t>检索对比</w:t>
      </w:r>
      <w:r>
        <w:rPr>
          <w:rFonts w:hint="eastAsia"/>
          <w:color w:val="000000" w:themeColor="text1"/>
          <w14:textFill>
            <w14:solidFill>
              <w14:schemeClr w14:val="tx1"/>
            </w14:solidFill>
          </w14:textFill>
        </w:rPr>
        <w:t>标准如下：</w:t>
      </w:r>
    </w:p>
    <w:p w14:paraId="2E6C209C">
      <w:pPr>
        <w:keepNext w:val="0"/>
        <w:keepLines w:val="0"/>
        <w:widowControl/>
        <w:numPr>
          <w:ilvl w:val="0"/>
          <w:numId w:val="0"/>
        </w:numPr>
        <w:suppressLineNumbers w:val="0"/>
        <w:spacing w:line="360" w:lineRule="auto"/>
        <w:ind w:leftChars="0" w:firstLine="480" w:firstLineChars="200"/>
        <w:jc w:val="left"/>
        <w:rPr>
          <w:rFonts w:hint="default"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国内标准：</w:t>
      </w:r>
    </w:p>
    <w:p w14:paraId="11505639">
      <w:pPr>
        <w:keepNext w:val="0"/>
        <w:keepLines w:val="0"/>
        <w:widowControl/>
        <w:numPr>
          <w:ilvl w:val="0"/>
          <w:numId w:val="4"/>
        </w:numPr>
        <w:suppressLineNumbers w:val="0"/>
        <w:spacing w:line="360" w:lineRule="auto"/>
        <w:ind w:leftChars="0" w:firstLine="480" w:firstLineChars="200"/>
        <w:jc w:val="left"/>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 xml:space="preserve">GB 22280-2008  防腐木材生产规范 </w:t>
      </w:r>
    </w:p>
    <w:p w14:paraId="79945A7B">
      <w:pPr>
        <w:keepNext w:val="0"/>
        <w:keepLines w:val="0"/>
        <w:widowControl/>
        <w:numPr>
          <w:ilvl w:val="0"/>
          <w:numId w:val="4"/>
        </w:numPr>
        <w:suppressLineNumbers w:val="0"/>
        <w:spacing w:line="360" w:lineRule="auto"/>
        <w:ind w:leftChars="0" w:firstLine="480" w:firstLineChars="200"/>
        <w:jc w:val="left"/>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GB 50005</w:t>
      </w:r>
      <w:r>
        <w:rPr>
          <w:rFonts w:hint="eastAsia" w:cs="宋体"/>
          <w:kern w:val="0"/>
          <w:sz w:val="24"/>
          <w:szCs w:val="24"/>
          <w:lang w:val="en-US" w:eastAsia="zh-CN" w:bidi="ar"/>
        </w:rPr>
        <w:t>-2017</w:t>
      </w:r>
      <w:r>
        <w:rPr>
          <w:rFonts w:hint="default" w:ascii="宋体" w:hAnsi="宋体" w:eastAsia="宋体" w:cs="宋体"/>
          <w:kern w:val="0"/>
          <w:sz w:val="24"/>
          <w:szCs w:val="24"/>
          <w:lang w:val="en-US" w:eastAsia="zh-CN" w:bidi="ar"/>
        </w:rPr>
        <w:t xml:space="preserve"> </w:t>
      </w:r>
      <w:r>
        <w:rPr>
          <w:rFonts w:hint="eastAsia" w:cs="宋体"/>
          <w:kern w:val="0"/>
          <w:sz w:val="24"/>
          <w:szCs w:val="24"/>
          <w:lang w:val="en-US" w:eastAsia="zh-CN" w:bidi="ar"/>
        </w:rPr>
        <w:t>《</w:t>
      </w:r>
      <w:r>
        <w:rPr>
          <w:rFonts w:hint="default" w:ascii="宋体" w:hAnsi="宋体" w:eastAsia="宋体" w:cs="宋体"/>
          <w:kern w:val="0"/>
          <w:sz w:val="24"/>
          <w:szCs w:val="24"/>
          <w:lang w:val="en-US" w:eastAsia="zh-CN" w:bidi="ar"/>
        </w:rPr>
        <w:t>木结构设计规范</w:t>
      </w:r>
      <w:r>
        <w:rPr>
          <w:rFonts w:hint="eastAsia" w:cs="宋体"/>
          <w:kern w:val="0"/>
          <w:sz w:val="24"/>
          <w:szCs w:val="24"/>
          <w:lang w:val="en-US" w:eastAsia="zh-CN" w:bidi="ar"/>
        </w:rPr>
        <w:t>》</w:t>
      </w:r>
    </w:p>
    <w:p w14:paraId="2D135824">
      <w:pPr>
        <w:keepNext w:val="0"/>
        <w:keepLines w:val="0"/>
        <w:widowControl/>
        <w:numPr>
          <w:ilvl w:val="0"/>
          <w:numId w:val="4"/>
        </w:numPr>
        <w:suppressLineNumbers w:val="0"/>
        <w:spacing w:line="360" w:lineRule="auto"/>
        <w:ind w:leftChars="0" w:firstLine="480" w:firstLineChars="200"/>
        <w:jc w:val="left"/>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GB/T 22102-2008  防腐木材</w:t>
      </w:r>
    </w:p>
    <w:p w14:paraId="77045025">
      <w:pPr>
        <w:keepNext w:val="0"/>
        <w:keepLines w:val="0"/>
        <w:widowControl/>
        <w:numPr>
          <w:ilvl w:val="0"/>
          <w:numId w:val="4"/>
        </w:numPr>
        <w:suppressLineNumbers w:val="0"/>
        <w:spacing w:line="360" w:lineRule="auto"/>
        <w:ind w:leftChars="0" w:firstLine="480" w:firstLineChars="200"/>
        <w:jc w:val="left"/>
        <w:rPr>
          <w:rFonts w:hint="default" w:ascii="宋体" w:hAnsi="宋体" w:eastAsia="宋体" w:cs="宋体"/>
          <w:kern w:val="0"/>
          <w:sz w:val="24"/>
          <w:szCs w:val="24"/>
          <w:lang w:val="en-US" w:eastAsia="zh-CN" w:bidi="ar"/>
        </w:rPr>
      </w:pPr>
      <w:r>
        <w:rPr>
          <w:rFonts w:hint="eastAsia" w:cs="宋体"/>
          <w:kern w:val="0"/>
          <w:sz w:val="24"/>
          <w:szCs w:val="24"/>
          <w:lang w:val="en-US" w:eastAsia="zh-CN" w:bidi="ar"/>
        </w:rPr>
        <w:t>GB/T 27651-2023 防腐木材使用分类和要求</w:t>
      </w:r>
    </w:p>
    <w:p w14:paraId="06109F48">
      <w:pPr>
        <w:pStyle w:val="10"/>
        <w:spacing w:before="326" w:beforeLines="100" w:after="326" w:afterLines="100"/>
        <w:rPr>
          <w:rFonts w:ascii="Times New Roman"/>
          <w:color w:val="000000" w:themeColor="text1"/>
          <w:sz w:val="28"/>
          <w:szCs w:val="28"/>
          <w14:textFill>
            <w14:solidFill>
              <w14:schemeClr w14:val="tx1"/>
            </w14:solidFill>
          </w14:textFill>
        </w:rPr>
      </w:pPr>
      <w:bookmarkStart w:id="18" w:name="_Toc12128"/>
      <w:r>
        <w:rPr>
          <w:rFonts w:hint="eastAsia" w:ascii="Times New Roman"/>
          <w:color w:val="000000" w:themeColor="text1"/>
          <w:sz w:val="28"/>
          <w:szCs w:val="28"/>
          <w:lang w:val="en-US" w:eastAsia="zh-CN"/>
          <w14:textFill>
            <w14:solidFill>
              <w14:schemeClr w14:val="tx1"/>
            </w14:solidFill>
          </w14:textFill>
        </w:rPr>
        <w:t>7</w:t>
      </w:r>
      <w:r>
        <w:rPr>
          <w:rFonts w:ascii="Times New Roman"/>
          <w:color w:val="000000" w:themeColor="text1"/>
          <w:sz w:val="28"/>
          <w:szCs w:val="28"/>
          <w14:textFill>
            <w14:solidFill>
              <w14:schemeClr w14:val="tx1"/>
            </w14:solidFill>
          </w14:textFill>
        </w:rPr>
        <w:t xml:space="preserve"> 重大意见分歧的处理依据和结果</w:t>
      </w:r>
      <w:bookmarkEnd w:id="18"/>
    </w:p>
    <w:p w14:paraId="46BB3505">
      <w:pPr>
        <w:spacing w:line="360" w:lineRule="auto"/>
        <w:ind w:firstLine="480" w:firstLineChars="200"/>
        <w:jc w:val="both"/>
        <w:rPr>
          <w:rFonts w:eastAsiaTheme="minorEastAsia"/>
          <w:b/>
          <w:color w:val="000000" w:themeColor="text1"/>
          <w:szCs w:val="28"/>
          <w14:textFill>
            <w14:solidFill>
              <w14:schemeClr w14:val="tx1"/>
            </w14:solidFill>
          </w14:textFill>
        </w:rPr>
      </w:pPr>
      <w:r>
        <w:rPr>
          <w:rFonts w:eastAsiaTheme="minorEastAsia"/>
          <w:color w:val="000000" w:themeColor="text1"/>
          <w:szCs w:val="28"/>
          <w14:textFill>
            <w14:solidFill>
              <w14:schemeClr w14:val="tx1"/>
            </w14:solidFill>
          </w14:textFill>
        </w:rPr>
        <w:t>在标准的编制过程中，</w:t>
      </w:r>
      <w:r>
        <w:rPr>
          <w:rFonts w:hint="eastAsia" w:eastAsiaTheme="minorEastAsia"/>
          <w:color w:val="000000" w:themeColor="text1"/>
          <w:szCs w:val="28"/>
          <w14:textFill>
            <w14:solidFill>
              <w14:schemeClr w14:val="tx1"/>
            </w14:solidFill>
          </w14:textFill>
        </w:rPr>
        <w:t>标准编制组在学习相关法律法规的基础上，结合建材行业实际情况，开展了本标准的制定工作，并在研究过程中征求了</w:t>
      </w:r>
      <w:r>
        <w:rPr>
          <w:rFonts w:eastAsiaTheme="minorEastAsia"/>
          <w:color w:val="000000" w:themeColor="text1"/>
          <w:szCs w:val="28"/>
          <w14:textFill>
            <w14:solidFill>
              <w14:schemeClr w14:val="tx1"/>
            </w14:solidFill>
          </w14:textFill>
        </w:rPr>
        <w:t>行业相关单位和业内专家的意见和建议，主要针对标准</w:t>
      </w:r>
      <w:r>
        <w:rPr>
          <w:rFonts w:hint="eastAsia" w:eastAsiaTheme="minorEastAsia"/>
          <w:color w:val="000000" w:themeColor="text1"/>
          <w:szCs w:val="28"/>
          <w14:textFill>
            <w14:solidFill>
              <w14:schemeClr w14:val="tx1"/>
            </w14:solidFill>
          </w14:textFill>
        </w:rPr>
        <w:t>中</w:t>
      </w:r>
      <w:r>
        <w:rPr>
          <w:rFonts w:hint="eastAsia" w:eastAsiaTheme="minorEastAsia"/>
          <w:color w:val="000000" w:themeColor="text1"/>
          <w:szCs w:val="28"/>
          <w:lang w:val="en-US" w:eastAsia="zh-CN"/>
          <w14:textFill>
            <w14:solidFill>
              <w14:schemeClr w14:val="tx1"/>
            </w14:solidFill>
          </w14:textFill>
        </w:rPr>
        <w:t>对建筑用防腐木材</w:t>
      </w:r>
      <w:r>
        <w:rPr>
          <w:rFonts w:hint="eastAsia" w:eastAsiaTheme="minorEastAsia"/>
          <w:color w:val="000000" w:themeColor="text1"/>
          <w:szCs w:val="28"/>
          <w14:textFill>
            <w14:solidFill>
              <w14:schemeClr w14:val="tx1"/>
            </w14:solidFill>
          </w14:textFill>
        </w:rPr>
        <w:t>的</w:t>
      </w:r>
      <w:r>
        <w:rPr>
          <w:rFonts w:hint="eastAsia" w:eastAsiaTheme="minorEastAsia"/>
          <w:color w:val="000000" w:themeColor="text1"/>
          <w:szCs w:val="28"/>
          <w:lang w:val="en-US" w:eastAsia="zh-CN"/>
          <w14:textFill>
            <w14:solidFill>
              <w14:schemeClr w14:val="tx1"/>
            </w14:solidFill>
          </w14:textFill>
        </w:rPr>
        <w:t>技术指标</w:t>
      </w:r>
      <w:r>
        <w:rPr>
          <w:rFonts w:hint="eastAsia" w:eastAsiaTheme="minorEastAsia"/>
          <w:color w:val="000000" w:themeColor="text1"/>
          <w:szCs w:val="28"/>
          <w14:textFill>
            <w14:solidFill>
              <w14:schemeClr w14:val="tx1"/>
            </w14:solidFill>
          </w14:textFill>
        </w:rPr>
        <w:t>和</w:t>
      </w:r>
      <w:r>
        <w:rPr>
          <w:rFonts w:hint="eastAsia" w:eastAsiaTheme="minorEastAsia"/>
          <w:color w:val="000000" w:themeColor="text1"/>
          <w:szCs w:val="28"/>
          <w:lang w:val="en-US" w:eastAsia="zh-CN"/>
          <w14:textFill>
            <w14:solidFill>
              <w14:schemeClr w14:val="tx1"/>
            </w14:solidFill>
          </w14:textFill>
        </w:rPr>
        <w:t>分类</w:t>
      </w:r>
      <w:r>
        <w:rPr>
          <w:rFonts w:eastAsiaTheme="minorEastAsia"/>
          <w:color w:val="000000" w:themeColor="text1"/>
          <w:szCs w:val="28"/>
          <w14:textFill>
            <w14:solidFill>
              <w14:schemeClr w14:val="tx1"/>
            </w14:solidFill>
          </w14:textFill>
        </w:rPr>
        <w:t>范围做了深入研讨，各家单位和行业专家结合自身的工作经验和</w:t>
      </w:r>
      <w:r>
        <w:rPr>
          <w:rFonts w:hint="eastAsia" w:eastAsiaTheme="minorEastAsia"/>
          <w:color w:val="000000" w:themeColor="text1"/>
          <w:szCs w:val="28"/>
          <w14:textFill>
            <w14:solidFill>
              <w14:schemeClr w14:val="tx1"/>
            </w14:solidFill>
          </w14:textFill>
        </w:rPr>
        <w:t>实际调研</w:t>
      </w:r>
      <w:r>
        <w:rPr>
          <w:rFonts w:eastAsiaTheme="minorEastAsia"/>
          <w:color w:val="000000" w:themeColor="text1"/>
          <w:szCs w:val="28"/>
          <w14:textFill>
            <w14:solidFill>
              <w14:schemeClr w14:val="tx1"/>
            </w14:solidFill>
          </w14:textFill>
        </w:rPr>
        <w:t>作为</w:t>
      </w:r>
      <w:r>
        <w:rPr>
          <w:rFonts w:hint="eastAsia" w:eastAsiaTheme="minorEastAsia"/>
          <w:color w:val="000000" w:themeColor="text1"/>
          <w:szCs w:val="28"/>
          <w14:textFill>
            <w14:solidFill>
              <w14:schemeClr w14:val="tx1"/>
            </w14:solidFill>
          </w14:textFill>
        </w:rPr>
        <w:t>标准内容</w:t>
      </w:r>
      <w:r>
        <w:rPr>
          <w:rFonts w:eastAsiaTheme="minorEastAsia"/>
          <w:color w:val="000000" w:themeColor="text1"/>
          <w:szCs w:val="28"/>
          <w14:textFill>
            <w14:solidFill>
              <w14:schemeClr w14:val="tx1"/>
            </w14:solidFill>
          </w14:textFill>
        </w:rPr>
        <w:t>支撑的有力依据，最终对标准要求达成一致。编制过程中对标准的主要内容并未产生重大意见分歧。</w:t>
      </w:r>
    </w:p>
    <w:p w14:paraId="5A54F6B1">
      <w:pPr>
        <w:pStyle w:val="10"/>
        <w:spacing w:before="326" w:beforeLines="100" w:after="326" w:afterLines="100"/>
        <w:rPr>
          <w:rFonts w:ascii="Times New Roman"/>
          <w:color w:val="000000" w:themeColor="text1"/>
          <w:sz w:val="28"/>
          <w:szCs w:val="28"/>
          <w14:textFill>
            <w14:solidFill>
              <w14:schemeClr w14:val="tx1"/>
            </w14:solidFill>
          </w14:textFill>
        </w:rPr>
      </w:pPr>
      <w:bookmarkStart w:id="19" w:name="_Toc29268"/>
      <w:r>
        <w:rPr>
          <w:rFonts w:hint="eastAsia" w:ascii="Times New Roman"/>
          <w:color w:val="000000" w:themeColor="text1"/>
          <w:sz w:val="28"/>
          <w:szCs w:val="28"/>
          <w:lang w:val="en-US" w:eastAsia="zh-CN"/>
          <w14:textFill>
            <w14:solidFill>
              <w14:schemeClr w14:val="tx1"/>
            </w14:solidFill>
          </w14:textFill>
        </w:rPr>
        <w:t>8</w:t>
      </w:r>
      <w:r>
        <w:rPr>
          <w:rFonts w:ascii="Times New Roman"/>
          <w:color w:val="000000" w:themeColor="text1"/>
          <w:sz w:val="28"/>
          <w:szCs w:val="28"/>
          <w14:textFill>
            <w14:solidFill>
              <w14:schemeClr w14:val="tx1"/>
            </w14:solidFill>
          </w14:textFill>
        </w:rPr>
        <w:t xml:space="preserve"> </w:t>
      </w:r>
      <w:r>
        <w:rPr>
          <w:rFonts w:hint="eastAsia" w:ascii="Times New Roman"/>
          <w:color w:val="000000" w:themeColor="text1"/>
          <w:sz w:val="28"/>
          <w:szCs w:val="28"/>
          <w14:textFill>
            <w14:solidFill>
              <w14:schemeClr w14:val="tx1"/>
            </w14:solidFill>
          </w14:textFill>
        </w:rPr>
        <w:t>标准性质的建议说明</w:t>
      </w:r>
      <w:bookmarkEnd w:id="19"/>
    </w:p>
    <w:p w14:paraId="1C409677">
      <w:pPr>
        <w:spacing w:line="360" w:lineRule="auto"/>
        <w:ind w:firstLine="480" w:firstLineChars="200"/>
        <w:jc w:val="both"/>
        <w:rPr>
          <w:rFonts w:eastAsiaTheme="minorEastAsia"/>
          <w:color w:val="000000" w:themeColor="text1"/>
          <w:szCs w:val="28"/>
          <w14:textFill>
            <w14:solidFill>
              <w14:schemeClr w14:val="tx1"/>
            </w14:solidFill>
          </w14:textFill>
        </w:rPr>
      </w:pPr>
      <w:r>
        <w:rPr>
          <w:rFonts w:hint="eastAsia" w:eastAsiaTheme="minorEastAsia"/>
          <w:color w:val="000000" w:themeColor="text1"/>
          <w:szCs w:val="28"/>
          <w14:textFill>
            <w14:solidFill>
              <w14:schemeClr w14:val="tx1"/>
            </w14:solidFill>
          </w14:textFill>
        </w:rPr>
        <w:t>建议本标准为推荐性，发布后立即实施。</w:t>
      </w:r>
    </w:p>
    <w:p w14:paraId="60A57F55">
      <w:pPr>
        <w:pStyle w:val="10"/>
        <w:spacing w:before="326" w:beforeLines="100" w:after="326" w:afterLines="100"/>
        <w:rPr>
          <w:rFonts w:ascii="Times New Roman"/>
          <w:color w:val="000000" w:themeColor="text1"/>
          <w:sz w:val="28"/>
          <w:szCs w:val="28"/>
          <w14:textFill>
            <w14:solidFill>
              <w14:schemeClr w14:val="tx1"/>
            </w14:solidFill>
          </w14:textFill>
        </w:rPr>
      </w:pPr>
      <w:bookmarkStart w:id="20" w:name="_Toc22430"/>
      <w:r>
        <w:rPr>
          <w:rFonts w:hint="eastAsia" w:ascii="Times New Roman"/>
          <w:color w:val="000000" w:themeColor="text1"/>
          <w:sz w:val="28"/>
          <w:szCs w:val="28"/>
          <w:lang w:val="en-US" w:eastAsia="zh-CN"/>
          <w14:textFill>
            <w14:solidFill>
              <w14:schemeClr w14:val="tx1"/>
            </w14:solidFill>
          </w14:textFill>
        </w:rPr>
        <w:t>9</w:t>
      </w:r>
      <w:r>
        <w:rPr>
          <w:rFonts w:ascii="Times New Roman"/>
          <w:color w:val="000000" w:themeColor="text1"/>
          <w:sz w:val="28"/>
          <w:szCs w:val="28"/>
          <w14:textFill>
            <w14:solidFill>
              <w14:schemeClr w14:val="tx1"/>
            </w14:solidFill>
          </w14:textFill>
        </w:rPr>
        <w:t xml:space="preserve"> 贯彻标准的措施建议</w:t>
      </w:r>
      <w:bookmarkEnd w:id="20"/>
    </w:p>
    <w:p w14:paraId="165F407C">
      <w:pPr>
        <w:spacing w:line="360" w:lineRule="auto"/>
        <w:ind w:firstLine="480"/>
        <w:jc w:val="both"/>
        <w:rPr>
          <w:color w:val="000000" w:themeColor="text1"/>
          <w:szCs w:val="28"/>
          <w14:textFill>
            <w14:solidFill>
              <w14:schemeClr w14:val="tx1"/>
            </w14:solidFill>
          </w14:textFill>
        </w:rPr>
      </w:pPr>
      <w:r>
        <w:rPr>
          <w:rFonts w:eastAsiaTheme="minorEastAsia"/>
          <w:color w:val="000000" w:themeColor="text1"/>
          <w:szCs w:val="28"/>
          <w14:textFill>
            <w14:solidFill>
              <w14:schemeClr w14:val="tx1"/>
            </w14:solidFill>
          </w14:textFill>
        </w:rPr>
        <w:t>建议在本标准</w:t>
      </w:r>
      <w:r>
        <w:rPr>
          <w:rFonts w:hint="eastAsia" w:eastAsiaTheme="minorEastAsia"/>
          <w:color w:val="000000" w:themeColor="text1"/>
          <w:szCs w:val="28"/>
          <w:lang w:val="en-US" w:eastAsia="zh-CN"/>
          <w14:textFill>
            <w14:solidFill>
              <w14:schemeClr w14:val="tx1"/>
            </w14:solidFill>
          </w14:textFill>
        </w:rPr>
        <w:t>修订</w:t>
      </w:r>
      <w:r>
        <w:rPr>
          <w:rFonts w:eastAsiaTheme="minorEastAsia"/>
          <w:color w:val="000000" w:themeColor="text1"/>
          <w:szCs w:val="28"/>
          <w14:textFill>
            <w14:solidFill>
              <w14:schemeClr w14:val="tx1"/>
            </w14:solidFill>
          </w14:textFill>
        </w:rPr>
        <w:t>后，各</w:t>
      </w:r>
      <w:r>
        <w:rPr>
          <w:rFonts w:hint="eastAsia" w:eastAsiaTheme="minorEastAsia"/>
          <w:color w:val="000000" w:themeColor="text1"/>
          <w:szCs w:val="28"/>
          <w:lang w:val="en-US" w:eastAsia="zh-CN"/>
          <w14:textFill>
            <w14:solidFill>
              <w14:schemeClr w14:val="tx1"/>
            </w14:solidFill>
          </w14:textFill>
        </w:rPr>
        <w:t>防腐木材等</w:t>
      </w:r>
      <w:r>
        <w:rPr>
          <w:rFonts w:hint="eastAsia" w:eastAsiaTheme="minorEastAsia"/>
          <w:color w:val="000000" w:themeColor="text1"/>
          <w:szCs w:val="28"/>
          <w14:textFill>
            <w14:solidFill>
              <w14:schemeClr w14:val="tx1"/>
            </w14:solidFill>
          </w14:textFill>
        </w:rPr>
        <w:t>生产企业</w:t>
      </w:r>
      <w:r>
        <w:rPr>
          <w:rFonts w:hint="eastAsia" w:eastAsiaTheme="minorEastAsia"/>
          <w:color w:val="000000" w:themeColor="text1"/>
          <w:szCs w:val="28"/>
          <w:lang w:eastAsia="zh-CN"/>
          <w14:textFill>
            <w14:solidFill>
              <w14:schemeClr w14:val="tx1"/>
            </w14:solidFill>
          </w14:textFill>
        </w:rPr>
        <w:t>、</w:t>
      </w:r>
      <w:r>
        <w:rPr>
          <w:rFonts w:hint="eastAsia" w:eastAsiaTheme="minorEastAsia"/>
          <w:color w:val="000000" w:themeColor="text1"/>
          <w:szCs w:val="28"/>
          <w:lang w:val="en-US" w:eastAsia="zh-CN"/>
          <w14:textFill>
            <w14:solidFill>
              <w14:schemeClr w14:val="tx1"/>
            </w14:solidFill>
          </w14:textFill>
        </w:rPr>
        <w:t>建筑承包方等施工企业、</w:t>
      </w:r>
      <w:r>
        <w:rPr>
          <w:rFonts w:eastAsiaTheme="minorEastAsia"/>
          <w:color w:val="000000" w:themeColor="text1"/>
          <w:szCs w:val="28"/>
          <w14:textFill>
            <w14:solidFill>
              <w14:schemeClr w14:val="tx1"/>
            </w14:solidFill>
          </w14:textFill>
        </w:rPr>
        <w:t>科研单位以及地方管理部门能够依据本标准中的相关规定</w:t>
      </w:r>
      <w:r>
        <w:rPr>
          <w:rFonts w:hint="eastAsia" w:eastAsiaTheme="minorEastAsia"/>
          <w:color w:val="000000" w:themeColor="text1"/>
          <w:szCs w:val="28"/>
          <w:lang w:val="en-US" w:eastAsia="zh-CN"/>
          <w14:textFill>
            <w14:solidFill>
              <w14:schemeClr w14:val="tx1"/>
            </w14:solidFill>
          </w14:textFill>
        </w:rPr>
        <w:t>对建筑用防腐木材技术指标进行要求</w:t>
      </w:r>
      <w:r>
        <w:rPr>
          <w:rFonts w:eastAsiaTheme="minorEastAsia"/>
          <w:color w:val="000000" w:themeColor="text1"/>
          <w:szCs w:val="28"/>
          <w14:textFill>
            <w14:solidFill>
              <w14:schemeClr w14:val="tx1"/>
            </w14:solidFill>
          </w14:textFill>
        </w:rPr>
        <w:t>。</w:t>
      </w:r>
      <w:r>
        <w:rPr>
          <w:color w:val="000000" w:themeColor="text1"/>
          <w:szCs w:val="28"/>
          <w14:textFill>
            <w14:solidFill>
              <w14:schemeClr w14:val="tx1"/>
            </w14:solidFill>
          </w14:textFill>
        </w:rPr>
        <w:t>具体实施措施建议如下：</w:t>
      </w:r>
    </w:p>
    <w:p w14:paraId="40C0C59D">
      <w:pPr>
        <w:spacing w:line="360" w:lineRule="auto"/>
        <w:ind w:firstLine="480"/>
        <w:jc w:val="both"/>
        <w:rPr>
          <w:color w:val="000000" w:themeColor="text1"/>
          <w:szCs w:val="28"/>
          <w14:textFill>
            <w14:solidFill>
              <w14:schemeClr w14:val="tx1"/>
            </w14:solidFill>
          </w14:textFill>
        </w:rPr>
      </w:pPr>
      <w:r>
        <w:rPr>
          <w:color w:val="000000" w:themeColor="text1"/>
          <w:szCs w:val="28"/>
          <w14:textFill>
            <w14:solidFill>
              <w14:schemeClr w14:val="tx1"/>
            </w14:solidFill>
          </w14:textFill>
        </w:rPr>
        <w:t>（1）标准归口单位进行贯标指导，组织标准宣贯培训班，由标准制定人员主讲。设立专门的答疑或咨询部门或网站，为贯标企业排忧解难，组织有关人员积极参加行业协会组织的各项活动，培训班等。及时了解标准制、修订信息。</w:t>
      </w:r>
    </w:p>
    <w:p w14:paraId="3E69F7A5">
      <w:pPr>
        <w:spacing w:line="360" w:lineRule="auto"/>
        <w:ind w:firstLine="480"/>
        <w:jc w:val="both"/>
        <w:rPr>
          <w:color w:val="000000" w:themeColor="text1"/>
          <w:szCs w:val="28"/>
          <w14:textFill>
            <w14:solidFill>
              <w14:schemeClr w14:val="tx1"/>
            </w14:solidFill>
          </w14:textFill>
        </w:rPr>
      </w:pPr>
      <w:r>
        <w:rPr>
          <w:color w:val="000000" w:themeColor="text1"/>
          <w:szCs w:val="28"/>
          <w14:textFill>
            <w14:solidFill>
              <w14:schemeClr w14:val="tx1"/>
            </w14:solidFill>
          </w14:textFill>
        </w:rPr>
        <w:t>（</w:t>
      </w:r>
      <w:r>
        <w:rPr>
          <w:rFonts w:hint="eastAsia"/>
          <w:color w:val="000000" w:themeColor="text1"/>
          <w:szCs w:val="28"/>
          <w:lang w:val="en-US" w:eastAsia="zh-CN"/>
          <w14:textFill>
            <w14:solidFill>
              <w14:schemeClr w14:val="tx1"/>
            </w14:solidFill>
          </w14:textFill>
        </w:rPr>
        <w:t>2</w:t>
      </w:r>
      <w:r>
        <w:rPr>
          <w:color w:val="000000" w:themeColor="text1"/>
          <w:szCs w:val="28"/>
          <w14:textFill>
            <w14:solidFill>
              <w14:schemeClr w14:val="tx1"/>
            </w14:solidFill>
          </w14:textFill>
        </w:rPr>
        <w:t>）鼓励行业相关企业</w:t>
      </w:r>
      <w:r>
        <w:rPr>
          <w:rFonts w:hint="eastAsia"/>
          <w:color w:val="000000" w:themeColor="text1"/>
          <w:szCs w:val="28"/>
          <w:lang w:eastAsia="zh-CN"/>
          <w14:textFill>
            <w14:solidFill>
              <w14:schemeClr w14:val="tx1"/>
            </w14:solidFill>
          </w14:textFill>
        </w:rPr>
        <w:t>、</w:t>
      </w:r>
      <w:r>
        <w:rPr>
          <w:rFonts w:hint="eastAsia"/>
          <w:color w:val="000000" w:themeColor="text1"/>
          <w:szCs w:val="28"/>
          <w:lang w:val="en-US" w:eastAsia="zh-CN"/>
          <w14:textFill>
            <w14:solidFill>
              <w14:schemeClr w14:val="tx1"/>
            </w14:solidFill>
          </w14:textFill>
        </w:rPr>
        <w:t>科研单位</w:t>
      </w:r>
      <w:r>
        <w:rPr>
          <w:color w:val="000000" w:themeColor="text1"/>
          <w:szCs w:val="28"/>
          <w14:textFill>
            <w14:solidFill>
              <w14:schemeClr w14:val="tx1"/>
            </w14:solidFill>
          </w14:textFill>
        </w:rPr>
        <w:t>成立标准贯彻实施小组，组员由标准化技术人员、产品主管设计人员、工艺主管设计人员、</w:t>
      </w:r>
      <w:r>
        <w:rPr>
          <w:rFonts w:hint="eastAsia"/>
          <w:color w:val="000000" w:themeColor="text1"/>
          <w:szCs w:val="28"/>
          <w:lang w:val="en-US" w:eastAsia="zh-CN"/>
          <w14:textFill>
            <w14:solidFill>
              <w14:schemeClr w14:val="tx1"/>
            </w14:solidFill>
          </w14:textFill>
        </w:rPr>
        <w:t>施工</w:t>
      </w:r>
      <w:r>
        <w:rPr>
          <w:color w:val="000000" w:themeColor="text1"/>
          <w:szCs w:val="28"/>
          <w14:textFill>
            <w14:solidFill>
              <w14:schemeClr w14:val="tx1"/>
            </w14:solidFill>
          </w14:textFill>
        </w:rPr>
        <w:t>人员、车间技术人员等工作人员组成，进行明确的分工合作，适时组织标准宣贯会，使</w:t>
      </w:r>
      <w:r>
        <w:rPr>
          <w:rFonts w:hint="eastAsia"/>
          <w:color w:val="000000" w:themeColor="text1"/>
          <w:szCs w:val="28"/>
          <w14:textFill>
            <w14:solidFill>
              <w14:schemeClr w14:val="tx1"/>
            </w14:solidFill>
          </w14:textFill>
        </w:rPr>
        <w:t>企业能够顺利</w:t>
      </w:r>
      <w:r>
        <w:rPr>
          <w:color w:val="000000" w:themeColor="text1"/>
          <w:szCs w:val="28"/>
          <w14:textFill>
            <w14:solidFill>
              <w14:schemeClr w14:val="tx1"/>
            </w14:solidFill>
          </w14:textFill>
        </w:rPr>
        <w:t>执行标准</w:t>
      </w:r>
      <w:r>
        <w:rPr>
          <w:rFonts w:hint="eastAsia"/>
          <w:color w:val="000000" w:themeColor="text1"/>
          <w:szCs w:val="28"/>
          <w14:textFill>
            <w14:solidFill>
              <w14:schemeClr w14:val="tx1"/>
            </w14:solidFill>
          </w14:textFill>
        </w:rPr>
        <w:t>，科学开展</w:t>
      </w:r>
      <w:r>
        <w:rPr>
          <w:rFonts w:hint="eastAsia"/>
          <w:color w:val="000000" w:themeColor="text1"/>
          <w:szCs w:val="28"/>
          <w:lang w:val="en-US" w:eastAsia="zh-CN"/>
          <w14:textFill>
            <w14:solidFill>
              <w14:schemeClr w14:val="tx1"/>
            </w14:solidFill>
          </w14:textFill>
        </w:rPr>
        <w:t>产品质检前的取样工作</w:t>
      </w:r>
      <w:r>
        <w:rPr>
          <w:color w:val="000000" w:themeColor="text1"/>
          <w:szCs w:val="28"/>
          <w14:textFill>
            <w14:solidFill>
              <w14:schemeClr w14:val="tx1"/>
            </w14:solidFill>
          </w14:textFill>
        </w:rPr>
        <w:t>。</w:t>
      </w:r>
    </w:p>
    <w:p w14:paraId="55B4E6E7">
      <w:pPr>
        <w:spacing w:line="360" w:lineRule="auto"/>
        <w:ind w:firstLine="480"/>
        <w:jc w:val="both"/>
        <w:rPr>
          <w:rFonts w:hint="default" w:eastAsia="宋体"/>
          <w:color w:val="000000" w:themeColor="text1"/>
          <w:szCs w:val="28"/>
          <w:lang w:val="en-US" w:eastAsia="zh-CN"/>
          <w14:textFill>
            <w14:solidFill>
              <w14:schemeClr w14:val="tx1"/>
            </w14:solidFill>
          </w14:textFill>
        </w:rPr>
      </w:pPr>
      <w:r>
        <w:rPr>
          <w:color w:val="000000" w:themeColor="text1"/>
          <w:szCs w:val="28"/>
          <w14:textFill>
            <w14:solidFill>
              <w14:schemeClr w14:val="tx1"/>
            </w14:solidFill>
          </w14:textFill>
        </w:rPr>
        <w:t>（</w:t>
      </w:r>
      <w:r>
        <w:rPr>
          <w:rFonts w:hint="eastAsia"/>
          <w:color w:val="000000" w:themeColor="text1"/>
          <w:szCs w:val="28"/>
          <w:lang w:val="en-US" w:eastAsia="zh-CN"/>
          <w14:textFill>
            <w14:solidFill>
              <w14:schemeClr w14:val="tx1"/>
            </w14:solidFill>
          </w14:textFill>
        </w:rPr>
        <w:t>3</w:t>
      </w:r>
      <w:r>
        <w:rPr>
          <w:color w:val="000000" w:themeColor="text1"/>
          <w:szCs w:val="28"/>
          <w14:textFill>
            <w14:solidFill>
              <w14:schemeClr w14:val="tx1"/>
            </w14:solidFill>
          </w14:textFill>
        </w:rPr>
        <w:t>）标准化技术人员全面负责贯标实施工作，跟踪服务对贯标中出现的技术问题进行协调处理</w:t>
      </w:r>
      <w:r>
        <w:rPr>
          <w:rFonts w:hint="eastAsia"/>
          <w:color w:val="000000" w:themeColor="text1"/>
          <w:szCs w:val="28"/>
          <w14:textFill>
            <w14:solidFill>
              <w14:schemeClr w14:val="tx1"/>
            </w14:solidFill>
          </w14:textFill>
        </w:rPr>
        <w:t>并</w:t>
      </w:r>
      <w:r>
        <w:rPr>
          <w:color w:val="000000" w:themeColor="text1"/>
          <w:szCs w:val="28"/>
          <w14:textFill>
            <w14:solidFill>
              <w14:schemeClr w14:val="tx1"/>
            </w14:solidFill>
          </w14:textFill>
        </w:rPr>
        <w:t>作好贯标记录，并进行长期监督检查工作。</w:t>
      </w:r>
    </w:p>
    <w:p w14:paraId="0FE3AF55">
      <w:pPr>
        <w:pStyle w:val="10"/>
        <w:spacing w:before="326" w:beforeLines="100" w:after="326" w:afterLines="100"/>
        <w:rPr>
          <w:rFonts w:ascii="Times New Roman"/>
          <w:color w:val="000000" w:themeColor="text1"/>
          <w:sz w:val="28"/>
          <w:szCs w:val="28"/>
          <w14:textFill>
            <w14:solidFill>
              <w14:schemeClr w14:val="tx1"/>
            </w14:solidFill>
          </w14:textFill>
        </w:rPr>
      </w:pPr>
      <w:bookmarkStart w:id="21" w:name="_Toc956"/>
      <w:r>
        <w:rPr>
          <w:rFonts w:ascii="Times New Roman"/>
          <w:color w:val="000000" w:themeColor="text1"/>
          <w:sz w:val="28"/>
          <w:szCs w:val="28"/>
          <w14:textFill>
            <w14:solidFill>
              <w14:schemeClr w14:val="tx1"/>
            </w14:solidFill>
          </w14:textFill>
        </w:rPr>
        <w:t>1</w:t>
      </w:r>
      <w:r>
        <w:rPr>
          <w:rFonts w:hint="eastAsia" w:ascii="Times New Roman"/>
          <w:color w:val="000000" w:themeColor="text1"/>
          <w:sz w:val="28"/>
          <w:szCs w:val="28"/>
          <w:lang w:val="en-US" w:eastAsia="zh-CN"/>
          <w14:textFill>
            <w14:solidFill>
              <w14:schemeClr w14:val="tx1"/>
            </w14:solidFill>
          </w14:textFill>
        </w:rPr>
        <w:t>0</w:t>
      </w:r>
      <w:r>
        <w:rPr>
          <w:rFonts w:ascii="Times New Roman"/>
          <w:color w:val="000000" w:themeColor="text1"/>
          <w:sz w:val="28"/>
          <w:szCs w:val="28"/>
          <w14:textFill>
            <w14:solidFill>
              <w14:schemeClr w14:val="tx1"/>
            </w14:solidFill>
          </w14:textFill>
        </w:rPr>
        <w:t xml:space="preserve"> 废止现行有关标准的建议</w:t>
      </w:r>
      <w:bookmarkEnd w:id="21"/>
    </w:p>
    <w:p w14:paraId="2CCA1498">
      <w:pPr>
        <w:spacing w:line="360" w:lineRule="auto"/>
        <w:ind w:firstLine="480"/>
        <w:jc w:val="both"/>
        <w:rPr>
          <w:rFonts w:eastAsiaTheme="minorEastAsia"/>
          <w:color w:val="000000" w:themeColor="text1"/>
          <w:szCs w:val="28"/>
          <w14:textFill>
            <w14:solidFill>
              <w14:schemeClr w14:val="tx1"/>
            </w14:solidFill>
          </w14:textFill>
        </w:rPr>
      </w:pPr>
      <w:r>
        <w:rPr>
          <w:rFonts w:eastAsiaTheme="minorEastAsia"/>
          <w:color w:val="000000" w:themeColor="text1"/>
          <w:szCs w:val="28"/>
          <w14:textFill>
            <w14:solidFill>
              <w14:schemeClr w14:val="tx1"/>
            </w14:solidFill>
          </w14:textFill>
        </w:rPr>
        <w:t>无。</w:t>
      </w:r>
    </w:p>
    <w:p w14:paraId="5F84C4FD">
      <w:pPr>
        <w:pStyle w:val="10"/>
        <w:spacing w:before="326" w:beforeLines="100" w:after="326" w:afterLines="100"/>
        <w:rPr>
          <w:rFonts w:ascii="Times New Roman"/>
          <w:color w:val="000000" w:themeColor="text1"/>
          <w:sz w:val="28"/>
          <w:szCs w:val="28"/>
          <w14:textFill>
            <w14:solidFill>
              <w14:schemeClr w14:val="tx1"/>
            </w14:solidFill>
          </w14:textFill>
        </w:rPr>
      </w:pPr>
      <w:bookmarkStart w:id="22" w:name="_Toc30754"/>
      <w:r>
        <w:rPr>
          <w:rFonts w:ascii="Times New Roman"/>
          <w:color w:val="000000" w:themeColor="text1"/>
          <w:sz w:val="28"/>
          <w:szCs w:val="28"/>
          <w14:textFill>
            <w14:solidFill>
              <w14:schemeClr w14:val="tx1"/>
            </w14:solidFill>
          </w14:textFill>
        </w:rPr>
        <w:t>1</w:t>
      </w:r>
      <w:r>
        <w:rPr>
          <w:rFonts w:hint="eastAsia" w:ascii="Times New Roman"/>
          <w:color w:val="000000" w:themeColor="text1"/>
          <w:sz w:val="28"/>
          <w:szCs w:val="28"/>
          <w:lang w:val="en-US" w:eastAsia="zh-CN"/>
          <w14:textFill>
            <w14:solidFill>
              <w14:schemeClr w14:val="tx1"/>
            </w14:solidFill>
          </w14:textFill>
        </w:rPr>
        <w:t>1</w:t>
      </w:r>
      <w:r>
        <w:rPr>
          <w:rFonts w:ascii="Times New Roman"/>
          <w:color w:val="000000" w:themeColor="text1"/>
          <w:sz w:val="28"/>
          <w:szCs w:val="28"/>
          <w14:textFill>
            <w14:solidFill>
              <w14:schemeClr w14:val="tx1"/>
            </w14:solidFill>
          </w14:textFill>
        </w:rPr>
        <w:t xml:space="preserve"> 其他应说明的事项</w:t>
      </w:r>
      <w:bookmarkEnd w:id="22"/>
    </w:p>
    <w:p w14:paraId="0385F97A">
      <w:pPr>
        <w:spacing w:line="360" w:lineRule="auto"/>
        <w:ind w:firstLine="495"/>
        <w:jc w:val="both"/>
        <w:rPr>
          <w:rFonts w:eastAsiaTheme="minorEastAsia"/>
          <w:color w:val="000000" w:themeColor="text1"/>
          <w:szCs w:val="28"/>
          <w14:textFill>
            <w14:solidFill>
              <w14:schemeClr w14:val="tx1"/>
            </w14:solidFill>
          </w14:textFill>
        </w:rPr>
      </w:pPr>
      <w:r>
        <w:rPr>
          <w:rFonts w:eastAsiaTheme="minorEastAsia"/>
          <w:color w:val="000000" w:themeColor="text1"/>
          <w:szCs w:val="28"/>
          <w14:textFill>
            <w14:solidFill>
              <w14:schemeClr w14:val="tx1"/>
            </w14:solidFill>
          </w14:textFill>
        </w:rPr>
        <w:t>无。</w:t>
      </w:r>
    </w:p>
    <w:p w14:paraId="71AED140"/>
    <w:sectPr>
      <w:footerReference r:id="rId3" w:type="default"/>
      <w:pgSz w:w="11906" w:h="16838"/>
      <w:pgMar w:top="1134" w:right="1134" w:bottom="1134" w:left="1304"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auto"/>
    <w:pitch w:val="default"/>
    <w:sig w:usb0="00000000" w:usb1="00000000"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汉仪书宋二KW">
    <w:panose1 w:val="00020600040101010101"/>
    <w:charset w:val="86"/>
    <w:family w:val="auto"/>
    <w:pitch w:val="default"/>
    <w:sig w:usb0="A00002BF" w:usb1="18EF7CFA" w:usb2="00000016" w:usb3="00000000" w:csb0="00040000" w:csb1="00000000"/>
  </w:font>
  <w:font w:name="冬青黑体简体中文">
    <w:panose1 w:val="020B0300000000000000"/>
    <w:charset w:val="86"/>
    <w:family w:val="auto"/>
    <w:pitch w:val="default"/>
    <w:sig w:usb0="A00002BF" w:usb1="1ACF7CFA" w:usb2="00000016" w:usb3="00000000" w:csb0="00060007"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C02AC2">
    <w:pPr>
      <w:pStyle w:val="3"/>
      <w:jc w:val="right"/>
    </w:pPr>
    <w:r>
      <w:fldChar w:fldCharType="begin"/>
    </w:r>
    <w:r>
      <w:instrText xml:space="preserve"> PAGE   \* MERGEFORMAT </w:instrText>
    </w:r>
    <w:r>
      <w:fldChar w:fldCharType="separate"/>
    </w:r>
    <w:r>
      <w:rPr>
        <w:lang w:val="zh-CN"/>
      </w:rPr>
      <w:t>29</w:t>
    </w:r>
    <w:r>
      <w:rPr>
        <w:lang w:val="zh-CN"/>
      </w:rPr>
      <w:fldChar w:fldCharType="end"/>
    </w:r>
  </w:p>
  <w:p w14:paraId="6335100B">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0D809A"/>
    <w:multiLevelType w:val="singleLevel"/>
    <w:tmpl w:val="BE0D809A"/>
    <w:lvl w:ilvl="0" w:tentative="0">
      <w:start w:val="1"/>
      <w:numFmt w:val="decimal"/>
      <w:suff w:val="space"/>
      <w:lvlText w:val="%1."/>
      <w:lvlJc w:val="left"/>
    </w:lvl>
  </w:abstractNum>
  <w:abstractNum w:abstractNumId="1">
    <w:nsid w:val="1FC91163"/>
    <w:multiLevelType w:val="multilevel"/>
    <w:tmpl w:val="1FC91163"/>
    <w:lvl w:ilvl="0" w:tentative="0">
      <w:start w:val="1"/>
      <w:numFmt w:val="decimal"/>
      <w:suff w:val="nothing"/>
      <w:lvlText w:val="%1　"/>
      <w:lvlJc w:val="left"/>
      <w:pPr>
        <w:ind w:left="710" w:firstLine="0"/>
      </w:pPr>
      <w:rPr>
        <w:rFonts w:hint="eastAsia" w:ascii="黑体" w:hAnsi="Times New Roman" w:eastAsia="黑体"/>
        <w:b w:val="0"/>
        <w:i w:val="0"/>
        <w:sz w:val="21"/>
        <w:szCs w:val="21"/>
      </w:rPr>
    </w:lvl>
    <w:lvl w:ilvl="1" w:tentative="0">
      <w:start w:val="1"/>
      <w:numFmt w:val="decimal"/>
      <w:suff w:val="nothing"/>
      <w:lvlText w:val="%1.%2　"/>
      <w:lvlJc w:val="left"/>
      <w:pPr>
        <w:ind w:left="1135"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142"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67489FA5"/>
    <w:multiLevelType w:val="singleLevel"/>
    <w:tmpl w:val="67489FA5"/>
    <w:lvl w:ilvl="0" w:tentative="0">
      <w:start w:val="1"/>
      <w:numFmt w:val="decimal"/>
      <w:suff w:val="space"/>
      <w:lvlText w:val="%1."/>
      <w:lvlJc w:val="left"/>
    </w:lvl>
  </w:abstractNum>
  <w:abstractNum w:abstractNumId="3">
    <w:nsid w:val="7BFFE8D0"/>
    <w:multiLevelType w:val="singleLevel"/>
    <w:tmpl w:val="7BFFE8D0"/>
    <w:lvl w:ilvl="0" w:tentative="0">
      <w:start w:val="1"/>
      <w:numFmt w:val="decimal"/>
      <w:suff w:val="nothing"/>
      <w:lvlText w:val="（%1）"/>
      <w:lvlJc w:val="left"/>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429A"/>
    <w:rsid w:val="211B28E7"/>
    <w:rsid w:val="2C23429A"/>
    <w:rsid w:val="34CD12E6"/>
    <w:rsid w:val="FFA7F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qFormat/>
    <w:uiPriority w:val="9"/>
    <w:pPr>
      <w:keepNext/>
      <w:keepLines/>
      <w:spacing w:line="360" w:lineRule="auto"/>
      <w:outlineLvl w:val="0"/>
    </w:pPr>
    <w:rPr>
      <w:b/>
      <w:bCs/>
      <w:kern w:val="44"/>
      <w:sz w:val="28"/>
      <w:szCs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pPr>
    <w:rPr>
      <w:sz w:val="18"/>
      <w:szCs w:val="18"/>
    </w:rPr>
  </w:style>
  <w:style w:type="paragraph" w:styleId="4">
    <w:name w:val="toc 1"/>
    <w:basedOn w:val="1"/>
    <w:next w:val="1"/>
    <w:unhideWhenUsed/>
    <w:qFormat/>
    <w:uiPriority w:val="39"/>
  </w:style>
  <w:style w:type="paragraph" w:styleId="5">
    <w:name w:val="toc 2"/>
    <w:basedOn w:val="1"/>
    <w:next w:val="1"/>
    <w:unhideWhenUsed/>
    <w:qFormat/>
    <w:uiPriority w:val="39"/>
    <w:pPr>
      <w:ind w:left="420" w:leftChars="200"/>
    </w:pPr>
  </w:style>
  <w:style w:type="paragraph" w:customStyle="1" w:styleId="8">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9">
    <w:name w:val="TOC 标题1"/>
    <w:basedOn w:val="2"/>
    <w:next w:val="1"/>
    <w:unhideWhenUsed/>
    <w:qFormat/>
    <w:uiPriority w:val="39"/>
    <w:pPr>
      <w:spacing w:before="240" w:line="259" w:lineRule="auto"/>
      <w:outlineLvl w:val="9"/>
    </w:pPr>
    <w:rPr>
      <w:rFonts w:asciiTheme="majorHAnsi" w:hAnsiTheme="majorHAnsi" w:eastAsiaTheme="majorEastAsia" w:cstheme="majorBidi"/>
      <w:b w:val="0"/>
      <w:bCs w:val="0"/>
      <w:color w:val="2E54A1" w:themeColor="accent1" w:themeShade="BF"/>
      <w:kern w:val="0"/>
      <w:sz w:val="32"/>
      <w:szCs w:val="32"/>
    </w:rPr>
  </w:style>
  <w:style w:type="paragraph" w:customStyle="1" w:styleId="10">
    <w:name w:val="章标题"/>
    <w:next w:val="1"/>
    <w:qFormat/>
    <w:uiPriority w:val="0"/>
    <w:pPr>
      <w:spacing w:beforeLines="50" w:afterLines="50"/>
      <w:jc w:val="both"/>
      <w:outlineLvl w:val="1"/>
    </w:pPr>
    <w:rPr>
      <w:rFonts w:ascii="黑体" w:hAnsi="Times New Roman" w:eastAsia="黑体" w:cs="Times New Roman"/>
      <w:sz w:val="21"/>
      <w:lang w:val="en-US" w:eastAsia="zh-CN" w:bidi="ar-SA"/>
    </w:rPr>
  </w:style>
  <w:style w:type="paragraph" w:customStyle="1" w:styleId="11">
    <w:name w:val="一级条标题"/>
    <w:next w:val="1"/>
    <w:qFormat/>
    <w:uiPriority w:val="0"/>
    <w:pPr>
      <w:outlineLvl w:val="2"/>
    </w:pPr>
    <w:rPr>
      <w:rFonts w:ascii="Times New Roman" w:hAnsi="Times New Roman" w:eastAsia="黑体" w:cs="Times New Roman"/>
      <w:sz w:val="21"/>
      <w:lang w:val="en-US" w:eastAsia="zh-CN" w:bidi="ar-SA"/>
    </w:r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4249</Words>
  <Characters>4777</Characters>
  <Lines>0</Lines>
  <Paragraphs>0</Paragraphs>
  <TotalTime>3</TotalTime>
  <ScaleCrop>false</ScaleCrop>
  <LinksUpToDate>false</LinksUpToDate>
  <CharactersWithSpaces>4903</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2025-09-15T09:12:00Z</dcterms:created>
  <dc:creator>沈杨</dc:creator>
  <cp:lastModifiedBy>白乙含</cp:lastModifiedBy>
  <dcterms:modified xsi:type="dcterms:W3CDTF">2025-09-16T16:04:17Z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908F27F3873B4A11011AC9684C3C63B3_43</vt:lpwstr>
  </property>
  <property fmtid="{D5CDD505-2E9C-101B-9397-08002B2CF9AE}" pid="4" name="KSOTemplateDocerSaveRecord">
    <vt:lpwstr>eyJoZGlkIjoiMmNhNDRlNzNlNDJmMjYxMWZkNzBiNzQxZmVjYWQ2NGYiLCJ1c2VySWQiOiI0Njk4MjA5NzQifQ==</vt:lpwstr>
  </property>
</Properties>
</file>