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3FCF6">
      <w:pPr>
        <w:autoSpaceDE/>
        <w:autoSpaceDN/>
        <w:rPr>
          <w:rFonts w:hint="eastAsia"/>
          <w:highlight w:val="none"/>
        </w:rPr>
      </w:pPr>
    </w:p>
    <w:p w14:paraId="0BDF4B3C">
      <w:pPr>
        <w:autoSpaceDE/>
        <w:autoSpaceDN/>
        <w:rPr>
          <w:highlight w:val="none"/>
        </w:rPr>
      </w:pPr>
    </w:p>
    <w:p w14:paraId="6ACB4532">
      <w:pPr>
        <w:autoSpaceDE/>
        <w:autoSpaceDN/>
        <w:rPr>
          <w:highlight w:val="none"/>
        </w:rPr>
      </w:pPr>
    </w:p>
    <w:p w14:paraId="0990519A">
      <w:pPr>
        <w:pStyle w:val="27"/>
        <w:framePr w:wrap="around" w:vAnchor="page" w:hAnchor="margin" w:y="626"/>
        <w:rPr>
          <w:highlight w:val="none"/>
        </w:rPr>
      </w:pPr>
      <w:r>
        <w:rPr>
          <w:rFonts w:ascii="Times New Roman"/>
          <w:highlight w:val="none"/>
        </w:rPr>
        <w:t>ICS</w:t>
      </w:r>
      <w:r>
        <w:rPr>
          <w:rFonts w:hint="eastAsia" w:ascii="MS Gothic" w:hAnsi="MS Gothic" w:eastAsia="MS Gothic" w:cs="MS Gothic"/>
          <w:highlight w:val="none"/>
        </w:rPr>
        <w:t> </w:t>
      </w:r>
      <w:r>
        <w:rPr>
          <w:rFonts w:hint="eastAsia"/>
          <w:sz w:val="18"/>
          <w:highlight w:val="none"/>
        </w:rPr>
        <w:t>9</w:t>
      </w:r>
      <w:r>
        <w:rPr>
          <w:sz w:val="18"/>
          <w:highlight w:val="none"/>
        </w:rPr>
        <w:t>1.100.30</w:t>
      </w:r>
    </w:p>
    <w:p w14:paraId="379A7D23">
      <w:pPr>
        <w:pStyle w:val="27"/>
        <w:framePr w:wrap="around" w:vAnchor="page" w:hAnchor="margin" w:y="626"/>
        <w:rPr>
          <w:highlight w:val="none"/>
        </w:rPr>
      </w:pPr>
      <w:bookmarkStart w:id="0" w:name="WXFLH"/>
      <w:r>
        <w:rPr>
          <w:highlight w:val="none"/>
        </w:rPr>
        <w:t xml:space="preserve">CCS </w:t>
      </w:r>
      <w:bookmarkEnd w:id="0"/>
      <w:r>
        <w:rPr>
          <w:sz w:val="18"/>
          <w:highlight w:val="none"/>
        </w:rPr>
        <w:t>Q13</w:t>
      </w:r>
    </w:p>
    <w:tbl>
      <w:tblPr>
        <w:tblStyle w:val="21"/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1A474CF0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4D886D9">
            <w:pPr>
              <w:pStyle w:val="27"/>
              <w:framePr w:wrap="around" w:vAnchor="page" w:hAnchor="margin" w:y="626"/>
              <w:rPr>
                <w:highlight w:val="none"/>
              </w:rPr>
            </w:pPr>
            <w:r>
              <w:rPr>
                <w:rFonts w:ascii="Times New Roman"/>
                <w:highlight w:val="none"/>
              </w:rPr>
              <w:t>备案号：</w:t>
            </w:r>
            <w:r>
              <w:rPr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0"/>
                      <wp:wrapNone/>
                      <wp:docPr id="1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7128D2FC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4144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iuL+zV&#10;AAAABwEAAA8AAAAAAAAAAQAgAAAAIgAAAGRycy9kb3ducmV2LnhtbFBLAQIUABQAAAAIAIdO4kBG&#10;MTbYsQEAAG0DAAAOAAAAAAAAAAEAIAAAACQBAABkcnMvZTJvRG9jLnhtbFBLBQYAAAAABgAGAFkB&#10;AABH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128D2FC"/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744C8E70">
      <w:pPr>
        <w:pStyle w:val="28"/>
        <w:framePr w:wrap="around"/>
        <w:rPr>
          <w:b w:val="0"/>
          <w:highlight w:val="none"/>
        </w:rPr>
      </w:pPr>
      <w:bookmarkStart w:id="1" w:name="c1"/>
      <w:r>
        <w:rPr>
          <w:b w:val="0"/>
          <w:highlight w:val="none"/>
        </w:rPr>
        <w:fldChar w:fldCharType="begin">
          <w:ffData>
            <w:name w:val="c1"/>
            <w:enabled/>
            <w:calcOnExit w:val="0"/>
            <w:entryMacro w:val="ShowHelp15"/>
            <w:textInput>
              <w:maxLength w:val="2"/>
            </w:textInput>
          </w:ffData>
        </w:fldChar>
      </w:r>
      <w:r>
        <w:rPr>
          <w:b w:val="0"/>
          <w:highlight w:val="none"/>
        </w:rPr>
        <w:instrText xml:space="preserve"> FORMTEXT </w:instrText>
      </w:r>
      <w:r>
        <w:rPr>
          <w:b w:val="0"/>
          <w:highlight w:val="none"/>
        </w:rPr>
        <w:fldChar w:fldCharType="separate"/>
      </w:r>
      <w:r>
        <w:rPr>
          <w:rFonts w:hint="eastAsia"/>
          <w:b w:val="0"/>
          <w:highlight w:val="none"/>
        </w:rPr>
        <w:t>JC</w:t>
      </w:r>
      <w:r>
        <w:rPr>
          <w:b w:val="0"/>
          <w:highlight w:val="none"/>
        </w:rPr>
        <w:fldChar w:fldCharType="end"/>
      </w:r>
      <w:bookmarkEnd w:id="1"/>
    </w:p>
    <w:p w14:paraId="699E13A6">
      <w:pPr>
        <w:pStyle w:val="29"/>
        <w:framePr w:wrap="around"/>
        <w:rPr>
          <w:highlight w:val="none"/>
        </w:rPr>
      </w:pPr>
      <w:r>
        <w:rPr>
          <w:rFonts w:hint="eastAsia"/>
          <w:highlight w:val="none"/>
        </w:rPr>
        <w:t>中华人民共和国</w:t>
      </w:r>
      <w:bookmarkStart w:id="2" w:name="c2"/>
      <w:r>
        <w:rPr>
          <w:highlight w:val="none"/>
        </w:rPr>
        <w:fldChar w:fldCharType="begin">
          <w:ffData>
            <w:name w:val="c2"/>
            <w:enabled/>
            <w:calcOnExit w:val="0"/>
            <w:entryMacro w:val="showhelp11"/>
            <w:textInput/>
          </w:ffData>
        </w:fldChar>
      </w:r>
      <w:r>
        <w:rPr>
          <w:highlight w:val="none"/>
        </w:rPr>
        <w:instrText xml:space="preserve"> FORMTEXT </w:instrText>
      </w:r>
      <w:r>
        <w:rPr>
          <w:highlight w:val="none"/>
        </w:rPr>
        <w:fldChar w:fldCharType="separate"/>
      </w:r>
      <w:r>
        <w:rPr>
          <w:rFonts w:hint="eastAsia"/>
          <w:highlight w:val="none"/>
        </w:rPr>
        <w:t>建材</w:t>
      </w:r>
      <w:r>
        <w:rPr>
          <w:highlight w:val="none"/>
        </w:rPr>
        <w:fldChar w:fldCharType="end"/>
      </w:r>
      <w:bookmarkEnd w:id="2"/>
      <w:r>
        <w:rPr>
          <w:rFonts w:hint="eastAsia"/>
          <w:highlight w:val="none"/>
        </w:rPr>
        <w:t>行业标准</w:t>
      </w:r>
    </w:p>
    <w:p w14:paraId="372A070E">
      <w:pPr>
        <w:pStyle w:val="30"/>
        <w:framePr w:wrap="around"/>
        <w:rPr>
          <w:highlight w:val="none"/>
        </w:rPr>
      </w:pPr>
      <w:bookmarkStart w:id="3" w:name="StdNo0"/>
      <w:r>
        <w:rPr>
          <w:rFonts w:ascii="Times New Roman"/>
          <w:highlight w:val="none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/>
          <w:highlight w:val="none"/>
        </w:rPr>
        <w:instrText xml:space="preserve"> FORMTEXT </w:instrText>
      </w:r>
      <w:r>
        <w:rPr>
          <w:rFonts w:ascii="Times New Roman"/>
          <w:highlight w:val="none"/>
        </w:rPr>
        <w:fldChar w:fldCharType="separate"/>
      </w:r>
      <w:r>
        <w:rPr>
          <w:rFonts w:hint="eastAsia" w:ascii="Times New Roman"/>
          <w:highlight w:val="none"/>
        </w:rPr>
        <w:t>JC</w:t>
      </w:r>
      <w:r>
        <w:rPr>
          <w:rFonts w:ascii="Times New Roman"/>
          <w:highlight w:val="none"/>
        </w:rPr>
        <w:fldChar w:fldCharType="end"/>
      </w:r>
      <w:bookmarkEnd w:id="3"/>
      <w:r>
        <w:rPr>
          <w:rFonts w:ascii="Times New Roman"/>
          <w:highlight w:val="none"/>
        </w:rPr>
        <w:t xml:space="preserve">/T </w:t>
      </w:r>
      <w:r>
        <w:rPr>
          <w:rFonts w:hint="default" w:ascii="Times New Roman"/>
          <w:highlight w:val="none"/>
        </w:rPr>
        <w:t>10400</w:t>
      </w:r>
      <w:r>
        <w:rPr>
          <w:highlight w:val="none"/>
        </w:rPr>
        <w:t>—</w:t>
      </w:r>
      <w:bookmarkStart w:id="4" w:name="StdNo2"/>
      <w:r>
        <w:rPr>
          <w:highlight w:val="none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highlight w:val="none"/>
        </w:rPr>
        <w:instrText xml:space="preserve"> FORMTEXT </w:instrText>
      </w:r>
      <w:r>
        <w:rPr>
          <w:highlight w:val="none"/>
        </w:rPr>
        <w:fldChar w:fldCharType="separate"/>
      </w:r>
      <w:r>
        <w:rPr>
          <w:highlight w:val="none"/>
        </w:rPr>
        <w:t>XXXX</w:t>
      </w:r>
      <w:r>
        <w:rPr>
          <w:highlight w:val="none"/>
        </w:rPr>
        <w:fldChar w:fldCharType="end"/>
      </w:r>
      <w:bookmarkEnd w:id="4"/>
    </w:p>
    <w:tbl>
      <w:tblPr>
        <w:tblStyle w:val="21"/>
        <w:tblW w:w="93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4057E0A0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1AA0E824">
            <w:pPr>
              <w:pStyle w:val="31"/>
              <w:framePr w:wrap="around"/>
              <w:ind w:right="210"/>
              <w:rPr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代替</w:t>
            </w:r>
            <w:r>
              <w:rPr>
                <w:rFonts w:hint="eastAsia" w:ascii="黑体" w:hAnsi="黑体" w:eastAsia="黑体" w:cs="黑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SB/T 10440—2007</w:t>
            </w:r>
          </w:p>
        </w:tc>
      </w:tr>
    </w:tbl>
    <w:p w14:paraId="18CD0142">
      <w:pPr>
        <w:pStyle w:val="30"/>
        <w:framePr w:wrap="around"/>
        <w:rPr>
          <w:highlight w:val="none"/>
        </w:rPr>
      </w:pPr>
    </w:p>
    <w:p w14:paraId="3A8254A4">
      <w:pPr>
        <w:pStyle w:val="30"/>
        <w:framePr w:wrap="around"/>
        <w:rPr>
          <w:highlight w:val="none"/>
        </w:rPr>
      </w:pPr>
    </w:p>
    <w:p w14:paraId="663672DF">
      <w:pPr>
        <w:pStyle w:val="32"/>
        <w:framePr w:w="9293" w:wrap="around" w:x="1699"/>
        <w:rPr>
          <w:rFonts w:hint="eastAsia"/>
          <w:highlight w:val="none"/>
        </w:rPr>
      </w:pPr>
      <w:r>
        <w:rPr>
          <w:rFonts w:hint="eastAsia"/>
          <w:highlight w:val="none"/>
        </w:rPr>
        <w:t>真空和（或）压力浸注（处理）用</w:t>
      </w:r>
    </w:p>
    <w:p w14:paraId="19BE7972">
      <w:pPr>
        <w:pStyle w:val="32"/>
        <w:framePr w:w="9293" w:wrap="around" w:x="1699"/>
        <w:rPr>
          <w:highlight w:val="none"/>
        </w:rPr>
      </w:pPr>
      <w:r>
        <w:rPr>
          <w:rFonts w:hint="eastAsia"/>
          <w:highlight w:val="none"/>
        </w:rPr>
        <w:t>木材防腐</w:t>
      </w:r>
      <w:r>
        <w:rPr>
          <w:rFonts w:hint="eastAsia"/>
          <w:highlight w:val="none"/>
          <w:lang w:val="en-US" w:eastAsia="zh-CN"/>
        </w:rPr>
        <w:t>及改性</w:t>
      </w:r>
      <w:r>
        <w:rPr>
          <w:rFonts w:hint="eastAsia"/>
          <w:highlight w:val="none"/>
        </w:rPr>
        <w:t>设备机组</w:t>
      </w:r>
    </w:p>
    <w:p w14:paraId="0AF7306E">
      <w:pPr>
        <w:pStyle w:val="32"/>
        <w:framePr w:w="9293" w:wrap="around" w:x="1699"/>
        <w:rPr>
          <w:highlight w:val="none"/>
        </w:rPr>
      </w:pPr>
      <w:r>
        <w:rPr>
          <w:rFonts w:hint="eastAsia"/>
          <w:highlight w:val="none"/>
        </w:rPr>
        <w:t>（</w:t>
      </w:r>
      <w:r>
        <w:rPr>
          <w:rFonts w:hint="eastAsia"/>
          <w:highlight w:val="none"/>
          <w:lang w:val="en-US" w:eastAsia="zh-CN"/>
        </w:rPr>
        <w:t>征求意见稿</w:t>
      </w:r>
      <w:r>
        <w:rPr>
          <w:rFonts w:hint="eastAsia"/>
          <w:highlight w:val="none"/>
        </w:rPr>
        <w:t>）</w:t>
      </w:r>
    </w:p>
    <w:tbl>
      <w:tblPr>
        <w:tblStyle w:val="21"/>
        <w:tblW w:w="98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558C809B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457CF91C">
            <w:pPr>
              <w:pStyle w:val="35"/>
              <w:keepNext w:val="0"/>
              <w:keepLines w:val="0"/>
              <w:pageBreakBefore w:val="0"/>
              <w:framePr w:w="9293" w:wrap="around" w:x="1699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textAlignment w:val="center"/>
              <w:rPr>
                <w:rFonts w:ascii="Times New Roman" w:eastAsia="黑体"/>
                <w:sz w:val="28"/>
                <w:highlight w:val="none"/>
              </w:rPr>
            </w:pPr>
            <w:r>
              <w:rPr>
                <w:rFonts w:hint="eastAsia" w:ascii="微软雅黑" w:hAnsi="微软雅黑" w:eastAsia="微软雅黑"/>
                <w:color w:val="333333"/>
                <w:sz w:val="36"/>
                <w:szCs w:val="36"/>
                <w:highlight w:val="none"/>
              </w:rPr>
              <w:t>Vacuum and/or pressure impregnation (treatment) wood preservation and modification equipment</w:t>
            </w:r>
            <w:r>
              <w:rPr>
                <w:rFonts w:hint="eastAsia" w:ascii="微软雅黑" w:hAnsi="微软雅黑" w:eastAsia="微软雅黑"/>
                <w:color w:val="333333"/>
                <w:sz w:val="36"/>
                <w:szCs w:val="36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333333"/>
                <w:sz w:val="36"/>
                <w:szCs w:val="36"/>
                <w:highlight w:val="none"/>
              </w:rPr>
              <w:t>set</w:t>
            </w:r>
            <w:r>
              <w:rPr>
                <w:rFonts w:ascii="Times New Roman" w:eastAsia="黑体"/>
                <w:sz w:val="28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0"/>
                      <wp:wrapNone/>
                      <wp:docPr id="6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4BC6AB6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337.15pt;height:20pt;width:150pt;z-index:-251655168;mso-width-relative:page;mso-height-relative:page;" fillcolor="#FFFFFF" filled="t" stroked="f" coordsize="21600,21600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/X9+DXAAAA&#10;CwEAAA8AAAAAAAAAAQAgAAAAIgAAAGRycy9kb3ducmV2LnhtbFBLAQIUABQAAAAIAIdO4kAVg2zI&#10;rAEAAG0DAAAOAAAAAAAAAAEAIAAAACYBAABkcnMvZTJvRG9jLnhtbFBLBQYAAAAABgAGAFkBAABE&#10;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4BC6AB6"/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14:paraId="274431C1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163DDCC1">
            <w:pPr>
              <w:pStyle w:val="36"/>
              <w:framePr w:w="9293" w:wrap="around" w:x="1699"/>
              <w:rPr>
                <w:highlight w:val="none"/>
              </w:rPr>
            </w:pPr>
          </w:p>
        </w:tc>
      </w:tr>
    </w:tbl>
    <w:p w14:paraId="485C9B28">
      <w:pPr>
        <w:pStyle w:val="37"/>
        <w:framePr w:wrap="around" w:hAnchor="page" w:x="1741" w:y="14041"/>
        <w:rPr>
          <w:highlight w:val="none"/>
        </w:rPr>
      </w:pPr>
      <w:bookmarkStart w:id="5" w:name="FY"/>
      <w:r>
        <w:rPr>
          <w:rFonts w:ascii="黑体"/>
          <w:highlight w:val="none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>
        <w:rPr>
          <w:rFonts w:ascii="黑体"/>
          <w:highlight w:val="none"/>
        </w:rPr>
        <w:instrText xml:space="preserve"> FORMTEXT </w:instrText>
      </w:r>
      <w:r>
        <w:rPr>
          <w:rFonts w:ascii="黑体"/>
          <w:highlight w:val="none"/>
        </w:rPr>
        <w:fldChar w:fldCharType="separate"/>
      </w:r>
      <w:r>
        <w:rPr>
          <w:rFonts w:ascii="黑体"/>
          <w:highlight w:val="none"/>
        </w:rPr>
        <w:t>XXXX</w:t>
      </w:r>
      <w:r>
        <w:rPr>
          <w:rFonts w:ascii="黑体"/>
          <w:highlight w:val="none"/>
        </w:rPr>
        <w:fldChar w:fldCharType="end"/>
      </w:r>
      <w:bookmarkEnd w:id="5"/>
      <w:r>
        <w:rPr>
          <w:rFonts w:ascii="黑体"/>
          <w:highlight w:val="none"/>
        </w:rPr>
        <w:t>-</w:t>
      </w:r>
      <w:r>
        <w:rPr>
          <w:rFonts w:ascii="黑体"/>
          <w:highlight w:val="none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  <w:highlight w:val="none"/>
        </w:rPr>
        <w:instrText xml:space="preserve"> FORMTEXT </w:instrText>
      </w:r>
      <w:r>
        <w:rPr>
          <w:rFonts w:ascii="黑体"/>
          <w:highlight w:val="none"/>
        </w:rPr>
        <w:fldChar w:fldCharType="separate"/>
      </w:r>
      <w:r>
        <w:rPr>
          <w:rFonts w:ascii="黑体"/>
          <w:highlight w:val="none"/>
        </w:rPr>
        <w:t>XX</w:t>
      </w:r>
      <w:r>
        <w:rPr>
          <w:rFonts w:ascii="黑体"/>
          <w:highlight w:val="none"/>
        </w:rPr>
        <w:fldChar w:fldCharType="end"/>
      </w:r>
      <w:r>
        <w:rPr>
          <w:rFonts w:ascii="黑体"/>
          <w:highlight w:val="none"/>
        </w:rPr>
        <w:t>-</w:t>
      </w:r>
      <w:bookmarkStart w:id="6" w:name="FD"/>
      <w:r>
        <w:rPr>
          <w:rFonts w:ascii="黑体"/>
          <w:highlight w:val="none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  <w:highlight w:val="none"/>
        </w:rPr>
        <w:instrText xml:space="preserve"> FORMTEXT </w:instrText>
      </w:r>
      <w:r>
        <w:rPr>
          <w:rFonts w:ascii="黑体"/>
          <w:highlight w:val="none"/>
        </w:rPr>
        <w:fldChar w:fldCharType="separate"/>
      </w:r>
      <w:r>
        <w:rPr>
          <w:rFonts w:ascii="黑体"/>
          <w:highlight w:val="none"/>
        </w:rPr>
        <w:t>XX</w:t>
      </w:r>
      <w:r>
        <w:rPr>
          <w:rFonts w:ascii="黑体"/>
          <w:highlight w:val="none"/>
        </w:rPr>
        <w:fldChar w:fldCharType="end"/>
      </w:r>
      <w:bookmarkEnd w:id="6"/>
      <w:r>
        <w:rPr>
          <w:rFonts w:hint="eastAsia"/>
          <w:highlight w:val="none"/>
        </w:rPr>
        <w:t>发布</w:t>
      </w:r>
    </w:p>
    <w:p w14:paraId="3F506B8B">
      <w:pPr>
        <w:pStyle w:val="39"/>
        <w:framePr w:wrap="around" w:hAnchor="page" w:x="7096" w:y="14176"/>
        <w:rPr>
          <w:highlight w:val="none"/>
        </w:rPr>
      </w:pPr>
      <w:bookmarkStart w:id="7" w:name="SY"/>
      <w:r>
        <w:rPr>
          <w:rFonts w:ascii="黑体"/>
          <w:highlight w:val="none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>
        <w:rPr>
          <w:rFonts w:ascii="黑体"/>
          <w:highlight w:val="none"/>
        </w:rPr>
        <w:instrText xml:space="preserve"> FORMTEXT </w:instrText>
      </w:r>
      <w:r>
        <w:rPr>
          <w:rFonts w:ascii="黑体"/>
          <w:highlight w:val="none"/>
        </w:rPr>
        <w:fldChar w:fldCharType="separate"/>
      </w:r>
      <w:r>
        <w:rPr>
          <w:rFonts w:ascii="黑体"/>
          <w:highlight w:val="none"/>
        </w:rPr>
        <w:t>XXXX</w:t>
      </w:r>
      <w:r>
        <w:rPr>
          <w:rFonts w:ascii="黑体"/>
          <w:highlight w:val="none"/>
        </w:rPr>
        <w:fldChar w:fldCharType="end"/>
      </w:r>
      <w:bookmarkEnd w:id="7"/>
      <w:r>
        <w:rPr>
          <w:rFonts w:ascii="黑体"/>
          <w:highlight w:val="none"/>
        </w:rPr>
        <w:t>-</w:t>
      </w:r>
      <w:bookmarkStart w:id="8" w:name="SM"/>
      <w:r>
        <w:rPr>
          <w:rFonts w:ascii="黑体"/>
          <w:highlight w:val="none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  <w:highlight w:val="none"/>
        </w:rPr>
        <w:instrText xml:space="preserve"> FORMTEXT </w:instrText>
      </w:r>
      <w:r>
        <w:rPr>
          <w:rFonts w:ascii="黑体"/>
          <w:highlight w:val="none"/>
        </w:rPr>
        <w:fldChar w:fldCharType="separate"/>
      </w:r>
      <w:r>
        <w:rPr>
          <w:rFonts w:ascii="黑体"/>
          <w:highlight w:val="none"/>
        </w:rPr>
        <w:t>XX</w:t>
      </w:r>
      <w:r>
        <w:rPr>
          <w:rFonts w:ascii="黑体"/>
          <w:highlight w:val="none"/>
        </w:rPr>
        <w:fldChar w:fldCharType="end"/>
      </w:r>
      <w:bookmarkEnd w:id="8"/>
      <w:r>
        <w:rPr>
          <w:rFonts w:ascii="黑体"/>
          <w:highlight w:val="none"/>
        </w:rPr>
        <w:t>-</w:t>
      </w:r>
      <w:bookmarkStart w:id="9" w:name="SD"/>
      <w:r>
        <w:rPr>
          <w:rFonts w:ascii="黑体"/>
          <w:highlight w:val="none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  <w:highlight w:val="none"/>
        </w:rPr>
        <w:instrText xml:space="preserve"> FORMTEXT </w:instrText>
      </w:r>
      <w:r>
        <w:rPr>
          <w:rFonts w:ascii="黑体"/>
          <w:highlight w:val="none"/>
        </w:rPr>
        <w:fldChar w:fldCharType="separate"/>
      </w:r>
      <w:r>
        <w:rPr>
          <w:rFonts w:ascii="黑体"/>
          <w:highlight w:val="none"/>
        </w:rPr>
        <w:t>XX</w:t>
      </w:r>
      <w:r>
        <w:rPr>
          <w:rFonts w:ascii="黑体"/>
          <w:highlight w:val="none"/>
        </w:rPr>
        <w:fldChar w:fldCharType="end"/>
      </w:r>
      <w:bookmarkEnd w:id="9"/>
      <w:r>
        <w:rPr>
          <w:rFonts w:hint="eastAsia"/>
          <w:highlight w:val="none"/>
        </w:rPr>
        <w:t>实施</w:t>
      </w:r>
    </w:p>
    <w:p w14:paraId="7F08E459">
      <w:pPr>
        <w:pStyle w:val="41"/>
        <w:framePr w:wrap="around" w:x="2186" w:y="15211"/>
        <w:rPr>
          <w:highlight w:val="none"/>
        </w:rPr>
      </w:pPr>
      <w:bookmarkStart w:id="10" w:name="fm"/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6350" b="0"/>
                <wp:wrapNone/>
                <wp:docPr id="3" name="LB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14:paraId="70A2114F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LB" o:spid="_x0000_s1026" o:spt="1" style="position:absolute;left:0pt;margin-left:142.55pt;margin-top:-310.45pt;height:24pt;width:100pt;z-index:-251656192;mso-width-relative:page;mso-height-relative:page;" fillcolor="#FFFFFF" filled="t" stroked="f" coordsize="21600,2160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bXu1tkA&#10;AAANAQAADwAAAAAAAAABACAAAAAiAAAAZHJzL2Rvd25yZXYueG1sUEsBAhQAFAAAAAgAh07iQKMd&#10;bo+sAQAAbQMAAA4AAAAAAAAAAQAgAAAAKAEAAGRycy9lMm9Eb2MueG1sUEsFBgAAAAAGAAYAWQEA&#10;AEY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70A2114F"/>
                  </w:txbxContent>
                </v:textbox>
              </v:rect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4" name="D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14:paraId="1E1C5BDC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DT" o:spid="_x0000_s1026" o:spt="1" style="position:absolute;left:0pt;margin-left:347.55pt;margin-top:-585.45pt;height:18pt;width:90pt;z-index:-251657216;mso-width-relative:page;mso-height-relative:page;" fillcolor="#FFFFFF" filled="t" stroked="f" coordsize="21600,2160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/JihHa&#10;AAAADwEAAA8AAAAAAAAAAQAgAAAAIgAAAGRycy9kb3ducmV2LnhtbFBLAQIUABQAAAAIAIdO4kDn&#10;kuSKrAEAAG0DAAAOAAAAAAAAAAEAIAAAACkBAABkcnMvZTJvRG9jLnhtbFBLBQYAAAAABgAGAFkB&#10;AABH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1E1C5BDC"/>
                  </w:txbxContent>
                </v:textbox>
              </v:rect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0" r="33020" b="19050"/>
                <wp:wrapNone/>
                <wp:docPr id="5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-36.6pt;margin-top:-552.85pt;height:0pt;width:481.9pt;z-index:251663360;mso-width-relative:page;mso-height-relative:page;" filled="f" stroked="t" coordsize="21600,21600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slkaDYAAAADwEAAA8A&#10;AAAAAAAAAQAgAAAAIgAAAGRycy9kb3ducmV2LnhtbFBLAQIUABQAAAAIAIdO4kDOIrZg3gEAAM8D&#10;AAAOAAAAAAAAAAEAIAAAACc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highlight w:val="none"/>
        </w:rPr>
        <w:fldChar w:fldCharType="begin">
          <w:ffData>
            <w:name w:val="fm"/>
            <w:enabled/>
            <w:calcOnExit w:val="0"/>
            <w:textInput/>
          </w:ffData>
        </w:fldChar>
      </w:r>
      <w:r>
        <w:rPr>
          <w:highlight w:val="none"/>
        </w:rPr>
        <w:instrText xml:space="preserve"> FORMTEXT </w:instrText>
      </w:r>
      <w:r>
        <w:rPr>
          <w:highlight w:val="none"/>
        </w:rPr>
        <w:fldChar w:fldCharType="separate"/>
      </w:r>
      <w:r>
        <w:rPr>
          <w:rFonts w:hint="eastAsia"/>
          <w:highlight w:val="none"/>
        </w:rPr>
        <w:t>中华人民共和国工业和信息化部</w:t>
      </w:r>
      <w:r>
        <w:rPr>
          <w:highlight w:val="none"/>
        </w:rPr>
        <w:fldChar w:fldCharType="end"/>
      </w:r>
      <w:bookmarkEnd w:id="10"/>
      <w:r>
        <w:rPr>
          <w:rStyle w:val="44"/>
          <w:rFonts w:hint="eastAsia"/>
          <w:highlight w:val="none"/>
        </w:rPr>
        <w:t>发布</w:t>
      </w:r>
    </w:p>
    <w:p w14:paraId="16D0E28F">
      <w:pPr>
        <w:autoSpaceDE/>
        <w:autoSpaceDN/>
        <w:rPr>
          <w:highlight w:val="none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567" w:right="850" w:bottom="1134" w:left="1418" w:header="0" w:footer="0" w:gutter="0"/>
          <w:pgNumType w:fmt="upperRoman" w:start="1"/>
          <w:cols w:space="720" w:num="1"/>
          <w:docGrid w:type="lines" w:linePitch="312" w:charSpace="0"/>
        </w:sect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161290</wp:posOffset>
                </wp:positionH>
                <wp:positionV relativeFrom="page">
                  <wp:posOffset>9430385</wp:posOffset>
                </wp:positionV>
                <wp:extent cx="6120130" cy="0"/>
                <wp:effectExtent l="0" t="0" r="33020" b="1905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.7pt;margin-top:742.55pt;height:0pt;width:481.9pt;mso-position-vertical-relative:page;z-index:251664384;mso-width-relative:page;mso-height-relative:page;" filled="f" stroked="t" coordsize="21600,21600" o:gfxdata="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g&#10;vemk1wAAAAwBAAAPAAAAAAAAAAEAIAAAACIAAABkcnMvZG93bnJldi54bWxQSwECFAAUAAAACACH&#10;TuJAEoJRcuwBAADaAwAADgAAAAAAAAABACAAAAAm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0C27C5B9">
      <w:pPr>
        <w:pStyle w:val="45"/>
        <w:tabs>
          <w:tab w:val="center" w:pos="4677"/>
          <w:tab w:val="left" w:pos="7092"/>
        </w:tabs>
        <w:jc w:val="left"/>
        <w:rPr>
          <w:highlight w:val="none"/>
        </w:rPr>
      </w:pPr>
      <w:r>
        <w:rPr>
          <w:highlight w:val="none"/>
        </w:rPr>
        <w:tab/>
      </w:r>
      <w:bookmarkStart w:id="11" w:name="_Toc65048651"/>
      <w:bookmarkStart w:id="12" w:name="_Toc103159534"/>
      <w:bookmarkStart w:id="13" w:name="_Toc65048765"/>
      <w:r>
        <w:rPr>
          <w:rFonts w:hint="eastAsia"/>
          <w:highlight w:val="none"/>
        </w:rPr>
        <w:t>前</w:t>
      </w:r>
      <w:bookmarkStart w:id="14" w:name="BKQY"/>
      <w:r>
        <w:rPr>
          <w:rFonts w:hAnsi="黑体"/>
          <w:highlight w:val="none"/>
        </w:rPr>
        <w:t>  </w:t>
      </w:r>
      <w:r>
        <w:rPr>
          <w:rFonts w:hint="eastAsia"/>
          <w:highlight w:val="none"/>
        </w:rPr>
        <w:t>言</w:t>
      </w:r>
      <w:bookmarkEnd w:id="11"/>
      <w:bookmarkEnd w:id="12"/>
      <w:bookmarkEnd w:id="13"/>
      <w:bookmarkEnd w:id="14"/>
      <w:r>
        <w:rPr>
          <w:highlight w:val="none"/>
        </w:rPr>
        <w:tab/>
      </w:r>
    </w:p>
    <w:p w14:paraId="1BE322AF">
      <w:pPr>
        <w:pStyle w:val="4"/>
        <w:snapToGrid w:val="0"/>
        <w:spacing w:line="36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本文件按照GB/T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1.1-2020《标准化工作导则 第1部分：标准化文件的结构和起草规则》的规定起草。</w:t>
      </w:r>
    </w:p>
    <w:p w14:paraId="1C172669">
      <w:pPr>
        <w:pStyle w:val="4"/>
        <w:snapToGrid w:val="0"/>
        <w:spacing w:line="360" w:lineRule="exact"/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本文代替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SB/T 10440—2007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《真空和（或）压力浸注（处理）用木材防腐设备机组》，</w:t>
      </w:r>
      <w:r>
        <w:rPr>
          <w:rFonts w:hint="eastAsia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SB/T 10440—2007</w:t>
      </w:r>
      <w:r>
        <w:rPr>
          <w:rFonts w:hint="eastAsia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相比，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除</w:t>
      </w:r>
      <w:r>
        <w:rPr>
          <w:rFonts w:hint="eastAsia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结构调整和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编辑性改动外，主要技术变化如下：</w:t>
      </w:r>
    </w:p>
    <w:p w14:paraId="56B6A75D">
      <w:pPr>
        <w:spacing w:line="360" w:lineRule="auto"/>
        <w:ind w:firstLine="480"/>
        <w:jc w:val="both"/>
        <w:rPr>
          <w:rFonts w:hint="default"/>
          <w:color w:val="FF0000"/>
          <w:szCs w:val="21"/>
          <w:highlight w:val="none"/>
          <w:lang w:val="en-US" w:eastAsia="zh-CN"/>
        </w:rPr>
      </w:pPr>
      <w:r>
        <w:rPr>
          <w:rFonts w:hint="eastAsia"/>
          <w:color w:val="FF0000"/>
          <w:szCs w:val="21"/>
          <w:highlight w:val="none"/>
          <w:lang w:eastAsia="zh-CN"/>
        </w:rPr>
        <w:t>——</w:t>
      </w:r>
      <w:r>
        <w:rPr>
          <w:rFonts w:hint="eastAsia"/>
          <w:color w:val="FF0000"/>
          <w:szCs w:val="21"/>
          <w:highlight w:val="none"/>
          <w:lang w:val="en-US" w:eastAsia="zh-CN"/>
        </w:rPr>
        <w:t>更改了标准名称；</w:t>
      </w:r>
    </w:p>
    <w:p w14:paraId="7E7069F8">
      <w:pPr>
        <w:spacing w:line="360" w:lineRule="auto"/>
        <w:ind w:firstLine="480"/>
        <w:jc w:val="both"/>
        <w:rPr>
          <w:rFonts w:hint="eastAsia"/>
          <w:color w:val="FF0000"/>
          <w:szCs w:val="21"/>
          <w:highlight w:val="none"/>
        </w:rPr>
      </w:pPr>
      <w:r>
        <w:rPr>
          <w:rFonts w:hint="eastAsia"/>
          <w:color w:val="FF0000"/>
          <w:szCs w:val="21"/>
          <w:highlight w:val="none"/>
          <w:lang w:eastAsia="zh-CN"/>
        </w:rPr>
        <w:t>——</w:t>
      </w:r>
      <w:r>
        <w:rPr>
          <w:rFonts w:hint="eastAsia"/>
          <w:highlight w:val="none"/>
        </w:rPr>
        <w:t>更改了术语和定义（第3章）</w:t>
      </w:r>
      <w:r>
        <w:rPr>
          <w:rFonts w:hint="eastAsia"/>
          <w:color w:val="FF0000"/>
          <w:szCs w:val="21"/>
          <w:highlight w:val="none"/>
        </w:rPr>
        <w:t>；</w:t>
      </w:r>
    </w:p>
    <w:p w14:paraId="2B82ADFF">
      <w:pPr>
        <w:spacing w:line="360" w:lineRule="auto"/>
        <w:ind w:firstLine="480"/>
        <w:jc w:val="both"/>
        <w:rPr>
          <w:rFonts w:hint="eastAsia"/>
          <w:color w:val="FF0000"/>
          <w:szCs w:val="21"/>
          <w:highlight w:val="none"/>
          <w:lang w:val="en-US" w:eastAsia="zh-CN"/>
        </w:rPr>
      </w:pPr>
      <w:r>
        <w:rPr>
          <w:rFonts w:hint="eastAsia"/>
          <w:color w:val="FF0000"/>
          <w:szCs w:val="21"/>
          <w:highlight w:val="none"/>
          <w:lang w:eastAsia="zh-CN"/>
        </w:rPr>
        <w:t>——</w:t>
      </w:r>
      <w:r>
        <w:rPr>
          <w:rFonts w:hint="eastAsia"/>
          <w:color w:val="FF0000"/>
          <w:szCs w:val="21"/>
          <w:highlight w:val="none"/>
          <w:lang w:val="en-US" w:eastAsia="zh-CN"/>
        </w:rPr>
        <w:t>更改了技术要求里的压力浸渍（处理</w:t>
      </w:r>
      <w:bookmarkStart w:id="24" w:name="_GoBack"/>
      <w:bookmarkEnd w:id="24"/>
      <w:r>
        <w:rPr>
          <w:rFonts w:hint="eastAsia"/>
          <w:color w:val="FF0000"/>
          <w:szCs w:val="21"/>
          <w:highlight w:val="none"/>
          <w:lang w:val="en-US" w:eastAsia="zh-CN"/>
        </w:rPr>
        <w:t>）罐要求（第4章）；</w:t>
      </w:r>
    </w:p>
    <w:p w14:paraId="63B975B0">
      <w:pPr>
        <w:spacing w:line="360" w:lineRule="auto"/>
        <w:ind w:firstLine="480"/>
        <w:jc w:val="both"/>
        <w:rPr>
          <w:rFonts w:hint="eastAsia" w:eastAsiaTheme="minorEastAsia"/>
          <w:color w:val="FF0000"/>
          <w:szCs w:val="21"/>
          <w:highlight w:val="none"/>
          <w:lang w:eastAsia="zh-CN"/>
        </w:rPr>
      </w:pPr>
      <w:r>
        <w:rPr>
          <w:rFonts w:hint="eastAsia"/>
          <w:color w:val="FF0000"/>
          <w:szCs w:val="21"/>
          <w:highlight w:val="none"/>
          <w:lang w:val="en-US" w:eastAsia="zh-CN"/>
        </w:rPr>
        <w:t>——更改了检验的要求（第7章）</w:t>
      </w:r>
      <w:r>
        <w:rPr>
          <w:rFonts w:hint="eastAsia"/>
          <w:color w:val="FF0000"/>
          <w:szCs w:val="21"/>
          <w:highlight w:val="none"/>
          <w:lang w:eastAsia="zh-CN"/>
        </w:rPr>
        <w:t>。</w:t>
      </w:r>
    </w:p>
    <w:p w14:paraId="336C9EAD">
      <w:pPr>
        <w:pStyle w:val="4"/>
        <w:snapToGrid w:val="0"/>
        <w:spacing w:line="360" w:lineRule="exact"/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请注意本文件的某些内容可能涉及专利。本文件的发布机构不承担识别专利的责任。</w:t>
      </w:r>
    </w:p>
    <w:p w14:paraId="69101622">
      <w:pPr>
        <w:pStyle w:val="78"/>
        <w:spacing w:line="360" w:lineRule="exact"/>
        <w:ind w:firstLine="428" w:firstLineChars="200"/>
        <w:rPr>
          <w:color w:val="000000" w:themeColor="text1"/>
          <w:spacing w:val="2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2"/>
          <w:szCs w:val="21"/>
          <w:highlight w:val="none"/>
          <w14:textFill>
            <w14:solidFill>
              <w14:schemeClr w14:val="tx1"/>
            </w14:solidFill>
          </w14:textFill>
        </w:rPr>
        <w:t>本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文件</w:t>
      </w:r>
      <w:r>
        <w:rPr>
          <w:color w:val="000000" w:themeColor="text1"/>
          <w:spacing w:val="2"/>
          <w:szCs w:val="21"/>
          <w:highlight w:val="none"/>
          <w14:textFill>
            <w14:solidFill>
              <w14:schemeClr w14:val="tx1"/>
            </w14:solidFill>
          </w14:textFill>
        </w:rPr>
        <w:t>由中国建筑材料联合会提出。</w:t>
      </w:r>
    </w:p>
    <w:p w14:paraId="292E0B8B">
      <w:pPr>
        <w:pStyle w:val="9"/>
        <w:spacing w:line="360" w:lineRule="exact"/>
        <w:ind w:firstLine="420" w:firstLineChars="20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本</w:t>
      </w:r>
      <w:r>
        <w:rPr>
          <w:rFonts w:hint="eastAsia" w:hAnsi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文件</w:t>
      </w:r>
      <w:r>
        <w:rPr>
          <w:rFonts w:hAnsi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由</w:t>
      </w:r>
      <w:r>
        <w:rPr>
          <w:rFonts w:hint="eastAsia" w:hAnsi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建材</w:t>
      </w:r>
      <w:r>
        <w:rPr>
          <w:rFonts w:hAnsi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工业综合标准化技术委员会归口。</w:t>
      </w:r>
    </w:p>
    <w:p w14:paraId="667D8A44">
      <w:pPr>
        <w:pStyle w:val="9"/>
        <w:spacing w:line="360" w:lineRule="exact"/>
        <w:ind w:firstLine="420" w:firstLineChars="20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本</w:t>
      </w:r>
      <w:r>
        <w:rPr>
          <w:rFonts w:hint="eastAsia" w:hAnsi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文件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起草单位：</w:t>
      </w:r>
      <w:r>
        <w:rPr>
          <w:rFonts w:hint="eastAsia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木材节约发展中心、……。</w:t>
      </w:r>
    </w:p>
    <w:p w14:paraId="792E4A6F">
      <w:pPr>
        <w:pStyle w:val="9"/>
        <w:spacing w:line="360" w:lineRule="exact"/>
        <w:ind w:firstLine="425"/>
        <w:rPr>
          <w:rFonts w:hint="eastAsia" w:hAnsi="宋体"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kern w:val="0"/>
          <w:highlight w:val="none"/>
          <w14:textFill>
            <w14:solidFill>
              <w14:schemeClr w14:val="tx1"/>
            </w14:solidFill>
          </w14:textFill>
        </w:rPr>
        <w:t>本</w:t>
      </w:r>
      <w:r>
        <w:rPr>
          <w:rFonts w:hint="eastAsia" w:hAnsi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文件</w:t>
      </w:r>
      <w:r>
        <w:rPr>
          <w:rFonts w:hAnsi="宋体"/>
          <w:color w:val="000000" w:themeColor="text1"/>
          <w:kern w:val="0"/>
          <w:highlight w:val="none"/>
          <w14:textFill>
            <w14:solidFill>
              <w14:schemeClr w14:val="tx1"/>
            </w14:solidFill>
          </w14:textFill>
        </w:rPr>
        <w:t>主要起草人：</w:t>
      </w:r>
      <w:r>
        <w:rPr>
          <w:rFonts w:hint="eastAsia" w:hAnsi="宋体"/>
          <w:color w:val="000000" w:themeColor="text1"/>
          <w:kern w:val="0"/>
          <w:highlight w:val="none"/>
          <w:lang w:eastAsia="zh-CN"/>
          <w14:textFill>
            <w14:solidFill>
              <w14:schemeClr w14:val="tx1"/>
            </w14:solidFill>
          </w14:textFill>
        </w:rPr>
        <w:t>……</w:t>
      </w:r>
    </w:p>
    <w:p w14:paraId="5186C050">
      <w:pPr>
        <w:autoSpaceDE/>
        <w:autoSpaceDN/>
        <w:rPr>
          <w:rFonts w:hint="eastAsia"/>
          <w:highlight w:val="none"/>
        </w:rPr>
      </w:pPr>
      <w:r>
        <w:rPr>
          <w:rFonts w:hint="eastAsia"/>
          <w:highlight w:val="none"/>
        </w:rPr>
        <w:t>本文件</w:t>
      </w:r>
      <w:r>
        <w:rPr>
          <w:rFonts w:hint="eastAsia"/>
          <w:highlight w:val="none"/>
          <w:lang w:val="en-US" w:eastAsia="zh-CN"/>
        </w:rPr>
        <w:t>于2007年首次发布，本次为第一次修订。</w:t>
      </w:r>
    </w:p>
    <w:p w14:paraId="27F536A7">
      <w:pPr>
        <w:autoSpaceDE/>
        <w:autoSpaceDN/>
        <w:rPr>
          <w:highlight w:val="none"/>
        </w:rPr>
      </w:pPr>
      <w:r>
        <w:rPr>
          <w:highlight w:val="none"/>
        </w:rPr>
        <w:br w:type="page"/>
      </w:r>
    </w:p>
    <w:p w14:paraId="61B1ED67">
      <w:pPr>
        <w:pStyle w:val="75"/>
        <w:rPr>
          <w:color w:val="auto"/>
          <w:highlight w:val="none"/>
        </w:rPr>
        <w:sectPr>
          <w:headerReference r:id="rId11" w:type="default"/>
          <w:footerReference r:id="rId12" w:type="default"/>
          <w:pgSz w:w="11906" w:h="16838"/>
          <w:pgMar w:top="567" w:right="1134" w:bottom="1134" w:left="1418" w:header="1418" w:footer="1134" w:gutter="0"/>
          <w:pgNumType w:fmt="upperRoman" w:start="1"/>
          <w:cols w:space="425" w:num="1"/>
          <w:formProt w:val="0"/>
          <w:docGrid w:type="lines" w:linePitch="312" w:charSpace="0"/>
        </w:sectPr>
      </w:pPr>
    </w:p>
    <w:p w14:paraId="48AC13EC">
      <w:pPr>
        <w:pStyle w:val="18"/>
        <w:widowControl w:val="0"/>
        <w:tabs>
          <w:tab w:val="clear" w:pos="4201"/>
          <w:tab w:val="clear" w:pos="9298"/>
        </w:tabs>
        <w:autoSpaceDE/>
        <w:autoSpaceDN/>
        <w:ind w:firstLine="0" w:firstLineChars="0"/>
        <w:rPr>
          <w:rFonts w:ascii="黑体" w:hAnsi="黑体" w:eastAsia="黑体"/>
          <w:b w:val="0"/>
          <w:kern w:val="2"/>
          <w:highlight w:val="none"/>
        </w:rPr>
      </w:pPr>
      <w:r>
        <w:rPr>
          <w:rFonts w:hint="eastAsia" w:ascii="黑体" w:hAnsi="黑体" w:eastAsia="黑体"/>
          <w:b w:val="0"/>
          <w:kern w:val="2"/>
          <w:highlight w:val="none"/>
        </w:rPr>
        <w:t>真空和（或）压力浸注（处理）用木材防腐</w:t>
      </w:r>
      <w:r>
        <w:rPr>
          <w:rFonts w:hint="eastAsia" w:ascii="黑体" w:hAnsi="黑体" w:eastAsia="黑体"/>
          <w:b w:val="0"/>
          <w:kern w:val="2"/>
          <w:highlight w:val="none"/>
          <w:lang w:val="en-US" w:eastAsia="zh-Hans"/>
        </w:rPr>
        <w:t>及改性</w:t>
      </w:r>
      <w:r>
        <w:rPr>
          <w:rFonts w:hint="eastAsia" w:ascii="黑体" w:hAnsi="黑体" w:eastAsia="黑体"/>
          <w:b w:val="0"/>
          <w:kern w:val="2"/>
          <w:highlight w:val="none"/>
        </w:rPr>
        <w:t>设备机组</w:t>
      </w:r>
    </w:p>
    <w:p w14:paraId="52A4C589">
      <w:pPr>
        <w:pStyle w:val="47"/>
        <w:numPr>
          <w:ilvl w:val="0"/>
          <w:numId w:val="1"/>
        </w:numPr>
        <w:tabs>
          <w:tab w:val="clear" w:pos="0"/>
        </w:tabs>
        <w:spacing w:before="312" w:after="312"/>
        <w:rPr>
          <w:highlight w:val="none"/>
        </w:rPr>
      </w:pPr>
      <w:bookmarkStart w:id="15" w:name="_Toc78802403"/>
      <w:r>
        <w:rPr>
          <w:rFonts w:hint="eastAsia"/>
          <w:highlight w:val="none"/>
        </w:rPr>
        <w:t>范围</w:t>
      </w:r>
      <w:bookmarkEnd w:id="15"/>
    </w:p>
    <w:p w14:paraId="4C685671">
      <w:pPr>
        <w:autoSpaceDE/>
        <w:autoSpaceDN/>
        <w:rPr>
          <w:highlight w:val="none"/>
        </w:rPr>
      </w:pPr>
      <w:r>
        <w:rPr>
          <w:rFonts w:hint="eastAsia"/>
          <w:highlight w:val="none"/>
        </w:rPr>
        <w:t>本文件规定了真空和（或）压力浸注（处理）用木材防腐</w:t>
      </w:r>
      <w:r>
        <w:rPr>
          <w:rFonts w:hint="eastAsia"/>
          <w:highlight w:val="none"/>
          <w:lang w:val="en-US" w:eastAsia="zh-Hans"/>
        </w:rPr>
        <w:t>与改性</w:t>
      </w:r>
      <w:r>
        <w:rPr>
          <w:rFonts w:hint="eastAsia"/>
          <w:highlight w:val="none"/>
        </w:rPr>
        <w:t>设备机组的定义、技术要求、检验、标志、包装</w:t>
      </w:r>
      <w:r>
        <w:rPr>
          <w:rFonts w:hint="eastAsia"/>
          <w:highlight w:val="none"/>
          <w:lang w:val="en-US" w:eastAsia="zh-CN"/>
        </w:rPr>
        <w:t>和</w:t>
      </w:r>
      <w:r>
        <w:rPr>
          <w:rFonts w:hint="eastAsia"/>
          <w:highlight w:val="none"/>
        </w:rPr>
        <w:t>运输、安装及调试.</w:t>
      </w:r>
    </w:p>
    <w:p w14:paraId="41B26B79">
      <w:pPr>
        <w:autoSpaceDE/>
        <w:autoSpaceDN/>
        <w:rPr>
          <w:highlight w:val="none"/>
        </w:rPr>
      </w:pPr>
      <w:r>
        <w:rPr>
          <w:rFonts w:hint="eastAsia"/>
          <w:highlight w:val="none"/>
        </w:rPr>
        <w:t>本文件适用于水载型防腐剂对木材进行真空和（或）压力浸注（处理）的固定式设备机组。</w:t>
      </w:r>
    </w:p>
    <w:p w14:paraId="78F5E4B1">
      <w:pPr>
        <w:pStyle w:val="47"/>
        <w:numPr>
          <w:ilvl w:val="0"/>
          <w:numId w:val="1"/>
        </w:numPr>
        <w:tabs>
          <w:tab w:val="clear" w:pos="0"/>
        </w:tabs>
        <w:spacing w:before="312" w:after="312"/>
        <w:rPr>
          <w:highlight w:val="none"/>
        </w:rPr>
      </w:pPr>
      <w:bookmarkStart w:id="16" w:name="_Toc103159536"/>
      <w:bookmarkStart w:id="17" w:name="_Toc78802404"/>
      <w:r>
        <w:rPr>
          <w:rFonts w:hint="eastAsia"/>
          <w:highlight w:val="none"/>
        </w:rPr>
        <w:t>规范性引用文件</w:t>
      </w:r>
      <w:bookmarkEnd w:id="16"/>
      <w:bookmarkEnd w:id="17"/>
    </w:p>
    <w:p w14:paraId="62A4FD49">
      <w:pPr>
        <w:pStyle w:val="43"/>
        <w:numPr>
          <w:ilvl w:val="0"/>
          <w:numId w:val="0"/>
        </w:numPr>
        <w:autoSpaceDE/>
        <w:autoSpaceDN/>
        <w:ind w:firstLine="420" w:firstLineChars="200"/>
        <w:rPr>
          <w:rFonts w:asciiTheme="minorEastAsia" w:hAnsiTheme="minorEastAsia" w:eastAsiaTheme="minorEastAsia"/>
          <w:highlight w:val="none"/>
        </w:rPr>
      </w:pPr>
      <w:r>
        <w:rPr>
          <w:rFonts w:asciiTheme="minorEastAsia" w:hAnsiTheme="minorEastAsia" w:eastAsiaTheme="minorEastAsia"/>
          <w:highlight w:val="none"/>
        </w:rPr>
        <w:tab/>
      </w:r>
      <w:r>
        <w:rPr>
          <w:rFonts w:hint="eastAsia" w:asciiTheme="minorEastAsia" w:hAnsiTheme="minorEastAsia" w:eastAsiaTheme="minorEastAsia"/>
          <w:highlight w:val="none"/>
        </w:rPr>
        <w:t>下列文件中的</w:t>
      </w:r>
      <w:r>
        <w:rPr>
          <w:rFonts w:hint="eastAsia" w:asciiTheme="minorEastAsia" w:hAnsiTheme="minorEastAsia" w:eastAsiaTheme="minorEastAsia"/>
          <w:highlight w:val="none"/>
          <w:lang w:val="en-US" w:eastAsia="zh-Hans"/>
        </w:rPr>
        <w:t>内容通过文中的规范性引用而构成文本必不可少的条款。其中注日期的引用文件，仅该日期对应的版本适用于本文；不住日期的引用文件，其最新版本（包括所有的修改单）适用于本文件。</w:t>
      </w:r>
    </w:p>
    <w:p w14:paraId="250C4420">
      <w:pPr>
        <w:pStyle w:val="43"/>
        <w:numPr>
          <w:ilvl w:val="0"/>
          <w:numId w:val="0"/>
        </w:numPr>
        <w:autoSpaceDE/>
        <w:autoSpaceDN/>
        <w:spacing w:before="0" w:beforeLines="0" w:after="0" w:afterLines="0"/>
        <w:ind w:firstLine="420" w:firstLineChars="200"/>
        <w:rPr>
          <w:rFonts w:hint="default" w:asciiTheme="minorEastAsia" w:hAnsiTheme="minorEastAsia" w:eastAsiaTheme="minorEastAsia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highlight w:val="none"/>
        </w:rPr>
        <w:t>G</w:t>
      </w:r>
      <w:r>
        <w:rPr>
          <w:rFonts w:asciiTheme="minorEastAsia" w:hAnsiTheme="minorEastAsia" w:eastAsiaTheme="minorEastAsia"/>
          <w:highlight w:val="none"/>
        </w:rPr>
        <w:t>B</w:t>
      </w:r>
      <w:r>
        <w:rPr>
          <w:rFonts w:hint="eastAsia" w:asciiTheme="minorEastAsia" w:hAnsiTheme="minorEastAsia" w:eastAsiaTheme="minorEastAsia"/>
          <w:highlight w:val="none"/>
          <w:lang w:val="en-US" w:eastAsia="zh-CN"/>
        </w:rPr>
        <w:t>/T</w:t>
      </w:r>
      <w:r>
        <w:rPr>
          <w:rFonts w:hint="default" w:asciiTheme="minorEastAsia" w:hAnsiTheme="minorEastAsia" w:eastAsiaTheme="minorEastAsia"/>
          <w:highlight w:val="none"/>
        </w:rPr>
        <w:t xml:space="preserve"> 1</w:t>
      </w:r>
      <w:r>
        <w:rPr>
          <w:rFonts w:asciiTheme="minorEastAsia" w:hAnsiTheme="minorEastAsia" w:eastAsiaTheme="minorEastAsia"/>
          <w:highlight w:val="none"/>
        </w:rPr>
        <w:t>5</w:t>
      </w:r>
      <w:r>
        <w:rPr>
          <w:rFonts w:hint="default" w:asciiTheme="minorEastAsia" w:hAnsiTheme="minorEastAsia" w:eastAsiaTheme="minorEastAsia"/>
          <w:highlight w:val="none"/>
        </w:rPr>
        <w:t>0.1</w:t>
      </w:r>
      <w:r>
        <w:rPr>
          <w:rFonts w:hint="eastAsia" w:ascii="微软雅黑" w:hAnsi="微软雅黑" w:eastAsia="微软雅黑" w:cs="微软雅黑"/>
          <w:highlight w:val="none"/>
        </w:rPr>
        <w:t>～</w:t>
      </w:r>
      <w:r>
        <w:rPr>
          <w:rFonts w:hint="default" w:asciiTheme="minorEastAsia" w:hAnsiTheme="minorEastAsia" w:eastAsiaTheme="minorEastAsia"/>
          <w:highlight w:val="none"/>
        </w:rPr>
        <w:t>150.4-201</w:t>
      </w:r>
      <w:r>
        <w:rPr>
          <w:rFonts w:hint="eastAsia" w:asciiTheme="minorEastAsia" w:hAnsiTheme="minorEastAsia" w:eastAsiaTheme="minorEastAsia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/>
          <w:highlight w:val="none"/>
          <w:lang w:val="en-US" w:eastAsia="zh-Hans"/>
        </w:rPr>
        <w:t>压力容器</w:t>
      </w:r>
      <w:r>
        <w:rPr>
          <w:rFonts w:hint="eastAsia" w:asciiTheme="minorEastAsia" w:hAnsiTheme="minorEastAsia" w:eastAsiaTheme="minorEastAsia"/>
          <w:highlight w:val="none"/>
          <w:lang w:val="en-US" w:eastAsia="zh-CN"/>
        </w:rPr>
        <w:t>（所有部分）</w:t>
      </w:r>
    </w:p>
    <w:p w14:paraId="5AB4F912">
      <w:pPr>
        <w:pStyle w:val="43"/>
        <w:numPr>
          <w:ilvl w:val="0"/>
          <w:numId w:val="0"/>
        </w:numPr>
        <w:autoSpaceDE/>
        <w:autoSpaceDN/>
        <w:spacing w:before="0" w:beforeLines="0" w:after="0" w:afterLines="0"/>
        <w:ind w:firstLine="420" w:firstLineChars="200"/>
        <w:rPr>
          <w:rFonts w:hint="default" w:asciiTheme="minorEastAsia" w:hAnsiTheme="minorEastAsia" w:eastAsiaTheme="minorEastAsia"/>
          <w:highlight w:val="none"/>
          <w:lang w:val="en-US" w:eastAsia="zh-Hans"/>
        </w:rPr>
      </w:pPr>
      <w:r>
        <w:rPr>
          <w:rFonts w:hint="default" w:asciiTheme="minorEastAsia" w:hAnsiTheme="minorEastAsia" w:eastAsiaTheme="minorEastAsia"/>
          <w:highlight w:val="none"/>
        </w:rPr>
        <w:t>GB</w:t>
      </w:r>
      <w:r>
        <w:rPr>
          <w:rFonts w:asciiTheme="minorEastAsia" w:hAnsiTheme="minorEastAsia" w:eastAsiaTheme="minorEastAsia"/>
          <w:highlight w:val="none"/>
        </w:rPr>
        <w:t xml:space="preserve">/T </w:t>
      </w:r>
      <w:r>
        <w:rPr>
          <w:rFonts w:hint="default" w:asciiTheme="minorEastAsia" w:hAnsiTheme="minorEastAsia" w:eastAsiaTheme="minorEastAsia"/>
          <w:highlight w:val="none"/>
        </w:rPr>
        <w:t>14019</w:t>
      </w:r>
      <w:r>
        <w:rPr>
          <w:rFonts w:asciiTheme="minorEastAsia" w:hAnsiTheme="minorEastAsia" w:eastAsiaTheme="minorEastAsia"/>
          <w:highlight w:val="none"/>
        </w:rPr>
        <w:t xml:space="preserve"> </w:t>
      </w:r>
      <w:r>
        <w:rPr>
          <w:rFonts w:hint="default" w:asciiTheme="minorEastAsia" w:hAnsiTheme="minorEastAsia" w:eastAsiaTheme="minorEastAsia"/>
          <w:highlight w:val="none"/>
        </w:rPr>
        <w:t xml:space="preserve"> </w:t>
      </w:r>
      <w:r>
        <w:rPr>
          <w:rFonts w:hint="eastAsia" w:asciiTheme="minorEastAsia" w:hAnsiTheme="minorEastAsia" w:eastAsiaTheme="minorEastAsia"/>
          <w:highlight w:val="none"/>
          <w:lang w:val="en-US" w:eastAsia="zh-Hans"/>
        </w:rPr>
        <w:t>木材防腐术语</w:t>
      </w:r>
    </w:p>
    <w:p w14:paraId="7A6EC2E5">
      <w:pPr>
        <w:pStyle w:val="43"/>
        <w:numPr>
          <w:ilvl w:val="0"/>
          <w:numId w:val="0"/>
        </w:numPr>
        <w:autoSpaceDE/>
        <w:autoSpaceDN/>
        <w:spacing w:before="0" w:beforeLines="0" w:after="0" w:afterLines="0"/>
        <w:ind w:firstLine="420" w:firstLineChars="200"/>
        <w:rPr>
          <w:rFonts w:asciiTheme="minorEastAsia" w:hAnsiTheme="minorEastAsia" w:eastAsiaTheme="minorEastAsia"/>
          <w:highlight w:val="none"/>
        </w:rPr>
      </w:pPr>
      <w:r>
        <w:rPr>
          <w:rFonts w:hint="eastAsia" w:asciiTheme="minorEastAsia" w:hAnsiTheme="minorEastAsia" w:eastAsiaTheme="minorEastAsia"/>
          <w:highlight w:val="none"/>
        </w:rPr>
        <w:t>JB 4730</w:t>
      </w:r>
      <w:r>
        <w:rPr>
          <w:rFonts w:asciiTheme="minorEastAsia" w:hAnsiTheme="minorEastAsia" w:eastAsiaTheme="minorEastAsia"/>
          <w:highlight w:val="none"/>
        </w:rPr>
        <w:t xml:space="preserve">    </w:t>
      </w:r>
      <w:r>
        <w:rPr>
          <w:rFonts w:hint="eastAsia" w:asciiTheme="minorEastAsia" w:hAnsiTheme="minorEastAsia" w:eastAsiaTheme="minorEastAsia"/>
          <w:highlight w:val="none"/>
          <w:lang w:val="en-US" w:eastAsia="zh-Hans"/>
        </w:rPr>
        <w:t>压力容器无损检测</w:t>
      </w:r>
      <w:r>
        <w:rPr>
          <w:rFonts w:asciiTheme="minorEastAsia" w:hAnsiTheme="minorEastAsia" w:eastAsiaTheme="minorEastAsia"/>
          <w:highlight w:val="none"/>
        </w:rPr>
        <w:t xml:space="preserve"> </w:t>
      </w:r>
    </w:p>
    <w:p w14:paraId="7F1D37A8">
      <w:pPr>
        <w:pStyle w:val="47"/>
        <w:numPr>
          <w:ilvl w:val="0"/>
          <w:numId w:val="1"/>
        </w:numPr>
        <w:tabs>
          <w:tab w:val="clear" w:pos="0"/>
        </w:tabs>
        <w:spacing w:before="312" w:after="312"/>
        <w:rPr>
          <w:highlight w:val="none"/>
        </w:rPr>
      </w:pPr>
      <w:bookmarkStart w:id="18" w:name="_Toc78802405"/>
      <w:bookmarkStart w:id="19" w:name="_Toc103159537"/>
      <w:r>
        <w:rPr>
          <w:rFonts w:hint="eastAsia"/>
          <w:highlight w:val="none"/>
        </w:rPr>
        <w:t>术语和定义</w:t>
      </w:r>
      <w:bookmarkEnd w:id="18"/>
      <w:bookmarkEnd w:id="19"/>
    </w:p>
    <w:p w14:paraId="07B63160">
      <w:pPr>
        <w:pStyle w:val="9"/>
        <w:autoSpaceDE/>
        <w:autoSpaceDN/>
        <w:rPr>
          <w:highlight w:val="none"/>
        </w:rPr>
      </w:pPr>
      <w:r>
        <w:rPr>
          <w:rFonts w:hint="eastAsia" w:asciiTheme="minorEastAsia" w:hAnsiTheme="minorEastAsia" w:eastAsiaTheme="minorEastAsia"/>
          <w:highlight w:val="none"/>
        </w:rPr>
        <w:t>G</w:t>
      </w:r>
      <w:r>
        <w:rPr>
          <w:rFonts w:asciiTheme="minorEastAsia" w:hAnsiTheme="minorEastAsia" w:eastAsiaTheme="minorEastAsia"/>
          <w:highlight w:val="none"/>
        </w:rPr>
        <w:t>B</w:t>
      </w:r>
      <w:r>
        <w:rPr>
          <w:rFonts w:hint="default" w:asciiTheme="minorEastAsia" w:hAnsiTheme="minorEastAsia" w:eastAsiaTheme="minorEastAsia"/>
          <w:highlight w:val="none"/>
        </w:rPr>
        <w:t xml:space="preserve"> 1</w:t>
      </w:r>
      <w:r>
        <w:rPr>
          <w:rFonts w:asciiTheme="minorEastAsia" w:hAnsiTheme="minorEastAsia" w:eastAsiaTheme="minorEastAsia"/>
          <w:highlight w:val="none"/>
        </w:rPr>
        <w:t>5</w:t>
      </w:r>
      <w:r>
        <w:rPr>
          <w:rFonts w:hint="default" w:asciiTheme="minorEastAsia" w:hAnsiTheme="minorEastAsia" w:eastAsiaTheme="minorEastAsia"/>
          <w:highlight w:val="none"/>
        </w:rPr>
        <w:t>0.1</w:t>
      </w:r>
      <w:r>
        <w:rPr>
          <w:rFonts w:hint="eastAsia" w:ascii="微软雅黑" w:hAnsi="微软雅黑" w:eastAsia="微软雅黑" w:cs="微软雅黑"/>
          <w:highlight w:val="none"/>
        </w:rPr>
        <w:t>～</w:t>
      </w:r>
      <w:r>
        <w:rPr>
          <w:rFonts w:hint="default" w:asciiTheme="minorEastAsia" w:hAnsiTheme="minorEastAsia" w:eastAsiaTheme="minorEastAsia"/>
          <w:highlight w:val="none"/>
        </w:rPr>
        <w:t>150.4-2011</w:t>
      </w:r>
      <w:r>
        <w:rPr>
          <w:rFonts w:hint="eastAsia" w:asciiTheme="minorEastAsia" w:hAnsiTheme="minorEastAsia"/>
          <w:highlight w:val="none"/>
          <w:lang w:eastAsia="zh-Hans"/>
        </w:rPr>
        <w:t>、</w:t>
      </w:r>
      <w:r>
        <w:rPr>
          <w:rFonts w:hint="default" w:asciiTheme="minorEastAsia" w:hAnsiTheme="minorEastAsia" w:eastAsiaTheme="minorEastAsia"/>
          <w:highlight w:val="none"/>
        </w:rPr>
        <w:t>GB</w:t>
      </w:r>
      <w:r>
        <w:rPr>
          <w:rFonts w:asciiTheme="minorEastAsia" w:hAnsiTheme="minorEastAsia" w:eastAsiaTheme="minorEastAsia"/>
          <w:highlight w:val="none"/>
        </w:rPr>
        <w:t xml:space="preserve">/T </w:t>
      </w:r>
      <w:r>
        <w:rPr>
          <w:rFonts w:hint="default" w:asciiTheme="minorEastAsia" w:hAnsiTheme="minorEastAsia" w:eastAsiaTheme="minorEastAsia"/>
          <w:highlight w:val="none"/>
        </w:rPr>
        <w:t>14019</w:t>
      </w:r>
      <w:r>
        <w:rPr>
          <w:rFonts w:hint="default" w:asciiTheme="minorEastAsia" w:hAnsiTheme="minorEastAsia"/>
          <w:highlight w:val="none"/>
        </w:rPr>
        <w:t>-2009</w:t>
      </w:r>
      <w:r>
        <w:rPr>
          <w:rFonts w:hint="eastAsia" w:asciiTheme="minorEastAsia" w:hAnsiTheme="minorEastAsia"/>
          <w:highlight w:val="none"/>
          <w:lang w:val="en-US" w:eastAsia="zh-Hans"/>
        </w:rPr>
        <w:t>界定的以及下列</w:t>
      </w:r>
      <w:r>
        <w:rPr>
          <w:rFonts w:hint="eastAsia"/>
          <w:highlight w:val="none"/>
        </w:rPr>
        <w:t>术语和定义适用于本文件。</w:t>
      </w:r>
    </w:p>
    <w:p w14:paraId="43F0DAF2">
      <w:pPr>
        <w:pStyle w:val="57"/>
        <w:spacing w:beforeLines="0" w:afterLines="0"/>
        <w:ind w:left="0"/>
        <w:outlineLvl w:val="9"/>
        <w:rPr>
          <w:highlight w:val="none"/>
        </w:rPr>
      </w:pPr>
      <w:r>
        <w:rPr>
          <w:highlight w:val="none"/>
        </w:rPr>
        <w:t>3.1</w:t>
      </w:r>
    </w:p>
    <w:p w14:paraId="5199E97C">
      <w:pPr>
        <w:pStyle w:val="57"/>
        <w:spacing w:beforeLines="0" w:afterLines="0"/>
        <w:ind w:left="0" w:firstLine="420" w:firstLineChars="0"/>
        <w:outlineLvl w:val="9"/>
        <w:rPr>
          <w:highlight w:val="none"/>
        </w:rPr>
      </w:pPr>
      <w:r>
        <w:rPr>
          <w:rFonts w:hint="eastAsia"/>
          <w:highlight w:val="none"/>
        </w:rPr>
        <w:t>真空和（或）压力浸注（处理）用木材防腐</w:t>
      </w:r>
      <w:r>
        <w:rPr>
          <w:rFonts w:hint="eastAsia"/>
          <w:highlight w:val="none"/>
          <w:lang w:val="en-US" w:eastAsia="zh-CN"/>
        </w:rPr>
        <w:t>及改性</w:t>
      </w:r>
      <w:r>
        <w:rPr>
          <w:rFonts w:hint="eastAsia"/>
          <w:highlight w:val="none"/>
        </w:rPr>
        <w:t>设备机组</w:t>
      </w:r>
    </w:p>
    <w:p w14:paraId="07C50C5A">
      <w:pPr>
        <w:autoSpaceDE/>
        <w:autoSpaceDN/>
        <w:rPr>
          <w:rFonts w:hint="eastAsia"/>
          <w:highlight w:val="none"/>
          <w:lang w:val="en-US" w:eastAsia="zh-Hans"/>
        </w:rPr>
      </w:pPr>
    </w:p>
    <w:p w14:paraId="06ABE1F9">
      <w:pPr>
        <w:autoSpaceDE/>
        <w:autoSpaceDN/>
        <w:rPr>
          <w:sz w:val="28"/>
          <w:szCs w:val="28"/>
          <w:highlight w:val="none"/>
        </w:rPr>
      </w:pPr>
      <w:r>
        <w:rPr>
          <w:rFonts w:hint="eastAsia"/>
          <w:highlight w:val="none"/>
          <w:lang w:val="en-US" w:eastAsia="zh-Hans"/>
        </w:rPr>
        <w:t>用</w:t>
      </w:r>
      <w:r>
        <w:rPr>
          <w:rFonts w:hint="eastAsia"/>
          <w:highlight w:val="none"/>
        </w:rPr>
        <w:t>于采取真空和（或）加压法对木材进行防腐</w:t>
      </w:r>
      <w:r>
        <w:rPr>
          <w:rFonts w:hint="eastAsia"/>
          <w:highlight w:val="none"/>
          <w:lang w:val="en-US" w:eastAsia="zh-CN"/>
        </w:rPr>
        <w:t>及改性</w:t>
      </w:r>
      <w:r>
        <w:rPr>
          <w:rFonts w:hint="eastAsia"/>
          <w:highlight w:val="none"/>
        </w:rPr>
        <w:t>处理的成套设备</w:t>
      </w:r>
      <w:r>
        <w:rPr>
          <w:rFonts w:hint="eastAsia"/>
          <w:highlight w:val="none"/>
          <w:lang w:eastAsia="zh-CN"/>
        </w:rPr>
        <w:t>。</w:t>
      </w:r>
      <w:r>
        <w:rPr>
          <w:rFonts w:hint="eastAsia"/>
          <w:highlight w:val="none"/>
        </w:rPr>
        <w:t>主要由压力浸注（处理）罐、加压系统、真空系统、吸排液系统、配液系统、储液系统、电控系统及木材装运系统等组成。</w:t>
      </w:r>
      <w:r>
        <w:rPr>
          <w:sz w:val="28"/>
          <w:szCs w:val="28"/>
          <w:highlight w:val="none"/>
        </w:rPr>
        <w:t xml:space="preserve"> </w:t>
      </w:r>
    </w:p>
    <w:p w14:paraId="22B9CFA4">
      <w:pPr>
        <w:pStyle w:val="57"/>
        <w:spacing w:beforeLines="0" w:afterLines="0"/>
        <w:ind w:left="0"/>
        <w:outlineLvl w:val="9"/>
        <w:rPr>
          <w:highlight w:val="none"/>
        </w:rPr>
      </w:pPr>
      <w:r>
        <w:rPr>
          <w:highlight w:val="none"/>
        </w:rPr>
        <w:t>3.2</w:t>
      </w:r>
    </w:p>
    <w:p w14:paraId="478810D1">
      <w:pPr>
        <w:pStyle w:val="57"/>
        <w:spacing w:beforeLines="0" w:afterLines="0"/>
        <w:ind w:left="0" w:firstLine="420" w:firstLineChars="0"/>
        <w:outlineLvl w:val="9"/>
        <w:rPr>
          <w:highlight w:val="none"/>
        </w:rPr>
      </w:pPr>
      <w:r>
        <w:rPr>
          <w:rFonts w:hint="eastAsia"/>
          <w:highlight w:val="none"/>
        </w:rPr>
        <w:t>工作压力</w:t>
      </w:r>
    </w:p>
    <w:p w14:paraId="1C0001A4">
      <w:pPr>
        <w:autoSpaceDE/>
        <w:autoSpaceDN/>
        <w:rPr>
          <w:rFonts w:hint="eastAsia"/>
          <w:highlight w:val="none"/>
        </w:rPr>
      </w:pPr>
    </w:p>
    <w:p w14:paraId="41FCC45F">
      <w:pPr>
        <w:autoSpaceDE/>
        <w:autoSpaceDN/>
        <w:rPr>
          <w:highlight w:val="none"/>
        </w:rPr>
      </w:pPr>
      <w:r>
        <w:rPr>
          <w:rFonts w:hint="eastAsia"/>
          <w:highlight w:val="none"/>
        </w:rPr>
        <w:t>在正常操作情况下，压力浸注（处理）</w:t>
      </w:r>
      <w:r>
        <w:rPr>
          <w:rFonts w:hint="eastAsia"/>
          <w:highlight w:val="none"/>
          <w:lang w:val="en-US" w:eastAsia="zh-CN"/>
        </w:rPr>
        <w:t>罐</w:t>
      </w:r>
      <w:r>
        <w:rPr>
          <w:rFonts w:hint="eastAsia"/>
          <w:highlight w:val="none"/>
        </w:rPr>
        <w:t>内允许使用的</w:t>
      </w:r>
      <w:r>
        <w:rPr>
          <w:rFonts w:hint="eastAsia"/>
          <w:highlight w:val="none"/>
          <w:lang w:val="en-US" w:eastAsia="zh-CN"/>
        </w:rPr>
        <w:t>最高</w:t>
      </w:r>
      <w:r>
        <w:rPr>
          <w:rFonts w:hint="eastAsia"/>
          <w:highlight w:val="none"/>
        </w:rPr>
        <w:t>压力</w:t>
      </w:r>
      <w:r>
        <w:rPr>
          <w:rFonts w:hint="eastAsia"/>
          <w:highlight w:val="none"/>
          <w:lang w:val="en-US" w:eastAsia="zh-CN"/>
        </w:rPr>
        <w:t>。</w:t>
      </w:r>
    </w:p>
    <w:p w14:paraId="51326345">
      <w:pPr>
        <w:pStyle w:val="47"/>
        <w:numPr>
          <w:ilvl w:val="0"/>
          <w:numId w:val="1"/>
        </w:numPr>
        <w:tabs>
          <w:tab w:val="clear" w:pos="0"/>
        </w:tabs>
        <w:spacing w:before="312" w:after="312"/>
        <w:rPr>
          <w:highlight w:val="none"/>
        </w:rPr>
      </w:pPr>
      <w:bookmarkStart w:id="20" w:name="_Toc94726010"/>
      <w:bookmarkStart w:id="21" w:name="_Toc103159538"/>
      <w:bookmarkStart w:id="22" w:name="_Toc25392"/>
      <w:r>
        <w:rPr>
          <w:rFonts w:hint="eastAsia"/>
          <w:highlight w:val="none"/>
          <w:lang w:val="en-US" w:eastAsia="zh-Hans"/>
        </w:rPr>
        <w:t>技术</w:t>
      </w:r>
      <w:r>
        <w:rPr>
          <w:highlight w:val="none"/>
        </w:rPr>
        <w:t>要求</w:t>
      </w:r>
      <w:bookmarkEnd w:id="20"/>
      <w:bookmarkEnd w:id="21"/>
      <w:r>
        <w:rPr>
          <w:highlight w:val="none"/>
        </w:rPr>
        <w:t xml:space="preserve"> </w:t>
      </w:r>
      <w:bookmarkEnd w:id="22"/>
    </w:p>
    <w:p w14:paraId="44F89CF1">
      <w:pPr>
        <w:pStyle w:val="43"/>
        <w:autoSpaceDE/>
        <w:autoSpaceDN/>
        <w:rPr>
          <w:highlight w:val="none"/>
        </w:rPr>
      </w:pPr>
      <w:bookmarkStart w:id="23" w:name="_Hlk95404035"/>
      <w:r>
        <w:rPr>
          <w:rFonts w:hint="eastAsia"/>
          <w:highlight w:val="none"/>
          <w:lang w:val="en-US" w:eastAsia="zh-Hans"/>
        </w:rPr>
        <w:t>基本要求</w:t>
      </w:r>
      <w:r>
        <w:rPr>
          <w:highlight w:val="none"/>
        </w:rPr>
        <w:t xml:space="preserve"> </w:t>
      </w:r>
    </w:p>
    <w:p w14:paraId="7C178CC8">
      <w:pPr>
        <w:autoSpaceDE/>
        <w:autoSpaceDN/>
        <w:rPr>
          <w:highlight w:val="none"/>
        </w:rPr>
      </w:pPr>
      <w:r>
        <w:rPr>
          <w:rFonts w:hint="eastAsia"/>
          <w:highlight w:val="none"/>
        </w:rPr>
        <w:t>设备机组应按批准的设计图纸和技术文件制造和组装。</w:t>
      </w:r>
    </w:p>
    <w:p w14:paraId="36F16057">
      <w:pPr>
        <w:pStyle w:val="43"/>
        <w:autoSpaceDE/>
        <w:autoSpaceDN/>
        <w:rPr>
          <w:highlight w:val="none"/>
        </w:rPr>
      </w:pPr>
      <w:r>
        <w:rPr>
          <w:highlight w:val="none"/>
        </w:rPr>
        <w:t xml:space="preserve"> </w:t>
      </w:r>
      <w:r>
        <w:rPr>
          <w:rFonts w:hint="eastAsia"/>
          <w:highlight w:val="none"/>
        </w:rPr>
        <w:t>压力浸注（处理）罐</w:t>
      </w:r>
    </w:p>
    <w:p w14:paraId="7B898FAA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4</w:t>
      </w:r>
      <w:r>
        <w:rPr>
          <w:rFonts w:hint="eastAsia"/>
          <w:highlight w:val="none"/>
          <w:lang w:eastAsia="zh-Hans"/>
        </w:rPr>
        <w:t>.</w:t>
      </w:r>
      <w:r>
        <w:rPr>
          <w:rFonts w:hint="eastAsia"/>
          <w:highlight w:val="none"/>
        </w:rPr>
        <w:t>2.1压力浸注（处理）</w:t>
      </w:r>
      <w:r>
        <w:rPr>
          <w:rFonts w:hint="eastAsia"/>
          <w:highlight w:val="none"/>
          <w:lang w:val="en-US" w:eastAsia="zh-CN"/>
        </w:rPr>
        <w:t>罐</w:t>
      </w:r>
      <w:r>
        <w:rPr>
          <w:rFonts w:hint="eastAsia"/>
          <w:highlight w:val="none"/>
        </w:rPr>
        <w:t>的结构设计、制造、检验应</w:t>
      </w:r>
      <w:r>
        <w:rPr>
          <w:rFonts w:hint="eastAsia"/>
          <w:highlight w:val="none"/>
          <w:lang w:val="en-US" w:eastAsia="zh-Hans"/>
        </w:rPr>
        <w:t>符合</w:t>
      </w:r>
      <w:r>
        <w:rPr>
          <w:rFonts w:hint="eastAsia"/>
          <w:highlight w:val="none"/>
        </w:rPr>
        <w:t>GB 150.1</w:t>
      </w:r>
      <w:r>
        <w:rPr>
          <w:rFonts w:hint="eastAsia" w:ascii="微软雅黑" w:hAnsi="微软雅黑" w:eastAsia="微软雅黑" w:cs="微软雅黑"/>
          <w:highlight w:val="none"/>
        </w:rPr>
        <w:t>～</w:t>
      </w:r>
      <w:r>
        <w:rPr>
          <w:rFonts w:hint="eastAsia"/>
          <w:highlight w:val="none"/>
        </w:rPr>
        <w:t>150.4-2011的有关规定</w:t>
      </w:r>
      <w:r>
        <w:rPr>
          <w:rFonts w:hint="eastAsia"/>
          <w:highlight w:val="none"/>
          <w:lang w:eastAsia="zh-CN"/>
        </w:rPr>
        <w:t>。</w:t>
      </w:r>
    </w:p>
    <w:p w14:paraId="65DD9833">
      <w:pPr>
        <w:autoSpaceDE/>
        <w:autoSpaceDN/>
        <w:ind w:left="0" w:leftChars="0" w:firstLine="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4</w:t>
      </w:r>
      <w:r>
        <w:rPr>
          <w:rFonts w:hint="eastAsia"/>
          <w:highlight w:val="none"/>
          <w:lang w:eastAsia="zh-Hans"/>
        </w:rPr>
        <w:t>.</w:t>
      </w:r>
      <w:r>
        <w:rPr>
          <w:rFonts w:hint="eastAsia"/>
          <w:highlight w:val="none"/>
        </w:rPr>
        <w:t>2.2罐体材料的选用应符合GB 150.1</w:t>
      </w:r>
      <w:r>
        <w:rPr>
          <w:rFonts w:hint="eastAsia" w:ascii="微软雅黑" w:hAnsi="微软雅黑" w:eastAsia="微软雅黑" w:cs="微软雅黑"/>
          <w:highlight w:val="none"/>
        </w:rPr>
        <w:t>～</w:t>
      </w:r>
      <w:r>
        <w:rPr>
          <w:rFonts w:hint="eastAsia"/>
          <w:highlight w:val="none"/>
        </w:rPr>
        <w:t>150.4-201</w:t>
      </w:r>
      <w:r>
        <w:rPr>
          <w:rFonts w:hint="default"/>
          <w:highlight w:val="none"/>
        </w:rPr>
        <w:t>1</w:t>
      </w:r>
      <w:r>
        <w:rPr>
          <w:rFonts w:hint="eastAsia"/>
          <w:highlight w:val="none"/>
        </w:rPr>
        <w:t>的有关规定，使用防腐蚀性能不低于低合金钢的材料。</w:t>
      </w:r>
    </w:p>
    <w:p w14:paraId="606DAF6A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4.2.3罐体的工作压力不小于1.5 MPa</w:t>
      </w:r>
      <w:r>
        <w:rPr>
          <w:rFonts w:hint="eastAsia"/>
          <w:highlight w:val="none"/>
          <w:lang w:eastAsia="zh-CN"/>
        </w:rPr>
        <w:t>。</w:t>
      </w:r>
    </w:p>
    <w:p w14:paraId="43D3F506">
      <w:pPr>
        <w:autoSpaceDE/>
        <w:autoSpaceDN/>
        <w:ind w:left="0" w:leftChars="0" w:firstLine="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4</w:t>
      </w:r>
      <w:r>
        <w:rPr>
          <w:rFonts w:hint="eastAsia"/>
          <w:highlight w:val="none"/>
          <w:lang w:eastAsia="zh-Hans"/>
        </w:rPr>
        <w:t>.</w:t>
      </w:r>
      <w:r>
        <w:rPr>
          <w:rFonts w:hint="eastAsia"/>
          <w:highlight w:val="none"/>
        </w:rPr>
        <w:t>2.4罐体内壁应有防腐层，外壁应涂饰防腐蚀的涂料。</w:t>
      </w:r>
    </w:p>
    <w:p w14:paraId="6F9FE6B7">
      <w:pPr>
        <w:autoSpaceDE/>
        <w:autoSpaceDN/>
        <w:ind w:left="0" w:leftChars="0" w:firstLine="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4</w:t>
      </w:r>
      <w:r>
        <w:rPr>
          <w:rFonts w:hint="eastAsia"/>
          <w:highlight w:val="none"/>
          <w:lang w:eastAsia="zh-Hans"/>
        </w:rPr>
        <w:t>.</w:t>
      </w:r>
      <w:r>
        <w:rPr>
          <w:rFonts w:hint="eastAsia"/>
          <w:highlight w:val="none"/>
        </w:rPr>
        <w:t>2.5罐体内应设防装载小车浮起装置。</w:t>
      </w:r>
    </w:p>
    <w:p w14:paraId="254E6EB3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4.2.6</w:t>
      </w:r>
      <w:r>
        <w:rPr>
          <w:rFonts w:hint="eastAsia"/>
          <w:highlight w:val="none"/>
          <w:lang w:val="en-US" w:eastAsia="zh-Hans"/>
        </w:rPr>
        <w:t>罐口</w:t>
      </w:r>
      <w:r>
        <w:rPr>
          <w:rFonts w:hint="eastAsia"/>
          <w:highlight w:val="none"/>
        </w:rPr>
        <w:t>应采用整体锻打件，不应采用浇俸件及拼焊形式</w:t>
      </w:r>
      <w:r>
        <w:rPr>
          <w:rFonts w:hint="eastAsia"/>
          <w:highlight w:val="none"/>
          <w:lang w:eastAsia="zh-CN"/>
        </w:rPr>
        <w:t>。</w:t>
      </w:r>
    </w:p>
    <w:p w14:paraId="3D617BD9">
      <w:pPr>
        <w:autoSpaceDE/>
        <w:autoSpaceDN/>
        <w:ind w:left="0" w:leftChars="0" w:firstLine="0" w:firstLineChars="0"/>
        <w:rPr>
          <w:highlight w:val="none"/>
        </w:rPr>
      </w:pPr>
      <w:r>
        <w:rPr>
          <w:rFonts w:hint="eastAsia"/>
          <w:highlight w:val="none"/>
        </w:rPr>
        <w:t>4.2.7</w:t>
      </w:r>
      <w:r>
        <w:rPr>
          <w:rFonts w:hint="eastAsia"/>
          <w:highlight w:val="none"/>
          <w:lang w:val="en-US" w:eastAsia="zh-Hans"/>
        </w:rPr>
        <w:t>罐</w:t>
      </w:r>
      <w:r>
        <w:rPr>
          <w:rFonts w:hint="eastAsia"/>
          <w:highlight w:val="none"/>
        </w:rPr>
        <w:t>门采用快开门结构。</w:t>
      </w:r>
    </w:p>
    <w:p w14:paraId="0046C414">
      <w:pPr>
        <w:pStyle w:val="43"/>
        <w:autoSpaceDE/>
        <w:autoSpaceDN/>
        <w:rPr>
          <w:highlight w:val="none"/>
        </w:rPr>
      </w:pPr>
      <w:r>
        <w:rPr>
          <w:rFonts w:hint="eastAsia"/>
          <w:highlight w:val="none"/>
          <w:lang w:val="en-US" w:eastAsia="zh-Hans"/>
        </w:rPr>
        <w:t>真空系统</w:t>
      </w:r>
    </w:p>
    <w:p w14:paraId="10A41611">
      <w:pPr>
        <w:autoSpaceDE/>
        <w:autoSpaceDN/>
        <w:ind w:left="0" w:leftChars="0" w:firstLine="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4.3.1真空系统应保证压力浸注（处理〉</w:t>
      </w:r>
      <w:r>
        <w:rPr>
          <w:rFonts w:hint="eastAsia"/>
          <w:highlight w:val="none"/>
          <w:lang w:val="en-US" w:eastAsia="zh-Hans"/>
        </w:rPr>
        <w:t>罐</w:t>
      </w:r>
      <w:r>
        <w:rPr>
          <w:rFonts w:hint="eastAsia"/>
          <w:highlight w:val="none"/>
        </w:rPr>
        <w:t>内真空度不小于0.090 MPa</w:t>
      </w:r>
      <w:r>
        <w:rPr>
          <w:rFonts w:hint="eastAsia"/>
          <w:highlight w:val="none"/>
          <w:lang w:eastAsia="zh-Hans"/>
        </w:rPr>
        <w:t>。</w:t>
      </w:r>
      <w:r>
        <w:rPr>
          <w:rFonts w:hint="eastAsia"/>
          <w:highlight w:val="none"/>
        </w:rPr>
        <w:t xml:space="preserve"> </w:t>
      </w:r>
    </w:p>
    <w:p w14:paraId="5CA92C74">
      <w:pPr>
        <w:autoSpaceDE/>
        <w:autoSpaceDN/>
        <w:ind w:left="0" w:leftChars="0" w:firstLine="0" w:firstLineChars="0"/>
        <w:rPr>
          <w:rFonts w:hint="eastAsia"/>
          <w:highlight w:val="none"/>
          <w:lang w:eastAsia="zh-Hans"/>
        </w:rPr>
      </w:pPr>
      <w:r>
        <w:rPr>
          <w:rFonts w:hint="eastAsia"/>
          <w:highlight w:val="none"/>
        </w:rPr>
        <w:t>4.3.2真空泵抽真空时间应符合表1的相关要求</w:t>
      </w:r>
      <w:r>
        <w:rPr>
          <w:rFonts w:hint="eastAsia"/>
          <w:highlight w:val="none"/>
          <w:lang w:eastAsia="zh-Hans"/>
        </w:rPr>
        <w:t>。</w:t>
      </w:r>
    </w:p>
    <w:p w14:paraId="7E12B1C6">
      <w:pPr>
        <w:autoSpaceDE/>
        <w:autoSpaceDN/>
        <w:ind w:left="0" w:leftChars="0" w:firstLine="0" w:firstLineChars="0"/>
        <w:jc w:val="center"/>
        <w:rPr>
          <w:rFonts w:hint="eastAsia"/>
          <w:highlight w:val="none"/>
        </w:rPr>
      </w:pPr>
      <w:r>
        <w:rPr>
          <w:rFonts w:hint="eastAsia"/>
          <w:highlight w:val="none"/>
          <w:lang w:eastAsia="zh-Hans"/>
        </w:rPr>
        <w:t>表1压力浸注（处理）</w:t>
      </w:r>
      <w:r>
        <w:rPr>
          <w:rFonts w:hint="eastAsia"/>
          <w:highlight w:val="none"/>
          <w:lang w:val="en-US" w:eastAsia="zh-Hans"/>
        </w:rPr>
        <w:t>罐</w:t>
      </w:r>
      <w:r>
        <w:rPr>
          <w:rFonts w:hint="eastAsia"/>
          <w:highlight w:val="none"/>
          <w:lang w:eastAsia="zh-Hans"/>
        </w:rPr>
        <w:t>基本参数</w:t>
      </w:r>
    </w:p>
    <w:tbl>
      <w:tblPr>
        <w:tblStyle w:val="21"/>
        <w:tblW w:w="992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84"/>
        <w:gridCol w:w="1984"/>
        <w:gridCol w:w="1984"/>
        <w:gridCol w:w="1984"/>
        <w:gridCol w:w="1984"/>
      </w:tblGrid>
      <w:tr w14:paraId="2C60C2D0">
        <w:trPr>
          <w:trHeight w:val="1520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905FCD7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1E1BF2B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superscrip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体容枳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en-US" w:bidi="en-US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 w:bidi="en-US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vertAlign w:val="superscript"/>
                <w:lang w:val="en-US" w:eastAsia="zh-CN" w:bidi="en-US"/>
              </w:rPr>
              <w:t>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02C3DC5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抽真空时间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Hans"/>
              </w:rPr>
              <w:t>min</w:t>
            </w:r>
          </w:p>
          <w:p w14:paraId="6F99F50A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 xml:space="preserve">(0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en-US" w:bidi="en-US"/>
              </w:rPr>
              <w:t>MPa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〜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en-US" w:bidi="en-US"/>
              </w:rPr>
              <w:t>0.090 MPa)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465F2EA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加压时间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en-US" w:bidi="en-US"/>
              </w:rPr>
              <w:t>/min</w:t>
            </w:r>
          </w:p>
          <w:p w14:paraId="179BAD74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 xml:space="preserve">（0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en-US" w:bidi="en-US"/>
              </w:rPr>
              <w:t>MPa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至工作压力）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EB36B9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吸排液时间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en-US" w:bidi="en-US"/>
              </w:rPr>
              <w:t>/min</w:t>
            </w:r>
          </w:p>
        </w:tc>
      </w:tr>
      <w:tr w14:paraId="1240FBF2">
        <w:trPr>
          <w:trHeight w:val="720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BC067EC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770B3A3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Hans"/>
              </w:rPr>
              <w:t>≤</w:t>
            </w:r>
            <w:r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AB1F395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74759DB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1D86F1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&lt;8</w:t>
            </w:r>
          </w:p>
        </w:tc>
      </w:tr>
      <w:tr w14:paraId="41991C23">
        <w:trPr>
          <w:trHeight w:val="700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3C79D10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3109162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10 〜20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71C8244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FE19D8F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5F2D2D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&lt;10</w:t>
            </w:r>
          </w:p>
        </w:tc>
      </w:tr>
      <w:tr w14:paraId="73140CD3">
        <w:trPr>
          <w:trHeight w:val="740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B3DB562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2533155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20 〜30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9D4DACD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E41707C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98BD52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&lt;12</w:t>
            </w:r>
          </w:p>
        </w:tc>
      </w:tr>
      <w:tr w14:paraId="7A1F6434">
        <w:trPr>
          <w:trHeight w:val="760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37DDA27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1602A4A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Hans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30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A96A56F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&lt;12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8454BB4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701CFC">
            <w:pPr>
              <w:pStyle w:val="7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highlight w:val="none"/>
              </w:rPr>
              <w:t>&lt;15</w:t>
            </w:r>
          </w:p>
        </w:tc>
      </w:tr>
    </w:tbl>
    <w:p w14:paraId="20F455F3">
      <w:pPr>
        <w:autoSpaceDE/>
        <w:autoSpaceDN/>
        <w:rPr>
          <w:rFonts w:hint="eastAsia"/>
          <w:highlight w:val="none"/>
        </w:rPr>
      </w:pPr>
    </w:p>
    <w:p w14:paraId="11374BB8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4.3.3压力浸注罐与真空泵之间应设置金属缓冲</w:t>
      </w:r>
      <w:r>
        <w:rPr>
          <w:rFonts w:hint="eastAsia"/>
          <w:highlight w:val="none"/>
          <w:lang w:val="en-US" w:eastAsia="zh-Hans"/>
        </w:rPr>
        <w:t>罐</w:t>
      </w:r>
      <w:r>
        <w:rPr>
          <w:rFonts w:hint="eastAsia"/>
          <w:highlight w:val="none"/>
          <w:lang w:eastAsia="zh-CN"/>
        </w:rPr>
        <w:t>。</w:t>
      </w:r>
      <w:r>
        <w:rPr>
          <w:rFonts w:hint="eastAsia"/>
          <w:highlight w:val="none"/>
        </w:rPr>
        <w:t>缓冲</w:t>
      </w:r>
      <w:r>
        <w:rPr>
          <w:rFonts w:hint="eastAsia"/>
          <w:highlight w:val="none"/>
          <w:lang w:val="en-US" w:eastAsia="zh-Hans"/>
        </w:rPr>
        <w:t>罐</w:t>
      </w:r>
      <w:r>
        <w:rPr>
          <w:rFonts w:hint="eastAsia"/>
          <w:highlight w:val="none"/>
        </w:rPr>
        <w:t>的容积应不小于压力浸注罐容积的1/40, 且高度（含上下两侧封头高度）应不低于压力浸注</w:t>
      </w:r>
      <w:r>
        <w:rPr>
          <w:rFonts w:hint="eastAsia"/>
          <w:highlight w:val="none"/>
          <w:lang w:val="en-US" w:eastAsia="zh-Hans"/>
        </w:rPr>
        <w:t>罐</w:t>
      </w:r>
      <w:r>
        <w:rPr>
          <w:rFonts w:hint="eastAsia"/>
          <w:highlight w:val="none"/>
        </w:rPr>
        <w:t>的直径，以避免在抽入防腐剂时，将防腐剂或防腐剂气泡吸入真空泵。可将处理</w:t>
      </w:r>
      <w:r>
        <w:rPr>
          <w:rFonts w:hint="eastAsia"/>
          <w:highlight w:val="none"/>
          <w:lang w:val="en-US" w:eastAsia="zh-Hans"/>
        </w:rPr>
        <w:t>罐</w:t>
      </w:r>
      <w:r>
        <w:rPr>
          <w:rFonts w:hint="eastAsia"/>
          <w:highlight w:val="none"/>
        </w:rPr>
        <w:t>和缓冲</w:t>
      </w:r>
      <w:r>
        <w:rPr>
          <w:rFonts w:hint="eastAsia"/>
          <w:highlight w:val="none"/>
          <w:lang w:val="en-US" w:eastAsia="zh-Hans"/>
        </w:rPr>
        <w:t>罐</w:t>
      </w:r>
      <w:r>
        <w:rPr>
          <w:rFonts w:hint="eastAsia"/>
          <w:highlight w:val="none"/>
        </w:rPr>
        <w:t>连通管从缓冲罐外面的下部侧面进入，将阀门安装在垂直方向的任何方便操作的位置</w:t>
      </w:r>
      <w:r>
        <w:rPr>
          <w:rFonts w:hint="eastAsia"/>
          <w:highlight w:val="none"/>
          <w:lang w:eastAsia="zh-CN"/>
        </w:rPr>
        <w:t>。</w:t>
      </w:r>
    </w:p>
    <w:p w14:paraId="125B2F36">
      <w:pPr>
        <w:pStyle w:val="43"/>
        <w:autoSpaceDE/>
        <w:autoSpaceDN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加压系统</w:t>
      </w:r>
      <w:r>
        <w:rPr>
          <w:rFonts w:hint="eastAsia" w:cs="Times New Roman"/>
          <w:highlight w:val="none"/>
          <w:lang w:val="en-US" w:eastAsia="zh-CN"/>
        </w:rPr>
        <w:t xml:space="preserve">  </w:t>
      </w:r>
    </w:p>
    <w:p w14:paraId="46337F91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4.4.1加压系统最大工作压力应小于罐体的设计压力</w:t>
      </w:r>
      <w:r>
        <w:rPr>
          <w:rFonts w:hint="eastAsia"/>
          <w:highlight w:val="none"/>
          <w:lang w:eastAsia="zh-CN"/>
        </w:rPr>
        <w:t>。</w:t>
      </w:r>
    </w:p>
    <w:p w14:paraId="0DCB8284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4. 4.2达到工作压力所需时间（加压时间）应符合表1相关要求</w:t>
      </w:r>
      <w:r>
        <w:rPr>
          <w:rFonts w:hint="eastAsia"/>
          <w:highlight w:val="none"/>
          <w:lang w:eastAsia="zh-CN"/>
        </w:rPr>
        <w:t>。</w:t>
      </w:r>
    </w:p>
    <w:p w14:paraId="2F42B5B2">
      <w:pPr>
        <w:pStyle w:val="43"/>
        <w:autoSpaceDE/>
        <w:autoSpaceDN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吸排液系统</w:t>
      </w:r>
    </w:p>
    <w:p w14:paraId="0BE002A0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4</w:t>
      </w:r>
      <w:r>
        <w:rPr>
          <w:rFonts w:hint="eastAsia"/>
          <w:highlight w:val="none"/>
          <w:lang w:eastAsia="zh-Hans"/>
        </w:rPr>
        <w:t>.</w:t>
      </w:r>
      <w:r>
        <w:rPr>
          <w:rFonts w:hint="eastAsia"/>
          <w:highlight w:val="none"/>
        </w:rPr>
        <w:t>5.1吸排液时间应符合表1相关要求</w:t>
      </w:r>
      <w:r>
        <w:rPr>
          <w:rFonts w:hint="eastAsia"/>
          <w:highlight w:val="none"/>
          <w:lang w:eastAsia="zh-CN"/>
        </w:rPr>
        <w:t>。</w:t>
      </w:r>
    </w:p>
    <w:p w14:paraId="50269CC3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4</w:t>
      </w:r>
      <w:r>
        <w:rPr>
          <w:rFonts w:hint="eastAsia"/>
          <w:highlight w:val="none"/>
          <w:lang w:eastAsia="zh-Hans"/>
        </w:rPr>
        <w:t>.</w:t>
      </w:r>
      <w:r>
        <w:rPr>
          <w:rFonts w:hint="eastAsia"/>
          <w:highlight w:val="none"/>
        </w:rPr>
        <w:t>5.2应配备余液回收装置</w:t>
      </w:r>
      <w:r>
        <w:rPr>
          <w:rFonts w:hint="eastAsia"/>
          <w:highlight w:val="none"/>
          <w:lang w:eastAsia="zh-CN"/>
        </w:rPr>
        <w:t>。</w:t>
      </w:r>
    </w:p>
    <w:p w14:paraId="0063EC0F">
      <w:pPr>
        <w:pStyle w:val="43"/>
        <w:autoSpaceDE/>
        <w:autoSpaceDN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配液系统</w:t>
      </w:r>
    </w:p>
    <w:p w14:paraId="0DA5818A">
      <w:pPr>
        <w:autoSpaceDE/>
        <w:autoSpaceDN/>
        <w:ind w:left="0" w:leftChars="0" w:firstLine="420" w:firstLineChars="20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配液系统应设置搅拌</w:t>
      </w:r>
      <w:r>
        <w:rPr>
          <w:rFonts w:hint="eastAsia"/>
          <w:highlight w:val="none"/>
          <w:lang w:val="en-US" w:eastAsia="zh-Hans"/>
        </w:rPr>
        <w:t>罐</w:t>
      </w:r>
      <w:r>
        <w:rPr>
          <w:rFonts w:hint="eastAsia"/>
          <w:highlight w:val="none"/>
        </w:rPr>
        <w:t>，满足药剂稀释配制的要求</w:t>
      </w:r>
      <w:r>
        <w:rPr>
          <w:rFonts w:hint="eastAsia"/>
          <w:highlight w:val="none"/>
          <w:lang w:eastAsia="zh-CN"/>
        </w:rPr>
        <w:t>。</w:t>
      </w:r>
    </w:p>
    <w:p w14:paraId="04266E8D">
      <w:pPr>
        <w:pStyle w:val="43"/>
        <w:autoSpaceDE/>
        <w:autoSpaceDN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储液系统</w:t>
      </w:r>
    </w:p>
    <w:p w14:paraId="17647A5B">
      <w:pPr>
        <w:autoSpaceDE/>
        <w:autoSpaceDN/>
        <w:ind w:left="0" w:leftChars="0" w:firstLine="0" w:firstLineChars="0"/>
        <w:rPr>
          <w:rFonts w:hint="eastAsia"/>
          <w:highlight w:val="none"/>
          <w:lang w:eastAsia="zh-Hans"/>
        </w:rPr>
      </w:pPr>
      <w:r>
        <w:rPr>
          <w:rFonts w:hint="eastAsia"/>
          <w:highlight w:val="none"/>
        </w:rPr>
        <w:t>4</w:t>
      </w:r>
      <w:r>
        <w:rPr>
          <w:rFonts w:hint="eastAsia"/>
          <w:highlight w:val="none"/>
          <w:lang w:eastAsia="zh-Hans"/>
        </w:rPr>
        <w:t>.</w:t>
      </w:r>
      <w:r>
        <w:rPr>
          <w:rFonts w:hint="eastAsia"/>
          <w:highlight w:val="none"/>
        </w:rPr>
        <w:t>7.1储液系统应设置储液罐</w:t>
      </w:r>
      <w:r>
        <w:rPr>
          <w:rFonts w:hint="eastAsia"/>
          <w:highlight w:val="none"/>
          <w:lang w:eastAsia="zh-Hans"/>
        </w:rPr>
        <w:t>（</w:t>
      </w:r>
      <w:r>
        <w:rPr>
          <w:rFonts w:hint="eastAsia"/>
          <w:highlight w:val="none"/>
        </w:rPr>
        <w:t>槽</w:t>
      </w:r>
      <w:r>
        <w:rPr>
          <w:rFonts w:hint="eastAsia"/>
          <w:highlight w:val="none"/>
          <w:lang w:eastAsia="zh-Hans"/>
        </w:rPr>
        <w:t>）。</w:t>
      </w:r>
      <w:r>
        <w:rPr>
          <w:rFonts w:hint="eastAsia"/>
          <w:highlight w:val="none"/>
        </w:rPr>
        <w:t>储液罐（槽）应安装液位计及排污装置，容积应不小于压力浸注</w:t>
      </w:r>
      <w:r>
        <w:rPr>
          <w:rFonts w:hint="eastAsia"/>
          <w:highlight w:val="none"/>
          <w:lang w:val="en-US" w:eastAsia="zh-Hans"/>
        </w:rPr>
        <w:t>罐</w:t>
      </w:r>
      <w:r>
        <w:rPr>
          <w:rFonts w:hint="eastAsia"/>
          <w:highlight w:val="none"/>
        </w:rPr>
        <w:t>总容</w:t>
      </w:r>
      <w:r>
        <w:rPr>
          <w:rFonts w:hint="eastAsia"/>
          <w:highlight w:val="none"/>
          <w:lang w:val="en-US" w:eastAsia="zh-Hans"/>
        </w:rPr>
        <w:t>量</w:t>
      </w:r>
      <w:r>
        <w:rPr>
          <w:rFonts w:hint="eastAsia"/>
          <w:highlight w:val="none"/>
        </w:rPr>
        <w:t>的1.2倍</w:t>
      </w:r>
      <w:r>
        <w:rPr>
          <w:rFonts w:hint="eastAsia"/>
          <w:highlight w:val="none"/>
          <w:lang w:eastAsia="zh-Hans"/>
        </w:rPr>
        <w:t>。</w:t>
      </w:r>
    </w:p>
    <w:p w14:paraId="592FE32D">
      <w:pPr>
        <w:autoSpaceDE/>
        <w:autoSpaceDN/>
        <w:ind w:left="0" w:leftChars="0" w:firstLine="0" w:firstLineChars="0"/>
        <w:rPr>
          <w:rFonts w:hint="eastAsia"/>
          <w:highlight w:val="none"/>
          <w:lang w:val="en-US" w:eastAsia="zh-Hans"/>
        </w:rPr>
      </w:pPr>
      <w:r>
        <w:rPr>
          <w:rFonts w:hint="default"/>
          <w:highlight w:val="none"/>
          <w:lang w:eastAsia="zh-Hans"/>
        </w:rPr>
        <w:t xml:space="preserve">4.7.2 </w:t>
      </w:r>
      <w:r>
        <w:rPr>
          <w:rFonts w:hint="eastAsia"/>
          <w:highlight w:val="none"/>
          <w:lang w:val="en-US" w:eastAsia="zh-Hans"/>
        </w:rPr>
        <w:t>储液罐（槽）应使用耐腐性金属材料。</w:t>
      </w:r>
    </w:p>
    <w:p w14:paraId="31CB542D">
      <w:pPr>
        <w:pStyle w:val="43"/>
        <w:autoSpaceDE/>
        <w:autoSpaceDN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电控系统</w:t>
      </w:r>
    </w:p>
    <w:p w14:paraId="332F78DA">
      <w:pPr>
        <w:autoSpaceDE/>
        <w:autoSpaceDN/>
        <w:ind w:left="0" w:leftChars="0" w:firstLine="420" w:firstLineChars="200"/>
        <w:rPr>
          <w:rFonts w:hint="eastAsia"/>
          <w:highlight w:val="none"/>
          <w:lang w:val="en-US" w:eastAsia="zh-Hans"/>
        </w:rPr>
      </w:pPr>
      <w:r>
        <w:rPr>
          <w:rFonts w:hint="eastAsia"/>
          <w:highlight w:val="none"/>
          <w:lang w:val="en-US" w:eastAsia="zh-Hans"/>
        </w:rPr>
        <w:t>电控系统应设置电气集中控制台（箱），控制所有电气设备的工作状态，应満足加压系统、真空泵、循环泵、搅拌器开停机，罐门开与关及过压、零压、电气保护。</w:t>
      </w:r>
    </w:p>
    <w:p w14:paraId="5B7399A3">
      <w:pPr>
        <w:pStyle w:val="43"/>
        <w:autoSpaceDE/>
        <w:autoSpaceDN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木材装运系统</w:t>
      </w:r>
    </w:p>
    <w:p w14:paraId="4D5515E2">
      <w:pPr>
        <w:autoSpaceDE/>
        <w:autoSpaceDN/>
        <w:ind w:left="0" w:leftChars="0" w:firstLine="0" w:firstLineChars="0"/>
        <w:rPr>
          <w:rFonts w:hint="eastAsia"/>
          <w:highlight w:val="none"/>
          <w:lang w:val="en-US" w:eastAsia="zh-Hans"/>
        </w:rPr>
      </w:pPr>
      <w:r>
        <w:rPr>
          <w:rFonts w:hint="default"/>
          <w:highlight w:val="none"/>
          <w:lang w:eastAsia="zh-Hans"/>
        </w:rPr>
        <w:t>4.</w:t>
      </w:r>
      <w:r>
        <w:rPr>
          <w:rFonts w:hint="eastAsia"/>
          <w:highlight w:val="none"/>
          <w:lang w:val="en-US" w:eastAsia="zh-Hans"/>
        </w:rPr>
        <w:t>9.1木材装运系统应配备足够的装载小车和进岀罐牵引装置，满足木材防腐处理装运需要。</w:t>
      </w:r>
    </w:p>
    <w:p w14:paraId="59B1CD61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Hans"/>
        </w:rPr>
        <w:t>4.9.2装载小车和轨道在使用过程中应能承受足够重鱼而不变形，需要经过防腐蚀处理</w:t>
      </w:r>
      <w:r>
        <w:rPr>
          <w:rFonts w:hint="eastAsia"/>
          <w:highlight w:val="none"/>
          <w:lang w:val="en-US" w:eastAsia="zh-CN"/>
        </w:rPr>
        <w:t>。</w:t>
      </w:r>
    </w:p>
    <w:p w14:paraId="795FDE6E">
      <w:pPr>
        <w:pStyle w:val="43"/>
        <w:autoSpaceDE/>
        <w:autoSpaceDN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安全装置</w:t>
      </w:r>
    </w:p>
    <w:p w14:paraId="41CB819A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val="en-US" w:eastAsia="zh-CN"/>
        </w:rPr>
      </w:pPr>
      <w:r>
        <w:rPr>
          <w:rFonts w:hint="default"/>
          <w:highlight w:val="none"/>
          <w:lang w:eastAsia="zh-Hans"/>
        </w:rPr>
        <w:t>4.</w:t>
      </w:r>
      <w:r>
        <w:rPr>
          <w:rFonts w:hint="eastAsia"/>
          <w:highlight w:val="none"/>
          <w:lang w:val="en-US" w:eastAsia="zh-Hans"/>
        </w:rPr>
        <w:t>10.1设备机组应安装全启弾簧式安全阀，安全阀的整定压力为工作压力加0. 2 MPa,不应大于压力容器的设计压力</w:t>
      </w:r>
      <w:r>
        <w:rPr>
          <w:rFonts w:hint="eastAsia"/>
          <w:highlight w:val="none"/>
          <w:lang w:val="en-US" w:eastAsia="zh-CN"/>
        </w:rPr>
        <w:t>。</w:t>
      </w:r>
    </w:p>
    <w:p w14:paraId="7D53CDDE">
      <w:pPr>
        <w:autoSpaceDE/>
        <w:autoSpaceDN/>
        <w:ind w:left="0" w:leftChars="0" w:firstLine="0" w:firstLineChars="0"/>
        <w:rPr>
          <w:rFonts w:hint="default"/>
          <w:highlight w:val="none"/>
          <w:lang w:val="en-US" w:eastAsia="zh-Hans"/>
        </w:rPr>
      </w:pPr>
      <w:r>
        <w:rPr>
          <w:rFonts w:hint="eastAsia"/>
          <w:highlight w:val="none"/>
          <w:lang w:val="en-US" w:eastAsia="zh-Hans"/>
        </w:rPr>
        <w:t>4.10.2快开门结构应设计安全联锁装置，其功能应符合</w:t>
      </w:r>
      <w:r>
        <w:rPr>
          <w:rFonts w:hint="eastAsia" w:asciiTheme="minorEastAsia" w:hAnsiTheme="minorEastAsia" w:eastAsiaTheme="minorEastAsia"/>
          <w:highlight w:val="none"/>
        </w:rPr>
        <w:t>G</w:t>
      </w:r>
      <w:r>
        <w:rPr>
          <w:rFonts w:asciiTheme="minorEastAsia" w:hAnsiTheme="minorEastAsia" w:eastAsiaTheme="minorEastAsia"/>
          <w:highlight w:val="none"/>
        </w:rPr>
        <w:t>B</w:t>
      </w:r>
      <w:r>
        <w:rPr>
          <w:rFonts w:hint="default" w:asciiTheme="minorEastAsia" w:hAnsiTheme="minorEastAsia" w:eastAsiaTheme="minorEastAsia"/>
          <w:highlight w:val="none"/>
        </w:rPr>
        <w:t xml:space="preserve"> 1</w:t>
      </w:r>
      <w:r>
        <w:rPr>
          <w:rFonts w:asciiTheme="minorEastAsia" w:hAnsiTheme="minorEastAsia" w:eastAsiaTheme="minorEastAsia"/>
          <w:highlight w:val="none"/>
        </w:rPr>
        <w:t>5</w:t>
      </w:r>
      <w:r>
        <w:rPr>
          <w:rFonts w:hint="default" w:asciiTheme="minorEastAsia" w:hAnsiTheme="minorEastAsia" w:eastAsiaTheme="minorEastAsia"/>
          <w:highlight w:val="none"/>
        </w:rPr>
        <w:t>0.1~150.4-2011</w:t>
      </w:r>
      <w:r>
        <w:rPr>
          <w:rFonts w:hint="eastAsia"/>
          <w:highlight w:val="none"/>
          <w:lang w:val="en-US" w:eastAsia="zh-Hans"/>
        </w:rPr>
        <w:t>的要求。</w:t>
      </w:r>
    </w:p>
    <w:p w14:paraId="2589598A">
      <w:pPr>
        <w:pStyle w:val="47"/>
        <w:numPr>
          <w:ilvl w:val="0"/>
          <w:numId w:val="1"/>
        </w:numPr>
        <w:tabs>
          <w:tab w:val="clear" w:pos="0"/>
        </w:tabs>
        <w:spacing w:before="312" w:after="312"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其他</w:t>
      </w:r>
      <w:r>
        <w:rPr>
          <w:rFonts w:hint="eastAsia" w:cs="Times New Roman"/>
          <w:highlight w:val="none"/>
          <w:lang w:val="en-US" w:eastAsia="zh-CN"/>
        </w:rPr>
        <w:t>要求</w:t>
      </w:r>
    </w:p>
    <w:p w14:paraId="1E8C1B0A">
      <w:pPr>
        <w:pStyle w:val="43"/>
        <w:numPr>
          <w:ilvl w:val="1"/>
          <w:numId w:val="0"/>
        </w:numPr>
        <w:autoSpaceDE/>
        <w:autoSpaceDN/>
        <w:ind w:leftChars="0"/>
        <w:rPr>
          <w:rFonts w:hint="eastAsia" w:cs="Times New Roman"/>
          <w:highlight w:val="none"/>
          <w:lang w:val="en-US" w:eastAsia="zh-Hans"/>
        </w:rPr>
      </w:pPr>
      <w:r>
        <w:rPr>
          <w:rFonts w:hint="default" w:cs="Times New Roman"/>
          <w:highlight w:val="none"/>
          <w:lang w:eastAsia="zh-Hans"/>
        </w:rPr>
        <w:t xml:space="preserve">5.1 </w:t>
      </w:r>
      <w:r>
        <w:rPr>
          <w:rFonts w:hint="eastAsia" w:cs="Times New Roman"/>
          <w:highlight w:val="none"/>
          <w:lang w:val="en-US" w:eastAsia="zh-Hans"/>
        </w:rPr>
        <w:t>压力表</w:t>
      </w:r>
    </w:p>
    <w:p w14:paraId="17BD9CD7">
      <w:pPr>
        <w:autoSpaceDE/>
        <w:autoSpaceDN/>
        <w:ind w:left="0" w:leftChars="0" w:firstLine="0" w:firstLineChars="0"/>
        <w:rPr>
          <w:rFonts w:hint="default"/>
          <w:highlight w:val="none"/>
          <w:lang w:val="en-US" w:eastAsia="zh-Hans"/>
        </w:rPr>
      </w:pPr>
      <w:r>
        <w:rPr>
          <w:rFonts w:hint="default"/>
          <w:highlight w:val="none"/>
          <w:lang w:eastAsia="zh-Hans"/>
        </w:rPr>
        <w:t xml:space="preserve">  </w:t>
      </w:r>
      <w:r>
        <w:rPr>
          <w:rFonts w:hint="eastAsia"/>
          <w:highlight w:val="none"/>
          <w:lang w:val="en-US" w:eastAsia="zh-Hans"/>
        </w:rPr>
        <w:t>压力表的选用应符合下列规定：</w:t>
      </w:r>
    </w:p>
    <w:p w14:paraId="122028B2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210" w:firstLineChars="1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选用两只相同量程、相同精度等级的压力表</w:t>
      </w:r>
      <w:r>
        <w:rPr>
          <w:rFonts w:hint="eastAsia"/>
          <w:highlight w:val="none"/>
          <w:lang w:eastAsia="zh-Hans"/>
        </w:rPr>
        <w:t>；</w:t>
      </w:r>
    </w:p>
    <w:p w14:paraId="5D9A3205">
      <w:pPr>
        <w:numPr>
          <w:ilvl w:val="0"/>
          <w:numId w:val="3"/>
        </w:numPr>
        <w:autoSpaceDE/>
        <w:autoSpaceDN/>
        <w:ind w:left="0" w:leftChars="0" w:firstLine="210" w:firstLineChars="100"/>
        <w:rPr>
          <w:rFonts w:hint="eastAsia"/>
          <w:highlight w:val="none"/>
        </w:rPr>
      </w:pPr>
      <w:r>
        <w:rPr>
          <w:rFonts w:hint="eastAsia"/>
          <w:highlight w:val="none"/>
        </w:rPr>
        <w:t>表盘刻度极限值应为试验压力的1.5倍〜3.0倍，最好选用2倍</w:t>
      </w:r>
      <w:r>
        <w:rPr>
          <w:rFonts w:hint="eastAsia"/>
          <w:highlight w:val="none"/>
          <w:lang w:eastAsia="zh-Hans"/>
        </w:rPr>
        <w:t>；</w:t>
      </w:r>
    </w:p>
    <w:p w14:paraId="310751A5">
      <w:pPr>
        <w:numPr>
          <w:ilvl w:val="0"/>
          <w:numId w:val="3"/>
        </w:numPr>
        <w:autoSpaceDE/>
        <w:autoSpaceDN/>
        <w:ind w:left="0" w:leftChars="0" w:firstLine="210" w:firstLineChars="100"/>
        <w:rPr>
          <w:rFonts w:hint="eastAsia"/>
          <w:highlight w:val="none"/>
        </w:rPr>
      </w:pPr>
      <w:r>
        <w:rPr>
          <w:rFonts w:hint="eastAsia"/>
          <w:highlight w:val="none"/>
        </w:rPr>
        <w:t>精确度不小于2.5级</w:t>
      </w:r>
      <w:r>
        <w:rPr>
          <w:rFonts w:hint="eastAsia"/>
          <w:highlight w:val="none"/>
          <w:lang w:eastAsia="zh-Hans"/>
        </w:rPr>
        <w:t>；</w:t>
      </w:r>
    </w:p>
    <w:p w14:paraId="5BCBA19F">
      <w:pPr>
        <w:numPr>
          <w:ilvl w:val="0"/>
          <w:numId w:val="3"/>
        </w:numPr>
        <w:autoSpaceDE/>
        <w:autoSpaceDN/>
        <w:ind w:left="0" w:leftChars="0" w:firstLine="210" w:firstLineChars="100"/>
        <w:rPr>
          <w:rFonts w:hint="eastAsia"/>
          <w:highlight w:val="none"/>
        </w:rPr>
      </w:pPr>
      <w:r>
        <w:rPr>
          <w:rFonts w:hint="eastAsia"/>
          <w:highlight w:val="none"/>
        </w:rPr>
        <w:t>表盘直径不小于100 mm</w:t>
      </w:r>
      <w:r>
        <w:rPr>
          <w:rFonts w:hint="eastAsia"/>
          <w:highlight w:val="none"/>
          <w:lang w:eastAsia="zh-Hans"/>
        </w:rPr>
        <w:t>；</w:t>
      </w:r>
    </w:p>
    <w:p w14:paraId="0681D36A">
      <w:pPr>
        <w:numPr>
          <w:ilvl w:val="0"/>
          <w:numId w:val="3"/>
        </w:numPr>
        <w:autoSpaceDE/>
        <w:autoSpaceDN/>
        <w:ind w:left="0" w:leftChars="0" w:firstLine="210" w:firstLineChars="100"/>
        <w:rPr>
          <w:rFonts w:hint="eastAsia"/>
          <w:highlight w:val="none"/>
        </w:rPr>
      </w:pPr>
      <w:r>
        <w:rPr>
          <w:rFonts w:hint="eastAsia"/>
          <w:highlight w:val="none"/>
        </w:rPr>
        <w:t>与罐体之间应安装存水弯管及三通阀门</w:t>
      </w:r>
      <w:r>
        <w:rPr>
          <w:rFonts w:hint="eastAsia"/>
          <w:highlight w:val="none"/>
          <w:lang w:eastAsia="zh-Hans"/>
        </w:rPr>
        <w:t>。</w:t>
      </w:r>
    </w:p>
    <w:p w14:paraId="36B6E317">
      <w:pPr>
        <w:pStyle w:val="43"/>
        <w:numPr>
          <w:ilvl w:val="1"/>
          <w:numId w:val="0"/>
        </w:numPr>
        <w:autoSpaceDE/>
        <w:autoSpaceDN/>
        <w:ind w:leftChars="0"/>
        <w:rPr>
          <w:rFonts w:hint="eastAsia" w:cs="Times New Roman"/>
          <w:highlight w:val="none"/>
          <w:lang w:eastAsia="zh-Hans"/>
        </w:rPr>
      </w:pPr>
      <w:r>
        <w:rPr>
          <w:rFonts w:hint="eastAsia" w:cs="Times New Roman"/>
          <w:highlight w:val="none"/>
          <w:lang w:eastAsia="zh-Hans"/>
        </w:rPr>
        <w:t>5.2直空表</w:t>
      </w:r>
    </w:p>
    <w:p w14:paraId="716851BF">
      <w:pPr>
        <w:autoSpaceDE/>
        <w:autoSpaceDN/>
        <w:rPr>
          <w:rFonts w:hint="eastAsia"/>
          <w:highlight w:val="none"/>
        </w:rPr>
      </w:pPr>
      <w:r>
        <w:rPr>
          <w:rFonts w:hint="eastAsia"/>
          <w:highlight w:val="none"/>
        </w:rPr>
        <w:t>真空表的选用应符合下列规定：</w:t>
      </w:r>
    </w:p>
    <w:p w14:paraId="619A6A1C">
      <w:pPr>
        <w:autoSpaceDE/>
        <w:autoSpaceDN/>
        <w:rPr>
          <w:rFonts w:hint="default"/>
          <w:highlight w:val="none"/>
        </w:rPr>
      </w:pPr>
      <w:r>
        <w:rPr>
          <w:rFonts w:hint="eastAsia"/>
          <w:highlight w:val="none"/>
        </w:rPr>
        <w:t>a）选用两只相同</w:t>
      </w:r>
      <w:r>
        <w:rPr>
          <w:rFonts w:hint="eastAsia"/>
          <w:highlight w:val="none"/>
          <w:lang w:val="en-US" w:eastAsia="zh-Hans"/>
        </w:rPr>
        <w:t>量</w:t>
      </w:r>
      <w:r>
        <w:rPr>
          <w:rFonts w:hint="eastAsia"/>
          <w:highlight w:val="none"/>
        </w:rPr>
        <w:t>程、相同精度等级的真空表</w:t>
      </w:r>
      <w:r>
        <w:rPr>
          <w:rFonts w:hint="default"/>
          <w:highlight w:val="none"/>
        </w:rPr>
        <w:t>；</w:t>
      </w:r>
    </w:p>
    <w:p w14:paraId="163F6815">
      <w:pPr>
        <w:autoSpaceDE/>
        <w:autoSpaceDN/>
        <w:rPr>
          <w:rFonts w:hint="eastAsia"/>
          <w:highlight w:val="none"/>
        </w:rPr>
      </w:pPr>
      <w:r>
        <w:rPr>
          <w:rFonts w:hint="eastAsia"/>
          <w:highlight w:val="none"/>
        </w:rPr>
        <w:t>b）精确度不小于1.0级；</w:t>
      </w:r>
    </w:p>
    <w:p w14:paraId="5A86E2AF">
      <w:pPr>
        <w:autoSpaceDE/>
        <w:autoSpaceDN/>
        <w:rPr>
          <w:rFonts w:hint="default"/>
          <w:highlight w:val="none"/>
        </w:rPr>
      </w:pPr>
      <w:r>
        <w:rPr>
          <w:rFonts w:hint="eastAsia"/>
          <w:highlight w:val="none"/>
        </w:rPr>
        <w:t>c）表盘直径不小于100 mm</w:t>
      </w:r>
      <w:r>
        <w:rPr>
          <w:rFonts w:hint="default"/>
          <w:highlight w:val="none"/>
        </w:rPr>
        <w:t>；</w:t>
      </w:r>
    </w:p>
    <w:p w14:paraId="44A05523">
      <w:pPr>
        <w:autoSpaceDE/>
        <w:autoSpaceDN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d）与罐体之间应安装存水弯管及三通阀门</w:t>
      </w:r>
      <w:r>
        <w:rPr>
          <w:rFonts w:hint="eastAsia"/>
          <w:highlight w:val="none"/>
          <w:lang w:eastAsia="zh-CN"/>
        </w:rPr>
        <w:t>。</w:t>
      </w:r>
    </w:p>
    <w:p w14:paraId="6BF64526">
      <w:pPr>
        <w:pStyle w:val="43"/>
        <w:numPr>
          <w:ilvl w:val="1"/>
          <w:numId w:val="0"/>
        </w:numPr>
        <w:autoSpaceDE/>
        <w:autoSpaceDN/>
        <w:ind w:leftChars="0"/>
        <w:rPr>
          <w:rFonts w:hint="eastAsia" w:eastAsia="黑体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  <w:lang w:eastAsia="zh-Hans"/>
        </w:rPr>
        <w:t>5.3阀门</w:t>
      </w:r>
      <w:r>
        <w:rPr>
          <w:rFonts w:hint="eastAsia" w:cs="Times New Roman"/>
          <w:highlight w:val="none"/>
          <w:lang w:val="en-US" w:eastAsia="zh-CN"/>
        </w:rPr>
        <w:t xml:space="preserve"> </w:t>
      </w:r>
    </w:p>
    <w:p w14:paraId="7FB6F574">
      <w:pPr>
        <w:autoSpaceDE/>
        <w:autoSpaceDN/>
        <w:rPr>
          <w:rFonts w:hint="eastAsia"/>
          <w:highlight w:val="none"/>
        </w:rPr>
      </w:pPr>
      <w:r>
        <w:rPr>
          <w:rFonts w:hint="eastAsia"/>
          <w:highlight w:val="none"/>
        </w:rPr>
        <w:t>阀门均采用不锈钢材料。</w:t>
      </w:r>
    </w:p>
    <w:p w14:paraId="0C0A475F">
      <w:pPr>
        <w:pStyle w:val="47"/>
        <w:numPr>
          <w:ilvl w:val="0"/>
          <w:numId w:val="1"/>
        </w:numPr>
        <w:tabs>
          <w:tab w:val="clear" w:pos="0"/>
        </w:tabs>
        <w:spacing w:before="312" w:after="312"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检验</w:t>
      </w:r>
    </w:p>
    <w:p w14:paraId="3CC343EA">
      <w:pPr>
        <w:autoSpaceDE/>
        <w:autoSpaceDN/>
        <w:ind w:left="0" w:leftChars="0" w:firstLine="0" w:firstLineChars="0"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6.</w:t>
      </w:r>
      <w:r>
        <w:rPr>
          <w:rFonts w:hint="default" w:cs="Times New Roman"/>
          <w:highlight w:val="none"/>
          <w:lang w:eastAsia="zh-Hans"/>
        </w:rPr>
        <w:t>1</w:t>
      </w:r>
      <w:r>
        <w:rPr>
          <w:rFonts w:hint="eastAsia" w:cs="Times New Roman"/>
          <w:highlight w:val="none"/>
          <w:lang w:val="en-US" w:eastAsia="zh-Hans"/>
        </w:rPr>
        <w:t>焊缝无损探伤按JB/T 4730进行，探伤结果应符合JB/T 4730中的规定。</w:t>
      </w:r>
    </w:p>
    <w:p w14:paraId="38152C46">
      <w:pPr>
        <w:autoSpaceDE/>
        <w:autoSpaceDN/>
        <w:ind w:left="0" w:leftChars="0" w:firstLine="0" w:firstLineChars="0"/>
        <w:rPr>
          <w:rFonts w:hint="default" w:cs="Times New Roman" w:eastAsiaTheme="minorEastAsia"/>
          <w:highlight w:val="none"/>
          <w:lang w:val="en-US" w:eastAsia="zh-CN"/>
        </w:rPr>
      </w:pPr>
      <w:r>
        <w:rPr>
          <w:rFonts w:hint="eastAsia" w:cs="Times New Roman"/>
          <w:highlight w:val="none"/>
          <w:lang w:val="en-US" w:eastAsia="zh-CN"/>
        </w:rPr>
        <w:t>6.2 焊缝外观质量按GB/T 150.4中7.3条检验。</w:t>
      </w:r>
    </w:p>
    <w:p w14:paraId="2A4AAF5C">
      <w:pPr>
        <w:autoSpaceDE/>
        <w:autoSpaceDN/>
        <w:ind w:left="0" w:leftChars="0" w:firstLine="0" w:firstLineChars="0"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6.</w:t>
      </w:r>
      <w:r>
        <w:rPr>
          <w:rFonts w:hint="eastAsia" w:cs="Times New Roman"/>
          <w:highlight w:val="none"/>
          <w:lang w:val="en-US" w:eastAsia="zh-CN"/>
        </w:rPr>
        <w:t>3</w:t>
      </w:r>
      <w:r>
        <w:rPr>
          <w:rFonts w:hint="eastAsia" w:cs="Times New Roman"/>
          <w:highlight w:val="none"/>
          <w:lang w:val="en-US" w:eastAsia="zh-Hans"/>
        </w:rPr>
        <w:t>压力浸注（处理）罐应通过技术监督部门的液压试验并取得监检证书。</w:t>
      </w:r>
    </w:p>
    <w:p w14:paraId="1F8EDD11">
      <w:pPr>
        <w:pStyle w:val="47"/>
        <w:numPr>
          <w:ilvl w:val="0"/>
          <w:numId w:val="1"/>
        </w:numPr>
        <w:tabs>
          <w:tab w:val="clear" w:pos="0"/>
        </w:tabs>
        <w:spacing w:before="312" w:after="312"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标志、包装和运输</w:t>
      </w:r>
    </w:p>
    <w:p w14:paraId="65679068">
      <w:pPr>
        <w:pStyle w:val="43"/>
        <w:numPr>
          <w:ilvl w:val="1"/>
          <w:numId w:val="0"/>
        </w:numPr>
        <w:autoSpaceDE/>
        <w:autoSpaceDN/>
        <w:ind w:leftChars="0"/>
        <w:rPr>
          <w:rFonts w:hint="eastAsia" w:cs="Times New Roman"/>
          <w:highlight w:val="none"/>
          <w:lang w:eastAsia="zh-Hans"/>
        </w:rPr>
      </w:pPr>
      <w:r>
        <w:rPr>
          <w:rFonts w:hint="eastAsia" w:cs="Times New Roman"/>
          <w:highlight w:val="none"/>
          <w:lang w:eastAsia="zh-Hans"/>
        </w:rPr>
        <w:t>7.1标志</w:t>
      </w:r>
    </w:p>
    <w:p w14:paraId="0647D62F">
      <w:pPr>
        <w:autoSpaceDE/>
        <w:autoSpaceDN/>
        <w:ind w:left="0" w:leftChars="0" w:firstLine="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7.1. 1每台设备机组明显位置装有固定的金属铭牌，铭牌上应有下列标志：</w:t>
      </w:r>
    </w:p>
    <w:p w14:paraId="767865D8">
      <w:pPr>
        <w:autoSpaceDE/>
        <w:autoSpaceDN/>
        <w:ind w:left="0" w:leftChars="0" w:firstLine="42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a）制造厂名称，</w:t>
      </w:r>
    </w:p>
    <w:p w14:paraId="215A840D">
      <w:pPr>
        <w:autoSpaceDE/>
        <w:autoSpaceDN/>
        <w:ind w:left="0" w:leftChars="0" w:firstLine="42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b）产品名称和型号；</w:t>
      </w:r>
    </w:p>
    <w:p w14:paraId="6090629D">
      <w:pPr>
        <w:autoSpaceDE/>
        <w:autoSpaceDN/>
        <w:ind w:left="0" w:leftChars="0" w:firstLine="42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c）主要技术性能参数；</w:t>
      </w:r>
    </w:p>
    <w:p w14:paraId="17AF35AB">
      <w:pPr>
        <w:autoSpaceDE/>
        <w:autoSpaceDN/>
        <w:ind w:left="0" w:leftChars="0" w:firstLine="42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d）产品出厂编号；</w:t>
      </w:r>
    </w:p>
    <w:p w14:paraId="4809B7C9">
      <w:pPr>
        <w:autoSpaceDE/>
        <w:autoSpaceDN/>
        <w:ind w:left="0" w:leftChars="0" w:firstLine="420" w:firstLineChars="0"/>
        <w:rPr>
          <w:rFonts w:hint="default"/>
          <w:highlight w:val="none"/>
        </w:rPr>
      </w:pPr>
      <w:r>
        <w:rPr>
          <w:rFonts w:hint="eastAsia"/>
          <w:highlight w:val="none"/>
        </w:rPr>
        <w:t>e）产品容</w:t>
      </w:r>
      <w:r>
        <w:rPr>
          <w:rFonts w:hint="eastAsia"/>
          <w:highlight w:val="none"/>
          <w:lang w:val="en-US" w:eastAsia="zh-CN"/>
        </w:rPr>
        <w:t>积；</w:t>
      </w:r>
    </w:p>
    <w:p w14:paraId="7F27FD76">
      <w:pPr>
        <w:autoSpaceDE/>
        <w:autoSpaceDN/>
        <w:ind w:left="0" w:leftChars="0" w:firstLine="420" w:firstLineChars="200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 xml:space="preserve">d) </w:t>
      </w:r>
      <w:r>
        <w:rPr>
          <w:rFonts w:hint="eastAsia"/>
          <w:highlight w:val="none"/>
        </w:rPr>
        <w:t>制造日期。</w:t>
      </w:r>
    </w:p>
    <w:p w14:paraId="17FAC2FF">
      <w:pPr>
        <w:autoSpaceDE/>
        <w:autoSpaceDN/>
        <w:ind w:left="0" w:leftChars="0" w:firstLine="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7.1.2每套设备机组均应有产品合格证、产品使用说明书、电路图、压力容器质最证明书、安全阀、压力表等重要外购合格证及其使用说明书、装箱清单等有关文件资料，一并随设备机组交付验收。</w:t>
      </w:r>
    </w:p>
    <w:p w14:paraId="0A49A6B5">
      <w:pPr>
        <w:pStyle w:val="43"/>
        <w:numPr>
          <w:ilvl w:val="1"/>
          <w:numId w:val="0"/>
        </w:numPr>
        <w:autoSpaceDE/>
        <w:autoSpaceDN/>
        <w:ind w:leftChars="0"/>
        <w:rPr>
          <w:rFonts w:hint="eastAsia" w:cs="Times New Roman"/>
          <w:highlight w:val="none"/>
          <w:lang w:eastAsia="zh-Hans"/>
        </w:rPr>
      </w:pPr>
      <w:r>
        <w:rPr>
          <w:rFonts w:hint="eastAsia" w:cs="Times New Roman"/>
          <w:highlight w:val="none"/>
          <w:lang w:eastAsia="zh-Hans"/>
        </w:rPr>
        <w:t>7.2包装</w:t>
      </w:r>
    </w:p>
    <w:p w14:paraId="2319C509">
      <w:pPr>
        <w:autoSpaceDE/>
        <w:autoSpaceDN/>
        <w:ind w:left="0" w:leftChars="0" w:firstLine="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7.2.1设备机组包装前应进行清洁处理</w:t>
      </w:r>
      <w:r>
        <w:rPr>
          <w:rFonts w:hint="eastAsia"/>
          <w:highlight w:val="none"/>
          <w:lang w:eastAsia="zh-CN"/>
        </w:rPr>
        <w:t>。</w:t>
      </w:r>
      <w:r>
        <w:rPr>
          <w:rFonts w:hint="eastAsia"/>
          <w:highlight w:val="none"/>
        </w:rPr>
        <w:t>各部件应清洁、干燥，易锈部件应涂防锈漆。</w:t>
      </w:r>
    </w:p>
    <w:p w14:paraId="3C44103C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7.2.2设备机组接口应封住，以免进入杂质</w:t>
      </w:r>
      <w:r>
        <w:rPr>
          <w:rFonts w:hint="eastAsia"/>
          <w:highlight w:val="none"/>
          <w:lang w:eastAsia="zh-CN"/>
        </w:rPr>
        <w:t>。</w:t>
      </w:r>
    </w:p>
    <w:p w14:paraId="799DFFF0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7.2.3易损件等零部件采用装箱形式</w:t>
      </w:r>
      <w:r>
        <w:rPr>
          <w:rFonts w:hint="eastAsia"/>
          <w:highlight w:val="none"/>
          <w:lang w:eastAsia="zh-CN"/>
        </w:rPr>
        <w:t>。</w:t>
      </w:r>
    </w:p>
    <w:p w14:paraId="42632DF7">
      <w:pPr>
        <w:pStyle w:val="43"/>
        <w:numPr>
          <w:ilvl w:val="1"/>
          <w:numId w:val="0"/>
        </w:numPr>
        <w:autoSpaceDE/>
        <w:autoSpaceDN/>
        <w:ind w:leftChars="0"/>
        <w:rPr>
          <w:rFonts w:hint="eastAsia" w:cs="Times New Roman"/>
          <w:highlight w:val="none"/>
          <w:lang w:eastAsia="zh-Hans"/>
        </w:rPr>
      </w:pPr>
      <w:r>
        <w:rPr>
          <w:rFonts w:hint="eastAsia" w:cs="Times New Roman"/>
          <w:highlight w:val="none"/>
          <w:lang w:eastAsia="zh-Hans"/>
        </w:rPr>
        <w:t>7.3运输</w:t>
      </w:r>
    </w:p>
    <w:p w14:paraId="7757A132">
      <w:pPr>
        <w:autoSpaceDE/>
        <w:autoSpaceDN/>
        <w:ind w:left="0" w:leftChars="0" w:firstLine="0" w:firstLine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7. 3.1运输要求按订货合同的有关规定</w:t>
      </w:r>
      <w:r>
        <w:rPr>
          <w:rFonts w:hint="eastAsia"/>
          <w:highlight w:val="none"/>
          <w:lang w:eastAsia="zh-CN"/>
        </w:rPr>
        <w:t>。</w:t>
      </w:r>
    </w:p>
    <w:p w14:paraId="07C37AED">
      <w:pPr>
        <w:autoSpaceDE/>
        <w:autoSpaceDN/>
        <w:ind w:left="0" w:leftChars="0" w:firstLine="0" w:firstLineChars="0"/>
        <w:rPr>
          <w:rFonts w:hint="default"/>
          <w:highlight w:val="none"/>
        </w:rPr>
      </w:pPr>
      <w:r>
        <w:rPr>
          <w:rFonts w:hint="eastAsia"/>
          <w:highlight w:val="none"/>
        </w:rPr>
        <w:t>7.3.2设备机组应牢固固定在运输车辆上，严禁窜动现象产生</w:t>
      </w:r>
      <w:r>
        <w:rPr>
          <w:rFonts w:hint="default"/>
          <w:highlight w:val="none"/>
        </w:rPr>
        <w:t>。</w:t>
      </w:r>
    </w:p>
    <w:p w14:paraId="4AA11C11">
      <w:pPr>
        <w:pStyle w:val="47"/>
        <w:numPr>
          <w:ilvl w:val="0"/>
          <w:numId w:val="1"/>
        </w:numPr>
        <w:tabs>
          <w:tab w:val="clear" w:pos="0"/>
        </w:tabs>
        <w:spacing w:before="312" w:after="312"/>
        <w:rPr>
          <w:rFonts w:hint="eastAsia" w:cs="Times New Roman"/>
          <w:highlight w:val="none"/>
          <w:lang w:val="en-US" w:eastAsia="zh-Hans"/>
        </w:rPr>
      </w:pPr>
      <w:r>
        <w:rPr>
          <w:rFonts w:hint="eastAsia" w:cs="Times New Roman"/>
          <w:highlight w:val="none"/>
          <w:lang w:val="en-US" w:eastAsia="zh-Hans"/>
        </w:rPr>
        <w:t>安装及调试</w:t>
      </w:r>
    </w:p>
    <w:p w14:paraId="6A22B9BC">
      <w:pPr>
        <w:autoSpaceDE/>
        <w:autoSpaceDN/>
        <w:ind w:left="0" w:leftChars="0" w:firstLine="0" w:firstLineChars="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Hans"/>
        </w:rPr>
        <w:t>8.1生产厂家应向用户提供基础设计图纸</w:t>
      </w:r>
      <w:r>
        <w:rPr>
          <w:rFonts w:hint="eastAsia"/>
          <w:highlight w:val="none"/>
          <w:lang w:eastAsia="zh-CN"/>
        </w:rPr>
        <w:t>。</w:t>
      </w:r>
    </w:p>
    <w:p w14:paraId="24021711">
      <w:pPr>
        <w:autoSpaceDE/>
        <w:autoSpaceDN/>
        <w:ind w:left="0" w:leftChars="0" w:firstLine="0" w:firstLineChars="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Hans"/>
        </w:rPr>
        <w:t>8.2设备机组的基础应满足承重及设备运转的要求</w:t>
      </w:r>
      <w:r>
        <w:rPr>
          <w:rFonts w:hint="eastAsia"/>
          <w:highlight w:val="none"/>
          <w:lang w:eastAsia="zh-CN"/>
        </w:rPr>
        <w:t>。</w:t>
      </w:r>
    </w:p>
    <w:p w14:paraId="2C706980">
      <w:pPr>
        <w:autoSpaceDE/>
        <w:autoSpaceDN/>
        <w:ind w:left="0" w:leftChars="0" w:firstLine="0" w:firstLineChars="0"/>
        <w:rPr>
          <w:rFonts w:hint="eastAsia"/>
          <w:highlight w:val="none"/>
          <w:lang w:eastAsia="zh-Hans"/>
        </w:rPr>
      </w:pPr>
      <w:r>
        <w:rPr>
          <w:rFonts w:hint="eastAsia"/>
          <w:highlight w:val="none"/>
          <w:lang w:eastAsia="zh-Hans"/>
        </w:rPr>
        <w:t>8.3设备基础应进行防渗漏处理，以防止药剂泄漏污染环境。</w:t>
      </w:r>
    </w:p>
    <w:p w14:paraId="058E288D">
      <w:pPr>
        <w:autoSpaceDE/>
        <w:autoSpaceDN/>
        <w:ind w:left="0" w:leftChars="0" w:firstLine="0" w:firstLineChars="0"/>
        <w:rPr>
          <w:rFonts w:hint="eastAsia"/>
          <w:highlight w:val="none"/>
          <w:lang w:eastAsia="zh-Hans"/>
        </w:rPr>
      </w:pPr>
      <w:r>
        <w:rPr>
          <w:rFonts w:hint="eastAsia"/>
          <w:highlight w:val="none"/>
          <w:lang w:eastAsia="zh-Hans"/>
        </w:rPr>
        <w:t>8.4管道走向应合理，并在恰当处加刚性支撑,机组上各设备及配件应布置得紧凑、合理、便于操作。</w:t>
      </w:r>
    </w:p>
    <w:p w14:paraId="51D26D0B">
      <w:pPr>
        <w:autoSpaceDE/>
        <w:autoSpaceDN/>
        <w:ind w:left="0" w:leftChars="0" w:firstLine="0" w:firstLineChars="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Hans"/>
        </w:rPr>
        <w:t>8.5安装单位应是已取得相应安装资格的单位.安装人员应具备压力容器安装资格</w:t>
      </w:r>
      <w:r>
        <w:rPr>
          <w:rFonts w:hint="eastAsia"/>
          <w:highlight w:val="none"/>
          <w:lang w:eastAsia="zh-CN"/>
        </w:rPr>
        <w:t>。</w:t>
      </w:r>
    </w:p>
    <w:p w14:paraId="5FB036ED">
      <w:pPr>
        <w:autoSpaceDE/>
        <w:autoSpaceDN/>
        <w:ind w:left="0" w:leftChars="0" w:firstLine="0" w:firstLineChars="0"/>
        <w:rPr>
          <w:rFonts w:hint="eastAsia"/>
          <w:highlight w:val="none"/>
          <w:lang w:eastAsia="zh-Hans"/>
        </w:rPr>
      </w:pPr>
      <w:r>
        <w:rPr>
          <w:rFonts w:hint="eastAsia"/>
          <w:highlight w:val="none"/>
          <w:lang w:eastAsia="zh-Hans"/>
        </w:rPr>
        <w:t>8.6设备机组安装完毕后，应进行整体试压并验收，其指标应符合表1要求.设备机组验收应包括：密封性（罐体及管路）测定，各机械部分运转状况测定，整机性能效率测定（应符合表1中的规定）</w:t>
      </w:r>
      <w:r>
        <w:rPr>
          <w:rFonts w:hint="default"/>
          <w:highlight w:val="none"/>
          <w:lang w:eastAsia="zh-Hans"/>
        </w:rPr>
        <w:t>。</w:t>
      </w:r>
      <w:r>
        <w:rPr>
          <w:rFonts w:hint="eastAsia"/>
          <w:highlight w:val="none"/>
          <w:lang w:eastAsia="zh-Hans"/>
        </w:rPr>
        <w:t>工作压力及真空度应保持30 min不变.</w:t>
      </w:r>
    </w:p>
    <w:p w14:paraId="2DE097D6">
      <w:pPr>
        <w:autoSpaceDE/>
        <w:autoSpaceDN/>
        <w:ind w:left="0" w:leftChars="0" w:firstLine="0" w:firstLineChars="0"/>
        <w:rPr>
          <w:rFonts w:hint="eastAsia"/>
          <w:highlight w:val="none"/>
        </w:rPr>
      </w:pPr>
      <w:r>
        <w:rPr>
          <w:rFonts w:hint="eastAsia"/>
          <w:highlight w:val="none"/>
          <w:lang w:eastAsia="zh-Hans"/>
        </w:rPr>
        <w:t>8.7设备机组调试完毕后应进行试生产，检验是否符合设计要求，并进行验收交接记录</w:t>
      </w:r>
      <w:r>
        <w:rPr>
          <w:rFonts w:hint="default"/>
          <w:highlight w:val="none"/>
          <w:lang w:eastAsia="zh-Hans"/>
        </w:rPr>
        <w:t>。</w:t>
      </w:r>
      <w:bookmarkEnd w:id="23"/>
      <w:r>
        <w:rPr>
          <w:rFonts w:hint="eastAsia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354965</wp:posOffset>
                </wp:positionV>
                <wp:extent cx="208597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pt;margin-top:27.95pt;height:0pt;width:164.25pt;z-index:251665408;mso-width-relative:page;mso-height-relative:page;" filled="f" stroked="t" coordsize="21600,21600" o:gfxdata="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CHJ2tcAAAAJ&#10;AQAADwAAAAAAAAABACAAAAAiAAAAZHJzL2Rvd25yZXYueG1sUEsBAhQAFAAAAAgAh07iQP169Y3k&#10;AQAAsQMAAA4AAAAAAAAAAQAgAAAAJgEAAGRycy9lMm9Eb2MueG1sUEsFBgAAAAAGAAYAWQEAAHwF&#10;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footerReference r:id="rId13" w:type="default"/>
      <w:footerReference r:id="rId14" w:type="even"/>
      <w:pgSz w:w="11906" w:h="16838"/>
      <w:pgMar w:top="1701" w:right="1134" w:bottom="1134" w:left="1418" w:header="1361" w:footer="1134" w:gutter="0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4002009F" w:csb1="DFD7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7889B"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65C05">
    <w:pPr>
      <w:pStyle w:val="12"/>
      <w:ind w:firstLine="360"/>
    </w:pPr>
  </w:p>
  <w:p w14:paraId="101B4A8C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82C0F">
    <w:pPr>
      <w:pStyle w:val="12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44174">
    <w:pPr>
      <w:pStyle w:val="58"/>
    </w:pPr>
    <w:r>
      <w:fldChar w:fldCharType="begin"/>
    </w:r>
    <w:r>
      <w:instrText xml:space="preserve"> PAGE  \* MERGEFORMAT </w:instrText>
    </w:r>
    <w:r>
      <w:fldChar w:fldCharType="separate"/>
    </w:r>
    <w:r>
      <w:t>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C7F68">
    <w:pPr>
      <w:pStyle w:val="58"/>
    </w:pPr>
    <w:r>
      <w:fldChar w:fldCharType="begin"/>
    </w:r>
    <w:r>
      <w:instrText xml:space="preserve"> PAGE  \* MERGEFORMAT </w:instrText>
    </w:r>
    <w:r>
      <w:fldChar w:fldCharType="separate"/>
    </w:r>
    <w:r>
      <w:t>7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468AB">
    <w:pPr>
      <w:pStyle w:val="12"/>
      <w:ind w:firstLine="360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  <w:p w14:paraId="41DC06EA">
    <w:pPr>
      <w:pStyle w:val="1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A4047">
    <w:pPr>
      <w:ind w:left="42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71F9E">
    <w:r>
      <w:t>JC/T XXXXX—20XX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B2CB2">
    <w:pPr>
      <w:pStyle w:val="13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9CF09">
    <w:pPr>
      <w:pStyle w:val="59"/>
      <w:spacing w:after="284"/>
    </w:pPr>
    <w:r>
      <w:t>JC/T XXXXX—20XX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E9C30"/>
    <w:multiLevelType w:val="singleLevel"/>
    <w:tmpl w:val="FF3E9C30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trike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1134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49DD6F04"/>
    <w:multiLevelType w:val="multilevel"/>
    <w:tmpl w:val="49DD6F04"/>
    <w:lvl w:ilvl="0" w:tentative="0">
      <w:start w:val="1"/>
      <w:numFmt w:val="decimal"/>
      <w:pStyle w:val="68"/>
      <w:suff w:val="nothing"/>
      <w:lvlText w:val="%1  "/>
      <w:lvlJc w:val="left"/>
      <w:pPr>
        <w:ind w:left="3260" w:firstLine="0"/>
      </w:pPr>
      <w:rPr>
        <w:rFonts w:hint="default" w:ascii="Times New Roman" w:hAnsi="Times New Roman" w:eastAsia="黑体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1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eastAsia" w:asciiTheme="minorEastAsia" w:hAnsiTheme="minorEastAsia" w:eastAsiaTheme="minorEastAsia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1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eastAsia" w:asciiTheme="minorEastAsia" w:hAnsiTheme="minorEastAsia" w:eastAsiaTheme="minorEastAsia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1"/>
        <w:position w:val="0"/>
        <w:sz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1"/>
        <w:position w:val="0"/>
        <w:sz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suff w:val="nothing"/>
      <w:lvlText w:val="%1.%2.%3.%4.%5  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1"/>
        <w:position w:val="0"/>
        <w:sz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 w:tentative="0">
      <w:start w:val="1"/>
      <w:numFmt w:val="decimal"/>
      <w:suff w:val="nothing"/>
      <w:lvlText w:val="%1.%2.%3.%4.%5.%6  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1"/>
        <w:position w:val="0"/>
        <w:sz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 w:tentative="0">
      <w:start w:val="1"/>
      <w:numFmt w:val="lowerRoman"/>
      <w:lvlText w:val="(%7)"/>
      <w:lvlJc w:val="left"/>
      <w:pPr>
        <w:tabs>
          <w:tab w:val="left" w:pos="5528"/>
        </w:tabs>
        <w:ind w:left="510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78"/>
        </w:tabs>
        <w:ind w:left="5953" w:firstLine="0"/>
      </w:pPr>
    </w:lvl>
    <w:lvl w:ilvl="8" w:tentative="0">
      <w:start w:val="1"/>
      <w:numFmt w:val="lowerRoman"/>
      <w:lvlText w:val="(%9)"/>
      <w:lvlJc w:val="left"/>
      <w:pPr>
        <w:tabs>
          <w:tab w:val="left" w:pos="7228"/>
        </w:tabs>
        <w:ind w:left="6803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2NWNlOTZmNTI0YWU3NzY2NTc5MTY3OGFjNGU5MWYifQ=="/>
  </w:docVars>
  <w:rsids>
    <w:rsidRoot w:val="33F36BFE"/>
    <w:rsid w:val="00005CDD"/>
    <w:rsid w:val="00007EBF"/>
    <w:rsid w:val="000117DB"/>
    <w:rsid w:val="00012C06"/>
    <w:rsid w:val="00015A41"/>
    <w:rsid w:val="0001687D"/>
    <w:rsid w:val="000211BF"/>
    <w:rsid w:val="00021D81"/>
    <w:rsid w:val="00021E4A"/>
    <w:rsid w:val="00026E7A"/>
    <w:rsid w:val="00033664"/>
    <w:rsid w:val="0003488E"/>
    <w:rsid w:val="000422C7"/>
    <w:rsid w:val="00043208"/>
    <w:rsid w:val="00047012"/>
    <w:rsid w:val="00050908"/>
    <w:rsid w:val="0005209D"/>
    <w:rsid w:val="00055ED8"/>
    <w:rsid w:val="00056E79"/>
    <w:rsid w:val="00061080"/>
    <w:rsid w:val="00062BE7"/>
    <w:rsid w:val="00065639"/>
    <w:rsid w:val="00066CEB"/>
    <w:rsid w:val="0007172C"/>
    <w:rsid w:val="00071EA1"/>
    <w:rsid w:val="00075B5C"/>
    <w:rsid w:val="00080109"/>
    <w:rsid w:val="0008187B"/>
    <w:rsid w:val="00083059"/>
    <w:rsid w:val="000938DF"/>
    <w:rsid w:val="000B584E"/>
    <w:rsid w:val="000C515B"/>
    <w:rsid w:val="000C7395"/>
    <w:rsid w:val="000D12CF"/>
    <w:rsid w:val="000D1A76"/>
    <w:rsid w:val="000D4303"/>
    <w:rsid w:val="000D596B"/>
    <w:rsid w:val="000E0312"/>
    <w:rsid w:val="000E58A9"/>
    <w:rsid w:val="000E6F97"/>
    <w:rsid w:val="000F1363"/>
    <w:rsid w:val="000F34A4"/>
    <w:rsid w:val="000F3649"/>
    <w:rsid w:val="000F48CB"/>
    <w:rsid w:val="000F647A"/>
    <w:rsid w:val="000F7B0D"/>
    <w:rsid w:val="00100F25"/>
    <w:rsid w:val="0010276B"/>
    <w:rsid w:val="00106732"/>
    <w:rsid w:val="001109DE"/>
    <w:rsid w:val="00122C72"/>
    <w:rsid w:val="001245E9"/>
    <w:rsid w:val="00124798"/>
    <w:rsid w:val="001260FA"/>
    <w:rsid w:val="00127172"/>
    <w:rsid w:val="00132AFE"/>
    <w:rsid w:val="001401A9"/>
    <w:rsid w:val="0014658E"/>
    <w:rsid w:val="0015010B"/>
    <w:rsid w:val="00150EBE"/>
    <w:rsid w:val="00153421"/>
    <w:rsid w:val="00154E1B"/>
    <w:rsid w:val="00161D76"/>
    <w:rsid w:val="00167DC6"/>
    <w:rsid w:val="00171D7D"/>
    <w:rsid w:val="00173C8F"/>
    <w:rsid w:val="00175719"/>
    <w:rsid w:val="00176003"/>
    <w:rsid w:val="00176C89"/>
    <w:rsid w:val="001804CA"/>
    <w:rsid w:val="00181184"/>
    <w:rsid w:val="001931F6"/>
    <w:rsid w:val="00193D78"/>
    <w:rsid w:val="00193F49"/>
    <w:rsid w:val="001963FA"/>
    <w:rsid w:val="001A3CC5"/>
    <w:rsid w:val="001A4329"/>
    <w:rsid w:val="001B22C7"/>
    <w:rsid w:val="001B2D19"/>
    <w:rsid w:val="001C14B8"/>
    <w:rsid w:val="001C29B6"/>
    <w:rsid w:val="001C62E2"/>
    <w:rsid w:val="001D7404"/>
    <w:rsid w:val="001E6D85"/>
    <w:rsid w:val="001F0333"/>
    <w:rsid w:val="0020521F"/>
    <w:rsid w:val="00206995"/>
    <w:rsid w:val="0021372A"/>
    <w:rsid w:val="00215DC7"/>
    <w:rsid w:val="002209E3"/>
    <w:rsid w:val="0022146D"/>
    <w:rsid w:val="002216FA"/>
    <w:rsid w:val="002239FE"/>
    <w:rsid w:val="00224BFC"/>
    <w:rsid w:val="00230B3D"/>
    <w:rsid w:val="00236555"/>
    <w:rsid w:val="002375EE"/>
    <w:rsid w:val="002411C1"/>
    <w:rsid w:val="00241F4D"/>
    <w:rsid w:val="00247902"/>
    <w:rsid w:val="0025153D"/>
    <w:rsid w:val="002516B0"/>
    <w:rsid w:val="002572D0"/>
    <w:rsid w:val="0026245B"/>
    <w:rsid w:val="002630F9"/>
    <w:rsid w:val="0026774A"/>
    <w:rsid w:val="00282680"/>
    <w:rsid w:val="00285BE3"/>
    <w:rsid w:val="00286042"/>
    <w:rsid w:val="00295AA1"/>
    <w:rsid w:val="00297B66"/>
    <w:rsid w:val="002A44AE"/>
    <w:rsid w:val="002B05C7"/>
    <w:rsid w:val="002B2BED"/>
    <w:rsid w:val="002B30AB"/>
    <w:rsid w:val="002B6101"/>
    <w:rsid w:val="002C20CE"/>
    <w:rsid w:val="002C54D9"/>
    <w:rsid w:val="002D5AC0"/>
    <w:rsid w:val="002E0D83"/>
    <w:rsid w:val="002E3E0C"/>
    <w:rsid w:val="002E5C42"/>
    <w:rsid w:val="002E65B2"/>
    <w:rsid w:val="002E7A00"/>
    <w:rsid w:val="002F0E75"/>
    <w:rsid w:val="002F3996"/>
    <w:rsid w:val="002F5532"/>
    <w:rsid w:val="00300392"/>
    <w:rsid w:val="00304382"/>
    <w:rsid w:val="00305BDE"/>
    <w:rsid w:val="003074F0"/>
    <w:rsid w:val="003110BD"/>
    <w:rsid w:val="00314E8E"/>
    <w:rsid w:val="00315681"/>
    <w:rsid w:val="00320970"/>
    <w:rsid w:val="00324E58"/>
    <w:rsid w:val="00333A6A"/>
    <w:rsid w:val="00333CC6"/>
    <w:rsid w:val="00336636"/>
    <w:rsid w:val="0033776C"/>
    <w:rsid w:val="00342B05"/>
    <w:rsid w:val="00342E45"/>
    <w:rsid w:val="00350796"/>
    <w:rsid w:val="003563E1"/>
    <w:rsid w:val="00362295"/>
    <w:rsid w:val="003646E4"/>
    <w:rsid w:val="00374123"/>
    <w:rsid w:val="00376C18"/>
    <w:rsid w:val="003805EB"/>
    <w:rsid w:val="00380E0D"/>
    <w:rsid w:val="00381103"/>
    <w:rsid w:val="00381467"/>
    <w:rsid w:val="0038598A"/>
    <w:rsid w:val="003867A0"/>
    <w:rsid w:val="0039017E"/>
    <w:rsid w:val="003A00BA"/>
    <w:rsid w:val="003A190F"/>
    <w:rsid w:val="003A61A5"/>
    <w:rsid w:val="003B263C"/>
    <w:rsid w:val="003B359E"/>
    <w:rsid w:val="003B6D03"/>
    <w:rsid w:val="003C0DF6"/>
    <w:rsid w:val="003C2F59"/>
    <w:rsid w:val="003C5A2F"/>
    <w:rsid w:val="003C6889"/>
    <w:rsid w:val="003D1235"/>
    <w:rsid w:val="003D42B7"/>
    <w:rsid w:val="003D4BD8"/>
    <w:rsid w:val="003D576E"/>
    <w:rsid w:val="003D7763"/>
    <w:rsid w:val="003E63B5"/>
    <w:rsid w:val="003E7D4A"/>
    <w:rsid w:val="003F586E"/>
    <w:rsid w:val="00401158"/>
    <w:rsid w:val="00403835"/>
    <w:rsid w:val="00405634"/>
    <w:rsid w:val="00405EBC"/>
    <w:rsid w:val="004114E6"/>
    <w:rsid w:val="00412310"/>
    <w:rsid w:val="004130FF"/>
    <w:rsid w:val="0041485D"/>
    <w:rsid w:val="00414D8E"/>
    <w:rsid w:val="00414FC1"/>
    <w:rsid w:val="00416CDD"/>
    <w:rsid w:val="004171C7"/>
    <w:rsid w:val="00423790"/>
    <w:rsid w:val="004267AF"/>
    <w:rsid w:val="00426CA8"/>
    <w:rsid w:val="004321A0"/>
    <w:rsid w:val="00432220"/>
    <w:rsid w:val="00432718"/>
    <w:rsid w:val="00434DA3"/>
    <w:rsid w:val="004356D3"/>
    <w:rsid w:val="00440B83"/>
    <w:rsid w:val="00447049"/>
    <w:rsid w:val="004504E3"/>
    <w:rsid w:val="0045117C"/>
    <w:rsid w:val="0045416C"/>
    <w:rsid w:val="00454A83"/>
    <w:rsid w:val="00460EC5"/>
    <w:rsid w:val="00461134"/>
    <w:rsid w:val="00463CED"/>
    <w:rsid w:val="00467ADB"/>
    <w:rsid w:val="00482478"/>
    <w:rsid w:val="004824D2"/>
    <w:rsid w:val="004879DB"/>
    <w:rsid w:val="004916C9"/>
    <w:rsid w:val="004A1DDF"/>
    <w:rsid w:val="004A23FF"/>
    <w:rsid w:val="004A4480"/>
    <w:rsid w:val="004A4696"/>
    <w:rsid w:val="004B01A5"/>
    <w:rsid w:val="004B3EA5"/>
    <w:rsid w:val="004C1149"/>
    <w:rsid w:val="004C24A1"/>
    <w:rsid w:val="004C4F73"/>
    <w:rsid w:val="004D0F9A"/>
    <w:rsid w:val="004D1D17"/>
    <w:rsid w:val="004E1BD3"/>
    <w:rsid w:val="004E5C70"/>
    <w:rsid w:val="004E5FA5"/>
    <w:rsid w:val="004F37ED"/>
    <w:rsid w:val="004F489B"/>
    <w:rsid w:val="00503F1A"/>
    <w:rsid w:val="00507665"/>
    <w:rsid w:val="005104FD"/>
    <w:rsid w:val="00512072"/>
    <w:rsid w:val="00516CEE"/>
    <w:rsid w:val="005203B7"/>
    <w:rsid w:val="005215F2"/>
    <w:rsid w:val="00523797"/>
    <w:rsid w:val="00524670"/>
    <w:rsid w:val="00525C77"/>
    <w:rsid w:val="005346A4"/>
    <w:rsid w:val="005368E4"/>
    <w:rsid w:val="0053746E"/>
    <w:rsid w:val="00540F5D"/>
    <w:rsid w:val="00546306"/>
    <w:rsid w:val="0055033F"/>
    <w:rsid w:val="00551EC3"/>
    <w:rsid w:val="005524B5"/>
    <w:rsid w:val="00556912"/>
    <w:rsid w:val="0056456A"/>
    <w:rsid w:val="00571C26"/>
    <w:rsid w:val="005722F6"/>
    <w:rsid w:val="0057663F"/>
    <w:rsid w:val="00580868"/>
    <w:rsid w:val="005833B2"/>
    <w:rsid w:val="005839BF"/>
    <w:rsid w:val="00584EFE"/>
    <w:rsid w:val="005918FA"/>
    <w:rsid w:val="00591A50"/>
    <w:rsid w:val="00592D41"/>
    <w:rsid w:val="00593519"/>
    <w:rsid w:val="00594207"/>
    <w:rsid w:val="00596DA0"/>
    <w:rsid w:val="005A2AE4"/>
    <w:rsid w:val="005A58BB"/>
    <w:rsid w:val="005C1054"/>
    <w:rsid w:val="005C1CAA"/>
    <w:rsid w:val="005D26DC"/>
    <w:rsid w:val="005D2723"/>
    <w:rsid w:val="005D32FC"/>
    <w:rsid w:val="005D4F45"/>
    <w:rsid w:val="005D7FFA"/>
    <w:rsid w:val="005E1FEA"/>
    <w:rsid w:val="005E65BC"/>
    <w:rsid w:val="005F54F1"/>
    <w:rsid w:val="00603778"/>
    <w:rsid w:val="00604425"/>
    <w:rsid w:val="00605BCF"/>
    <w:rsid w:val="006106B8"/>
    <w:rsid w:val="00621FFE"/>
    <w:rsid w:val="0062291D"/>
    <w:rsid w:val="00642DD8"/>
    <w:rsid w:val="00643071"/>
    <w:rsid w:val="00645ED0"/>
    <w:rsid w:val="00654543"/>
    <w:rsid w:val="00657BE5"/>
    <w:rsid w:val="006601B2"/>
    <w:rsid w:val="006619BE"/>
    <w:rsid w:val="00673855"/>
    <w:rsid w:val="006754E0"/>
    <w:rsid w:val="0067579D"/>
    <w:rsid w:val="006817F6"/>
    <w:rsid w:val="00682229"/>
    <w:rsid w:val="00685FFC"/>
    <w:rsid w:val="006871A7"/>
    <w:rsid w:val="006908D1"/>
    <w:rsid w:val="0069212E"/>
    <w:rsid w:val="0069659E"/>
    <w:rsid w:val="006A16B3"/>
    <w:rsid w:val="006A6657"/>
    <w:rsid w:val="006A6DCF"/>
    <w:rsid w:val="006B1512"/>
    <w:rsid w:val="006B4FA1"/>
    <w:rsid w:val="006C3DC3"/>
    <w:rsid w:val="006C4563"/>
    <w:rsid w:val="006D294C"/>
    <w:rsid w:val="006D3A0D"/>
    <w:rsid w:val="006D46FE"/>
    <w:rsid w:val="006D6F1C"/>
    <w:rsid w:val="006E42C9"/>
    <w:rsid w:val="006E5CBC"/>
    <w:rsid w:val="006E68AA"/>
    <w:rsid w:val="006E7922"/>
    <w:rsid w:val="006F21BA"/>
    <w:rsid w:val="006F2411"/>
    <w:rsid w:val="00701D22"/>
    <w:rsid w:val="0070217D"/>
    <w:rsid w:val="00714E27"/>
    <w:rsid w:val="007160D7"/>
    <w:rsid w:val="007216B9"/>
    <w:rsid w:val="00721C72"/>
    <w:rsid w:val="00722C92"/>
    <w:rsid w:val="007243D6"/>
    <w:rsid w:val="00724B0C"/>
    <w:rsid w:val="0072545E"/>
    <w:rsid w:val="007262B9"/>
    <w:rsid w:val="00726C2E"/>
    <w:rsid w:val="00730A82"/>
    <w:rsid w:val="00737AD0"/>
    <w:rsid w:val="00740500"/>
    <w:rsid w:val="00743DF4"/>
    <w:rsid w:val="00747E9D"/>
    <w:rsid w:val="007531EA"/>
    <w:rsid w:val="00753C34"/>
    <w:rsid w:val="007630F9"/>
    <w:rsid w:val="0076359D"/>
    <w:rsid w:val="00764BE9"/>
    <w:rsid w:val="00773A8B"/>
    <w:rsid w:val="00775777"/>
    <w:rsid w:val="007768A3"/>
    <w:rsid w:val="0077751B"/>
    <w:rsid w:val="00781E2F"/>
    <w:rsid w:val="007830F3"/>
    <w:rsid w:val="007872E4"/>
    <w:rsid w:val="007920E2"/>
    <w:rsid w:val="00792937"/>
    <w:rsid w:val="007A13D5"/>
    <w:rsid w:val="007A21D3"/>
    <w:rsid w:val="007A44FD"/>
    <w:rsid w:val="007A5242"/>
    <w:rsid w:val="007A6BDD"/>
    <w:rsid w:val="007B0865"/>
    <w:rsid w:val="007B0FDE"/>
    <w:rsid w:val="007B3181"/>
    <w:rsid w:val="007B6390"/>
    <w:rsid w:val="007B6ECF"/>
    <w:rsid w:val="007C048C"/>
    <w:rsid w:val="007C1148"/>
    <w:rsid w:val="007C1DDE"/>
    <w:rsid w:val="007C748D"/>
    <w:rsid w:val="007D5B8E"/>
    <w:rsid w:val="007E73EA"/>
    <w:rsid w:val="007F2233"/>
    <w:rsid w:val="007F229F"/>
    <w:rsid w:val="007F24C1"/>
    <w:rsid w:val="007F3C8C"/>
    <w:rsid w:val="0080161F"/>
    <w:rsid w:val="008022DF"/>
    <w:rsid w:val="00803AD3"/>
    <w:rsid w:val="008100F2"/>
    <w:rsid w:val="00822B51"/>
    <w:rsid w:val="00824370"/>
    <w:rsid w:val="008245B0"/>
    <w:rsid w:val="00824D75"/>
    <w:rsid w:val="00825672"/>
    <w:rsid w:val="00842CEC"/>
    <w:rsid w:val="00843C18"/>
    <w:rsid w:val="0084476B"/>
    <w:rsid w:val="0084521F"/>
    <w:rsid w:val="00846521"/>
    <w:rsid w:val="0085009C"/>
    <w:rsid w:val="00851BE4"/>
    <w:rsid w:val="0085548B"/>
    <w:rsid w:val="008603A2"/>
    <w:rsid w:val="00865305"/>
    <w:rsid w:val="008725AA"/>
    <w:rsid w:val="008743DE"/>
    <w:rsid w:val="0087651A"/>
    <w:rsid w:val="00883F7C"/>
    <w:rsid w:val="008931F7"/>
    <w:rsid w:val="00893D0E"/>
    <w:rsid w:val="00896D96"/>
    <w:rsid w:val="00897CD3"/>
    <w:rsid w:val="008A668C"/>
    <w:rsid w:val="008B500D"/>
    <w:rsid w:val="008C1C85"/>
    <w:rsid w:val="008C4814"/>
    <w:rsid w:val="008C683B"/>
    <w:rsid w:val="008D0B23"/>
    <w:rsid w:val="008D5D8B"/>
    <w:rsid w:val="008E0DB0"/>
    <w:rsid w:val="008E0E1D"/>
    <w:rsid w:val="008E0F0B"/>
    <w:rsid w:val="008E2EE0"/>
    <w:rsid w:val="008E6072"/>
    <w:rsid w:val="008F255D"/>
    <w:rsid w:val="008F26D2"/>
    <w:rsid w:val="00902E12"/>
    <w:rsid w:val="00903056"/>
    <w:rsid w:val="0092314E"/>
    <w:rsid w:val="00930168"/>
    <w:rsid w:val="00937B66"/>
    <w:rsid w:val="009401D8"/>
    <w:rsid w:val="00940AF2"/>
    <w:rsid w:val="00942727"/>
    <w:rsid w:val="00942CC5"/>
    <w:rsid w:val="00950136"/>
    <w:rsid w:val="009538D3"/>
    <w:rsid w:val="009616F8"/>
    <w:rsid w:val="00962ED9"/>
    <w:rsid w:val="00963A3C"/>
    <w:rsid w:val="00963FB0"/>
    <w:rsid w:val="0096492E"/>
    <w:rsid w:val="00967739"/>
    <w:rsid w:val="00976060"/>
    <w:rsid w:val="00981E01"/>
    <w:rsid w:val="00983AAE"/>
    <w:rsid w:val="009841FB"/>
    <w:rsid w:val="00990790"/>
    <w:rsid w:val="009915BF"/>
    <w:rsid w:val="009A3002"/>
    <w:rsid w:val="009A50DA"/>
    <w:rsid w:val="009A59B2"/>
    <w:rsid w:val="009A6B45"/>
    <w:rsid w:val="009B2006"/>
    <w:rsid w:val="009B2095"/>
    <w:rsid w:val="009B35B3"/>
    <w:rsid w:val="009B3F97"/>
    <w:rsid w:val="009B50E6"/>
    <w:rsid w:val="009C308C"/>
    <w:rsid w:val="009C60D7"/>
    <w:rsid w:val="009E6F2B"/>
    <w:rsid w:val="009E7B69"/>
    <w:rsid w:val="009F07EF"/>
    <w:rsid w:val="009F274F"/>
    <w:rsid w:val="00A02FE9"/>
    <w:rsid w:val="00A030D9"/>
    <w:rsid w:val="00A05BB7"/>
    <w:rsid w:val="00A06A53"/>
    <w:rsid w:val="00A108D4"/>
    <w:rsid w:val="00A124FF"/>
    <w:rsid w:val="00A1325E"/>
    <w:rsid w:val="00A168C1"/>
    <w:rsid w:val="00A1736A"/>
    <w:rsid w:val="00A25CC6"/>
    <w:rsid w:val="00A278DD"/>
    <w:rsid w:val="00A30E2A"/>
    <w:rsid w:val="00A31A4A"/>
    <w:rsid w:val="00A3445E"/>
    <w:rsid w:val="00A37AAE"/>
    <w:rsid w:val="00A43FE3"/>
    <w:rsid w:val="00A45D64"/>
    <w:rsid w:val="00A46B3B"/>
    <w:rsid w:val="00A50429"/>
    <w:rsid w:val="00A529A8"/>
    <w:rsid w:val="00A54352"/>
    <w:rsid w:val="00A755BC"/>
    <w:rsid w:val="00A765DC"/>
    <w:rsid w:val="00A8009F"/>
    <w:rsid w:val="00A828CD"/>
    <w:rsid w:val="00AA021F"/>
    <w:rsid w:val="00AA2A81"/>
    <w:rsid w:val="00AA3A77"/>
    <w:rsid w:val="00AB3578"/>
    <w:rsid w:val="00AB473F"/>
    <w:rsid w:val="00AB5D8B"/>
    <w:rsid w:val="00AB6BA7"/>
    <w:rsid w:val="00AB7BDD"/>
    <w:rsid w:val="00AB7D07"/>
    <w:rsid w:val="00AC6757"/>
    <w:rsid w:val="00AD5563"/>
    <w:rsid w:val="00AD7678"/>
    <w:rsid w:val="00AE00A5"/>
    <w:rsid w:val="00AE00C0"/>
    <w:rsid w:val="00AF197F"/>
    <w:rsid w:val="00AF31E5"/>
    <w:rsid w:val="00AF3943"/>
    <w:rsid w:val="00AF5ED2"/>
    <w:rsid w:val="00AF6980"/>
    <w:rsid w:val="00B00555"/>
    <w:rsid w:val="00B0205F"/>
    <w:rsid w:val="00B0410A"/>
    <w:rsid w:val="00B0433A"/>
    <w:rsid w:val="00B118BA"/>
    <w:rsid w:val="00B13B8F"/>
    <w:rsid w:val="00B14A4F"/>
    <w:rsid w:val="00B156BC"/>
    <w:rsid w:val="00B20E16"/>
    <w:rsid w:val="00B22ABA"/>
    <w:rsid w:val="00B27B78"/>
    <w:rsid w:val="00B307FF"/>
    <w:rsid w:val="00B36A04"/>
    <w:rsid w:val="00B4632F"/>
    <w:rsid w:val="00B55716"/>
    <w:rsid w:val="00B56989"/>
    <w:rsid w:val="00B62381"/>
    <w:rsid w:val="00B6446E"/>
    <w:rsid w:val="00B66C58"/>
    <w:rsid w:val="00B66E91"/>
    <w:rsid w:val="00B77EC1"/>
    <w:rsid w:val="00B80205"/>
    <w:rsid w:val="00B806AC"/>
    <w:rsid w:val="00BA18B8"/>
    <w:rsid w:val="00BA2AA0"/>
    <w:rsid w:val="00BA5CAA"/>
    <w:rsid w:val="00BB2247"/>
    <w:rsid w:val="00BB4D55"/>
    <w:rsid w:val="00BC4DAA"/>
    <w:rsid w:val="00BD2656"/>
    <w:rsid w:val="00BD3CB5"/>
    <w:rsid w:val="00BD5F22"/>
    <w:rsid w:val="00BE301D"/>
    <w:rsid w:val="00BE77B4"/>
    <w:rsid w:val="00BF1714"/>
    <w:rsid w:val="00BF3B7B"/>
    <w:rsid w:val="00BF5500"/>
    <w:rsid w:val="00BF7A32"/>
    <w:rsid w:val="00C037AD"/>
    <w:rsid w:val="00C0571A"/>
    <w:rsid w:val="00C1189F"/>
    <w:rsid w:val="00C11931"/>
    <w:rsid w:val="00C13F13"/>
    <w:rsid w:val="00C1555A"/>
    <w:rsid w:val="00C161BE"/>
    <w:rsid w:val="00C30EC1"/>
    <w:rsid w:val="00C317E7"/>
    <w:rsid w:val="00C32D45"/>
    <w:rsid w:val="00C4210E"/>
    <w:rsid w:val="00C42370"/>
    <w:rsid w:val="00C42A5F"/>
    <w:rsid w:val="00C4432C"/>
    <w:rsid w:val="00C46FDB"/>
    <w:rsid w:val="00C55B7B"/>
    <w:rsid w:val="00C5764F"/>
    <w:rsid w:val="00C6627E"/>
    <w:rsid w:val="00C7175F"/>
    <w:rsid w:val="00C737E0"/>
    <w:rsid w:val="00C74744"/>
    <w:rsid w:val="00C758D9"/>
    <w:rsid w:val="00C84C9C"/>
    <w:rsid w:val="00C924CC"/>
    <w:rsid w:val="00C97F29"/>
    <w:rsid w:val="00CA333C"/>
    <w:rsid w:val="00CA36DE"/>
    <w:rsid w:val="00CA3C15"/>
    <w:rsid w:val="00CA6A77"/>
    <w:rsid w:val="00CA76C8"/>
    <w:rsid w:val="00CB1E9D"/>
    <w:rsid w:val="00CB349F"/>
    <w:rsid w:val="00CB772F"/>
    <w:rsid w:val="00CC11C4"/>
    <w:rsid w:val="00CC14A7"/>
    <w:rsid w:val="00CC35DB"/>
    <w:rsid w:val="00CC3EDE"/>
    <w:rsid w:val="00CC5C29"/>
    <w:rsid w:val="00CD0964"/>
    <w:rsid w:val="00CD0E61"/>
    <w:rsid w:val="00CD2467"/>
    <w:rsid w:val="00CE3848"/>
    <w:rsid w:val="00CE7767"/>
    <w:rsid w:val="00CF6682"/>
    <w:rsid w:val="00D018AC"/>
    <w:rsid w:val="00D04B0D"/>
    <w:rsid w:val="00D14C1E"/>
    <w:rsid w:val="00D20EB1"/>
    <w:rsid w:val="00D22C61"/>
    <w:rsid w:val="00D23D7C"/>
    <w:rsid w:val="00D313BF"/>
    <w:rsid w:val="00D324A3"/>
    <w:rsid w:val="00D324CB"/>
    <w:rsid w:val="00D332A3"/>
    <w:rsid w:val="00D33610"/>
    <w:rsid w:val="00D33B36"/>
    <w:rsid w:val="00D33C08"/>
    <w:rsid w:val="00D415B1"/>
    <w:rsid w:val="00D43704"/>
    <w:rsid w:val="00D442D7"/>
    <w:rsid w:val="00D44BDD"/>
    <w:rsid w:val="00D44D32"/>
    <w:rsid w:val="00D46A8A"/>
    <w:rsid w:val="00D54E85"/>
    <w:rsid w:val="00D56418"/>
    <w:rsid w:val="00D60CBD"/>
    <w:rsid w:val="00D67F2E"/>
    <w:rsid w:val="00D71A25"/>
    <w:rsid w:val="00D776CF"/>
    <w:rsid w:val="00D81977"/>
    <w:rsid w:val="00D91FC4"/>
    <w:rsid w:val="00D95751"/>
    <w:rsid w:val="00D96548"/>
    <w:rsid w:val="00D97B13"/>
    <w:rsid w:val="00DA1712"/>
    <w:rsid w:val="00DA4754"/>
    <w:rsid w:val="00DA51A6"/>
    <w:rsid w:val="00DA52BC"/>
    <w:rsid w:val="00DA6FDD"/>
    <w:rsid w:val="00DB172E"/>
    <w:rsid w:val="00DB3632"/>
    <w:rsid w:val="00DB6A02"/>
    <w:rsid w:val="00DC0341"/>
    <w:rsid w:val="00DC0B0C"/>
    <w:rsid w:val="00DC71D5"/>
    <w:rsid w:val="00DD040A"/>
    <w:rsid w:val="00DD121E"/>
    <w:rsid w:val="00DD39BD"/>
    <w:rsid w:val="00DD7372"/>
    <w:rsid w:val="00DE2F04"/>
    <w:rsid w:val="00DE3652"/>
    <w:rsid w:val="00DE3815"/>
    <w:rsid w:val="00DF1C33"/>
    <w:rsid w:val="00DF392C"/>
    <w:rsid w:val="00DF535B"/>
    <w:rsid w:val="00DF5512"/>
    <w:rsid w:val="00DF67DD"/>
    <w:rsid w:val="00E005F4"/>
    <w:rsid w:val="00E218B7"/>
    <w:rsid w:val="00E27526"/>
    <w:rsid w:val="00E33886"/>
    <w:rsid w:val="00E36260"/>
    <w:rsid w:val="00E3750D"/>
    <w:rsid w:val="00E37A2F"/>
    <w:rsid w:val="00E37E37"/>
    <w:rsid w:val="00E50481"/>
    <w:rsid w:val="00E52419"/>
    <w:rsid w:val="00E53C6F"/>
    <w:rsid w:val="00E54799"/>
    <w:rsid w:val="00E562F9"/>
    <w:rsid w:val="00E606EC"/>
    <w:rsid w:val="00E60B96"/>
    <w:rsid w:val="00E62952"/>
    <w:rsid w:val="00E62F42"/>
    <w:rsid w:val="00E66641"/>
    <w:rsid w:val="00E77C0A"/>
    <w:rsid w:val="00E8165F"/>
    <w:rsid w:val="00E831E0"/>
    <w:rsid w:val="00E853D7"/>
    <w:rsid w:val="00E87485"/>
    <w:rsid w:val="00E90DAB"/>
    <w:rsid w:val="00E951C1"/>
    <w:rsid w:val="00EA2ED9"/>
    <w:rsid w:val="00EB26B8"/>
    <w:rsid w:val="00EB4883"/>
    <w:rsid w:val="00EC06DA"/>
    <w:rsid w:val="00EC28CD"/>
    <w:rsid w:val="00EC3431"/>
    <w:rsid w:val="00EC6510"/>
    <w:rsid w:val="00ED4491"/>
    <w:rsid w:val="00ED65D2"/>
    <w:rsid w:val="00EE0BC0"/>
    <w:rsid w:val="00EE2C33"/>
    <w:rsid w:val="00EF0980"/>
    <w:rsid w:val="00EF1D52"/>
    <w:rsid w:val="00EF301B"/>
    <w:rsid w:val="00EF5B8B"/>
    <w:rsid w:val="00F003A7"/>
    <w:rsid w:val="00F019A7"/>
    <w:rsid w:val="00F06EFB"/>
    <w:rsid w:val="00F1061E"/>
    <w:rsid w:val="00F13125"/>
    <w:rsid w:val="00F15106"/>
    <w:rsid w:val="00F16577"/>
    <w:rsid w:val="00F20320"/>
    <w:rsid w:val="00F228CB"/>
    <w:rsid w:val="00F27F7C"/>
    <w:rsid w:val="00F3424F"/>
    <w:rsid w:val="00F354C8"/>
    <w:rsid w:val="00F3573D"/>
    <w:rsid w:val="00F36A28"/>
    <w:rsid w:val="00F3776E"/>
    <w:rsid w:val="00F42AD3"/>
    <w:rsid w:val="00F42BF7"/>
    <w:rsid w:val="00F43AFE"/>
    <w:rsid w:val="00F5385B"/>
    <w:rsid w:val="00F53A04"/>
    <w:rsid w:val="00F53EAB"/>
    <w:rsid w:val="00F55D32"/>
    <w:rsid w:val="00F568BE"/>
    <w:rsid w:val="00F56FB6"/>
    <w:rsid w:val="00F61BF3"/>
    <w:rsid w:val="00F6231B"/>
    <w:rsid w:val="00F641B7"/>
    <w:rsid w:val="00F6670B"/>
    <w:rsid w:val="00F67C8A"/>
    <w:rsid w:val="00F723AD"/>
    <w:rsid w:val="00F76665"/>
    <w:rsid w:val="00F77274"/>
    <w:rsid w:val="00F82910"/>
    <w:rsid w:val="00F90BC4"/>
    <w:rsid w:val="00F946EE"/>
    <w:rsid w:val="00F96523"/>
    <w:rsid w:val="00FA10DC"/>
    <w:rsid w:val="00FA4FA6"/>
    <w:rsid w:val="00FA6DFA"/>
    <w:rsid w:val="00FC1AEA"/>
    <w:rsid w:val="00FC1D3E"/>
    <w:rsid w:val="00FC48BA"/>
    <w:rsid w:val="00FC6918"/>
    <w:rsid w:val="00FD08B5"/>
    <w:rsid w:val="00FD27CF"/>
    <w:rsid w:val="00FD3586"/>
    <w:rsid w:val="00FF1833"/>
    <w:rsid w:val="00FF4808"/>
    <w:rsid w:val="00FF6ABF"/>
    <w:rsid w:val="00FF6CDB"/>
    <w:rsid w:val="00FF6E6E"/>
    <w:rsid w:val="00FF75ED"/>
    <w:rsid w:val="01BA178B"/>
    <w:rsid w:val="026A4959"/>
    <w:rsid w:val="029C290B"/>
    <w:rsid w:val="030329BA"/>
    <w:rsid w:val="032076CE"/>
    <w:rsid w:val="036A374F"/>
    <w:rsid w:val="03B47DC1"/>
    <w:rsid w:val="043B10A6"/>
    <w:rsid w:val="04F57CED"/>
    <w:rsid w:val="056A1D11"/>
    <w:rsid w:val="058B60C2"/>
    <w:rsid w:val="06686C72"/>
    <w:rsid w:val="067547B1"/>
    <w:rsid w:val="072256E2"/>
    <w:rsid w:val="073443D9"/>
    <w:rsid w:val="07CD53CA"/>
    <w:rsid w:val="07FD21B0"/>
    <w:rsid w:val="086E5263"/>
    <w:rsid w:val="08AD31FB"/>
    <w:rsid w:val="0A365262"/>
    <w:rsid w:val="0A4A0725"/>
    <w:rsid w:val="0AD91528"/>
    <w:rsid w:val="0CD7158E"/>
    <w:rsid w:val="11202301"/>
    <w:rsid w:val="117C00ED"/>
    <w:rsid w:val="11D90D02"/>
    <w:rsid w:val="176D0592"/>
    <w:rsid w:val="17EFE642"/>
    <w:rsid w:val="194C4AAD"/>
    <w:rsid w:val="1B555E6B"/>
    <w:rsid w:val="1C295179"/>
    <w:rsid w:val="1CB52B35"/>
    <w:rsid w:val="1E005FA5"/>
    <w:rsid w:val="1E4C2C3B"/>
    <w:rsid w:val="1E544886"/>
    <w:rsid w:val="1EE04EB1"/>
    <w:rsid w:val="20CD1E0F"/>
    <w:rsid w:val="22A2772B"/>
    <w:rsid w:val="25332346"/>
    <w:rsid w:val="260D76B9"/>
    <w:rsid w:val="267E2238"/>
    <w:rsid w:val="274C5429"/>
    <w:rsid w:val="294008AF"/>
    <w:rsid w:val="29CF1658"/>
    <w:rsid w:val="2C9E5875"/>
    <w:rsid w:val="2DA763C8"/>
    <w:rsid w:val="2FA73189"/>
    <w:rsid w:val="2FAF4C07"/>
    <w:rsid w:val="30F67906"/>
    <w:rsid w:val="314D0EE2"/>
    <w:rsid w:val="32043FBE"/>
    <w:rsid w:val="32E90F84"/>
    <w:rsid w:val="33663940"/>
    <w:rsid w:val="33F36BFE"/>
    <w:rsid w:val="351647A5"/>
    <w:rsid w:val="35625557"/>
    <w:rsid w:val="384A186B"/>
    <w:rsid w:val="38CB5E4C"/>
    <w:rsid w:val="396476CA"/>
    <w:rsid w:val="3A2B1F54"/>
    <w:rsid w:val="3A38784C"/>
    <w:rsid w:val="3A5B1046"/>
    <w:rsid w:val="3B273268"/>
    <w:rsid w:val="3B38142F"/>
    <w:rsid w:val="3B5C2526"/>
    <w:rsid w:val="3BA478A4"/>
    <w:rsid w:val="3C5E5B29"/>
    <w:rsid w:val="3C933C0E"/>
    <w:rsid w:val="3CE47B2E"/>
    <w:rsid w:val="3CF01CC5"/>
    <w:rsid w:val="3CFA5E5C"/>
    <w:rsid w:val="3E9D72A2"/>
    <w:rsid w:val="3EA811A8"/>
    <w:rsid w:val="3EB640DE"/>
    <w:rsid w:val="415D16B6"/>
    <w:rsid w:val="447B74B4"/>
    <w:rsid w:val="44ED4117"/>
    <w:rsid w:val="44F63F7F"/>
    <w:rsid w:val="460A0EAE"/>
    <w:rsid w:val="4820224D"/>
    <w:rsid w:val="49137B1B"/>
    <w:rsid w:val="49A90486"/>
    <w:rsid w:val="4ABF7A2E"/>
    <w:rsid w:val="4B386D45"/>
    <w:rsid w:val="4CD337E9"/>
    <w:rsid w:val="4DC30244"/>
    <w:rsid w:val="4EBB7C58"/>
    <w:rsid w:val="501972E0"/>
    <w:rsid w:val="506015E4"/>
    <w:rsid w:val="524C30E6"/>
    <w:rsid w:val="52607EE4"/>
    <w:rsid w:val="54273E81"/>
    <w:rsid w:val="54890F5A"/>
    <w:rsid w:val="55300172"/>
    <w:rsid w:val="553B7BF2"/>
    <w:rsid w:val="568B7EE3"/>
    <w:rsid w:val="580C7B94"/>
    <w:rsid w:val="58B11C11"/>
    <w:rsid w:val="5A0F3C17"/>
    <w:rsid w:val="5B5D4FDD"/>
    <w:rsid w:val="5CB13BA9"/>
    <w:rsid w:val="5E19638D"/>
    <w:rsid w:val="5F373FBF"/>
    <w:rsid w:val="5FA559DE"/>
    <w:rsid w:val="60AD60FE"/>
    <w:rsid w:val="60AE671D"/>
    <w:rsid w:val="61C67895"/>
    <w:rsid w:val="626266E7"/>
    <w:rsid w:val="62A87EE4"/>
    <w:rsid w:val="63051A3D"/>
    <w:rsid w:val="644454F5"/>
    <w:rsid w:val="6445282D"/>
    <w:rsid w:val="65970E49"/>
    <w:rsid w:val="662305C2"/>
    <w:rsid w:val="67FE6E91"/>
    <w:rsid w:val="68807A41"/>
    <w:rsid w:val="69191871"/>
    <w:rsid w:val="69A23E61"/>
    <w:rsid w:val="6BFF7905"/>
    <w:rsid w:val="6D5F728E"/>
    <w:rsid w:val="6EF230AA"/>
    <w:rsid w:val="6F25667C"/>
    <w:rsid w:val="70A1532D"/>
    <w:rsid w:val="7263752C"/>
    <w:rsid w:val="73935206"/>
    <w:rsid w:val="77BE5CAD"/>
    <w:rsid w:val="7828682C"/>
    <w:rsid w:val="7981729A"/>
    <w:rsid w:val="7B20665D"/>
    <w:rsid w:val="7B327CBF"/>
    <w:rsid w:val="7BD7640F"/>
    <w:rsid w:val="7E3A23B3"/>
    <w:rsid w:val="B5FBE98B"/>
    <w:rsid w:val="BBF9E65C"/>
    <w:rsid w:val="DA7255E3"/>
    <w:rsid w:val="FE93D8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nhideWhenUsed="0" w:uiPriority="0" w:semiHidden="0" w:name="Normal Indent"/>
    <w:lsdException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cs="Times New Roman" w:asciiTheme="minorEastAsia" w:hAnsiTheme="minorEastAsia" w:eastAsiaTheme="minorEastAsia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Times New Roman" w:hAnsi="Times New Roman"/>
      <w:b/>
      <w:kern w:val="44"/>
      <w:sz w:val="44"/>
    </w:rPr>
  </w:style>
  <w:style w:type="paragraph" w:styleId="3">
    <w:name w:val="heading 2"/>
    <w:basedOn w:val="1"/>
    <w:next w:val="1"/>
    <w:link w:val="6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 w:firstLineChars="200"/>
    </w:pPr>
  </w:style>
  <w:style w:type="paragraph" w:styleId="5">
    <w:name w:val="annotation text"/>
    <w:basedOn w:val="1"/>
    <w:link w:val="52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tabs>
        <w:tab w:val="left" w:pos="560"/>
        <w:tab w:val="left" w:pos="1120"/>
      </w:tabs>
      <w:spacing w:line="480" w:lineRule="atLeast"/>
      <w:ind w:firstLine="460"/>
    </w:pPr>
    <w:rPr>
      <w:rFonts w:ascii="Arial" w:hAnsi="Arial"/>
      <w:sz w:val="24"/>
      <w:szCs w:val="20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Plain Text"/>
    <w:basedOn w:val="1"/>
    <w:link w:val="64"/>
    <w:qFormat/>
    <w:uiPriority w:val="0"/>
    <w:rPr>
      <w:rFonts w:ascii="宋体" w:hAnsi="Courier New" w:cs="Courier New"/>
      <w:szCs w:val="21"/>
    </w:rPr>
  </w:style>
  <w:style w:type="paragraph" w:styleId="10">
    <w:name w:val="Date"/>
    <w:basedOn w:val="1"/>
    <w:next w:val="1"/>
    <w:link w:val="76"/>
    <w:qFormat/>
    <w:uiPriority w:val="0"/>
    <w:pPr>
      <w:ind w:left="100" w:leftChars="2500"/>
    </w:pPr>
  </w:style>
  <w:style w:type="paragraph" w:styleId="11">
    <w:name w:val="Balloon Text"/>
    <w:basedOn w:val="1"/>
    <w:link w:val="54"/>
    <w:qFormat/>
    <w:uiPriority w:val="0"/>
    <w:rPr>
      <w:sz w:val="18"/>
      <w:szCs w:val="18"/>
    </w:rPr>
  </w:style>
  <w:style w:type="paragraph" w:styleId="12">
    <w:name w:val="footer"/>
    <w:basedOn w:val="1"/>
    <w:link w:val="5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link w:val="4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</w:style>
  <w:style w:type="paragraph" w:styleId="15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7">
    <w:name w:val="Body Text 2"/>
    <w:basedOn w:val="1"/>
    <w:qFormat/>
    <w:uiPriority w:val="0"/>
    <w:rPr>
      <w:rFonts w:ascii="宋体"/>
      <w:sz w:val="18"/>
      <w:szCs w:val="20"/>
    </w:rPr>
  </w:style>
  <w:style w:type="paragraph" w:styleId="18">
    <w:name w:val="Title"/>
    <w:basedOn w:val="1"/>
    <w:next w:val="1"/>
    <w:link w:val="65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19">
    <w:name w:val="annotation subject"/>
    <w:basedOn w:val="5"/>
    <w:next w:val="5"/>
    <w:link w:val="53"/>
    <w:qFormat/>
    <w:uiPriority w:val="0"/>
    <w:rPr>
      <w:b/>
      <w:bCs/>
    </w:rPr>
  </w:style>
  <w:style w:type="paragraph" w:styleId="20">
    <w:name w:val="Body Text First Indent"/>
    <w:basedOn w:val="6"/>
    <w:qFormat/>
    <w:uiPriority w:val="0"/>
    <w:pPr>
      <w:ind w:firstLine="100" w:firstLineChars="100"/>
    </w:p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Emphasis"/>
    <w:basedOn w:val="23"/>
    <w:qFormat/>
    <w:uiPriority w:val="20"/>
    <w:rPr>
      <w:i/>
      <w:iCs/>
    </w:rPr>
  </w:style>
  <w:style w:type="character" w:styleId="25">
    <w:name w:val="Hyperlink"/>
    <w:basedOn w:val="23"/>
    <w:unhideWhenUsed/>
    <w:qFormat/>
    <w:uiPriority w:val="99"/>
    <w:rPr>
      <w:color w:val="0000FF"/>
      <w:u w:val="single"/>
    </w:rPr>
  </w:style>
  <w:style w:type="character" w:styleId="26">
    <w:name w:val="annotation reference"/>
    <w:qFormat/>
    <w:uiPriority w:val="0"/>
    <w:rPr>
      <w:sz w:val="21"/>
      <w:szCs w:val="21"/>
    </w:rPr>
  </w:style>
  <w:style w:type="paragraph" w:customStyle="1" w:styleId="27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Calibri" w:eastAsia="黑体" w:cs="Times New Roman"/>
      <w:sz w:val="21"/>
      <w:szCs w:val="21"/>
      <w:lang w:val="en-US" w:eastAsia="zh-CN" w:bidi="ar-SA"/>
    </w:rPr>
  </w:style>
  <w:style w:type="paragraph" w:customStyle="1" w:styleId="28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Calibri" w:hAnsi="Calibri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29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30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Calibri" w:eastAsia="黑体" w:cs="Times New Roman"/>
      <w:sz w:val="28"/>
      <w:szCs w:val="28"/>
      <w:lang w:val="en-US" w:eastAsia="zh-CN" w:bidi="ar-SA"/>
    </w:rPr>
  </w:style>
  <w:style w:type="paragraph" w:customStyle="1" w:styleId="31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Calibri" w:eastAsia="宋体" w:cs="Times New Roman"/>
      <w:sz w:val="21"/>
      <w:szCs w:val="21"/>
      <w:lang w:val="en-US" w:eastAsia="zh-CN" w:bidi="ar-SA"/>
    </w:rPr>
  </w:style>
  <w:style w:type="paragraph" w:customStyle="1" w:styleId="32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Calibri" w:eastAsia="黑体" w:cs="Times New Roman"/>
      <w:sz w:val="52"/>
      <w:szCs w:val="22"/>
      <w:lang w:val="en-US" w:eastAsia="zh-CN" w:bidi="ar-SA"/>
    </w:rPr>
  </w:style>
  <w:style w:type="paragraph" w:customStyle="1" w:styleId="33">
    <w:name w:val="封面标准英文名称"/>
    <w:basedOn w:val="32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34">
    <w:name w:val="封面一致性程度标识"/>
    <w:basedOn w:val="33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35">
    <w:name w:val="封面标准文稿类别"/>
    <w:basedOn w:val="34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36">
    <w:name w:val="封面标准文稿编辑信息"/>
    <w:basedOn w:val="35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37">
    <w:name w:val="其他发布日期"/>
    <w:basedOn w:val="38"/>
    <w:qFormat/>
    <w:uiPriority w:val="0"/>
    <w:pPr>
      <w:framePr w:wrap="around" w:vAnchor="page" w:hAnchor="text" w:x="1419"/>
    </w:pPr>
  </w:style>
  <w:style w:type="paragraph" w:customStyle="1" w:styleId="38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Calibri" w:hAnsi="Calibri" w:eastAsia="黑体" w:cs="Times New Roman"/>
      <w:sz w:val="28"/>
      <w:szCs w:val="22"/>
      <w:lang w:val="en-US" w:eastAsia="zh-CN" w:bidi="ar-SA"/>
    </w:rPr>
  </w:style>
  <w:style w:type="paragraph" w:customStyle="1" w:styleId="39">
    <w:name w:val="其他实施日期"/>
    <w:basedOn w:val="40"/>
    <w:qFormat/>
    <w:uiPriority w:val="0"/>
    <w:pPr>
      <w:framePr w:wrap="around"/>
    </w:pPr>
  </w:style>
  <w:style w:type="paragraph" w:customStyle="1" w:styleId="40">
    <w:name w:val="实施日期"/>
    <w:basedOn w:val="38"/>
    <w:qFormat/>
    <w:uiPriority w:val="0"/>
    <w:pPr>
      <w:framePr w:wrap="around" w:vAnchor="page" w:hAnchor="text"/>
      <w:jc w:val="right"/>
    </w:pPr>
  </w:style>
  <w:style w:type="paragraph" w:customStyle="1" w:styleId="41">
    <w:name w:val="其他发布部门"/>
    <w:basedOn w:val="42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42">
    <w:name w:val="发布部门"/>
    <w:next w:val="43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Calibri" w:eastAsia="宋体" w:cs="Times New Roman"/>
      <w:b/>
      <w:spacing w:val="20"/>
      <w:w w:val="135"/>
      <w:sz w:val="28"/>
      <w:szCs w:val="22"/>
      <w:lang w:val="en-US" w:eastAsia="zh-CN" w:bidi="ar-SA"/>
    </w:rPr>
  </w:style>
  <w:style w:type="paragraph" w:customStyle="1" w:styleId="43">
    <w:name w:val="段"/>
    <w:link w:val="51"/>
    <w:qFormat/>
    <w:uiPriority w:val="0"/>
    <w:pPr>
      <w:numPr>
        <w:ilvl w:val="1"/>
        <w:numId w:val="1"/>
      </w:numPr>
      <w:tabs>
        <w:tab w:val="center" w:pos="4201"/>
        <w:tab w:val="right" w:leader="dot" w:pos="9298"/>
      </w:tabs>
      <w:autoSpaceDE w:val="0"/>
      <w:autoSpaceDN w:val="0"/>
      <w:spacing w:before="156" w:beforeLines="50" w:after="156" w:afterLines="50"/>
      <w:jc w:val="both"/>
    </w:pPr>
    <w:rPr>
      <w:rFonts w:ascii="黑体" w:hAnsi="黑体" w:eastAsia="黑体" w:cs="Times New Roman"/>
      <w:sz w:val="21"/>
      <w:szCs w:val="22"/>
      <w:lang w:val="en-US" w:eastAsia="zh-CN" w:bidi="ar-SA"/>
    </w:rPr>
  </w:style>
  <w:style w:type="character" w:customStyle="1" w:styleId="44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45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Calibri" w:eastAsia="黑体" w:cs="Times New Roman"/>
      <w:sz w:val="32"/>
      <w:szCs w:val="22"/>
      <w:lang w:val="en-US" w:eastAsia="zh-CN" w:bidi="ar-SA"/>
    </w:rPr>
  </w:style>
  <w:style w:type="paragraph" w:customStyle="1" w:styleId="46">
    <w:name w:val="目次、标准名称标题"/>
    <w:basedOn w:val="1"/>
    <w:next w:val="43"/>
    <w:qFormat/>
    <w:uiPriority w:val="0"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sz w:val="32"/>
      <w:szCs w:val="20"/>
    </w:rPr>
  </w:style>
  <w:style w:type="paragraph" w:customStyle="1" w:styleId="47">
    <w:name w:val="章标题"/>
    <w:next w:val="43"/>
    <w:qFormat/>
    <w:uiPriority w:val="0"/>
    <w:pPr>
      <w:tabs>
        <w:tab w:val="left" w:pos="0"/>
      </w:tabs>
      <w:spacing w:beforeLines="100" w:afterLines="100"/>
      <w:jc w:val="both"/>
      <w:outlineLvl w:val="1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customStyle="1" w:styleId="48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character" w:customStyle="1" w:styleId="49">
    <w:name w:val="页眉 Char"/>
    <w:link w:val="13"/>
    <w:qFormat/>
    <w:uiPriority w:val="99"/>
    <w:rPr>
      <w:kern w:val="2"/>
      <w:sz w:val="18"/>
      <w:szCs w:val="18"/>
    </w:rPr>
  </w:style>
  <w:style w:type="paragraph" w:customStyle="1" w:styleId="50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51">
    <w:name w:val="段 Char"/>
    <w:link w:val="43"/>
    <w:qFormat/>
    <w:uiPriority w:val="0"/>
    <w:rPr>
      <w:rFonts w:ascii="黑体" w:hAnsi="黑体" w:eastAsia="黑体"/>
      <w:sz w:val="21"/>
      <w:szCs w:val="22"/>
    </w:rPr>
  </w:style>
  <w:style w:type="character" w:customStyle="1" w:styleId="52">
    <w:name w:val="批注文字 Char"/>
    <w:link w:val="5"/>
    <w:qFormat/>
    <w:uiPriority w:val="0"/>
    <w:rPr>
      <w:kern w:val="2"/>
      <w:sz w:val="21"/>
      <w:szCs w:val="24"/>
    </w:rPr>
  </w:style>
  <w:style w:type="character" w:customStyle="1" w:styleId="53">
    <w:name w:val="批注主题 Char"/>
    <w:link w:val="19"/>
    <w:qFormat/>
    <w:uiPriority w:val="0"/>
    <w:rPr>
      <w:b/>
      <w:bCs/>
      <w:kern w:val="2"/>
      <w:sz w:val="21"/>
      <w:szCs w:val="24"/>
    </w:rPr>
  </w:style>
  <w:style w:type="character" w:customStyle="1" w:styleId="54">
    <w:name w:val="批注框文本 Char"/>
    <w:link w:val="11"/>
    <w:qFormat/>
    <w:uiPriority w:val="0"/>
    <w:rPr>
      <w:kern w:val="2"/>
      <w:sz w:val="18"/>
      <w:szCs w:val="18"/>
    </w:rPr>
  </w:style>
  <w:style w:type="paragraph" w:styleId="55">
    <w:name w:val="List Paragraph"/>
    <w:basedOn w:val="1"/>
    <w:qFormat/>
    <w:uiPriority w:val="99"/>
  </w:style>
  <w:style w:type="character" w:customStyle="1" w:styleId="56">
    <w:name w:val="页脚 Char"/>
    <w:link w:val="12"/>
    <w:qFormat/>
    <w:uiPriority w:val="99"/>
    <w:rPr>
      <w:rFonts w:ascii="Calibri" w:hAnsi="Calibri" w:eastAsia="宋体" w:cs="Times New Roman"/>
      <w:kern w:val="2"/>
      <w:sz w:val="18"/>
      <w:szCs w:val="24"/>
    </w:rPr>
  </w:style>
  <w:style w:type="paragraph" w:customStyle="1" w:styleId="57">
    <w:name w:val="一级条标题"/>
    <w:next w:val="43"/>
    <w:qFormat/>
    <w:uiPriority w:val="0"/>
    <w:pPr>
      <w:spacing w:beforeLines="50" w:afterLines="50"/>
      <w:ind w:left="142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8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60">
    <w:name w:val="二级条标题"/>
    <w:basedOn w:val="57"/>
    <w:next w:val="43"/>
    <w:qFormat/>
    <w:uiPriority w:val="0"/>
    <w:pPr>
      <w:spacing w:before="50" w:after="50"/>
      <w:ind w:left="0"/>
      <w:outlineLvl w:val="3"/>
    </w:pPr>
  </w:style>
  <w:style w:type="paragraph" w:customStyle="1" w:styleId="61">
    <w:name w:val="三级条标题"/>
    <w:basedOn w:val="60"/>
    <w:next w:val="43"/>
    <w:qFormat/>
    <w:uiPriority w:val="0"/>
    <w:pPr>
      <w:ind w:left="1134"/>
      <w:outlineLvl w:val="4"/>
    </w:pPr>
  </w:style>
  <w:style w:type="paragraph" w:customStyle="1" w:styleId="62">
    <w:name w:val="四级条标题"/>
    <w:basedOn w:val="61"/>
    <w:next w:val="43"/>
    <w:qFormat/>
    <w:uiPriority w:val="0"/>
    <w:pPr>
      <w:ind w:left="0"/>
      <w:outlineLvl w:val="5"/>
    </w:pPr>
  </w:style>
  <w:style w:type="paragraph" w:customStyle="1" w:styleId="63">
    <w:name w:val="五级条标题"/>
    <w:basedOn w:val="62"/>
    <w:next w:val="43"/>
    <w:qFormat/>
    <w:uiPriority w:val="0"/>
    <w:pPr>
      <w:outlineLvl w:val="6"/>
    </w:pPr>
  </w:style>
  <w:style w:type="character" w:customStyle="1" w:styleId="64">
    <w:name w:val="纯文本 Char"/>
    <w:link w:val="9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65">
    <w:name w:val="标题 Char"/>
    <w:link w:val="18"/>
    <w:qFormat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styleId="66">
    <w:name w:val="Placeholder Text"/>
    <w:basedOn w:val="23"/>
    <w:semiHidden/>
    <w:qFormat/>
    <w:uiPriority w:val="99"/>
    <w:rPr>
      <w:color w:val="808080"/>
    </w:rPr>
  </w:style>
  <w:style w:type="paragraph" w:customStyle="1" w:styleId="67">
    <w:name w:val="TOC 标题1"/>
    <w:basedOn w:val="2"/>
    <w:next w:val="1"/>
    <w:unhideWhenUsed/>
    <w:qFormat/>
    <w:uiPriority w:val="39"/>
    <w:pPr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kern w:val="0"/>
      <w:sz w:val="32"/>
      <w:szCs w:val="32"/>
    </w:rPr>
  </w:style>
  <w:style w:type="paragraph" w:customStyle="1" w:styleId="68">
    <w:name w:val="章"/>
    <w:basedOn w:val="1"/>
    <w:next w:val="43"/>
    <w:qFormat/>
    <w:uiPriority w:val="0"/>
    <w:pPr>
      <w:numPr>
        <w:ilvl w:val="0"/>
        <w:numId w:val="2"/>
      </w:numPr>
      <w:adjustRightInd w:val="0"/>
      <w:spacing w:before="156" w:beforeLines="50" w:after="156" w:afterLines="50"/>
      <w:ind w:left="0"/>
      <w:jc w:val="center"/>
      <w:outlineLvl w:val="0"/>
    </w:pPr>
    <w:rPr>
      <w:b/>
      <w:kern w:val="21"/>
      <w:sz w:val="32"/>
      <w:szCs w:val="32"/>
    </w:rPr>
  </w:style>
  <w:style w:type="character" w:customStyle="1" w:styleId="69">
    <w:name w:val="标题 2 Char"/>
    <w:basedOn w:val="23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70">
    <w:name w:val="附录A列表"/>
    <w:basedOn w:val="1"/>
    <w:qFormat/>
    <w:uiPriority w:val="0"/>
    <w:pPr>
      <w:keepNext/>
      <w:spacing w:line="300" w:lineRule="auto"/>
      <w:jc w:val="center"/>
    </w:pPr>
  </w:style>
  <w:style w:type="paragraph" w:customStyle="1" w:styleId="71">
    <w:name w:val="xl26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Cs w:val="21"/>
    </w:rPr>
  </w:style>
  <w:style w:type="paragraph" w:customStyle="1" w:styleId="72">
    <w:name w:val="正文1"/>
    <w:qFormat/>
    <w:uiPriority w:val="0"/>
    <w:pPr>
      <w:spacing w:line="360" w:lineRule="auto"/>
      <w:ind w:firstLine="200" w:firstLineChars="200"/>
    </w:pPr>
    <w:rPr>
      <w:rFonts w:ascii="Calibri" w:hAnsi="Calibri" w:eastAsia="宋体" w:cs="Times New Roman"/>
      <w:sz w:val="24"/>
      <w:lang w:val="en-US" w:eastAsia="zh-CN" w:bidi="ar-SA"/>
    </w:rPr>
  </w:style>
  <w:style w:type="paragraph" w:customStyle="1" w:styleId="73">
    <w:name w:val="Char1"/>
    <w:basedOn w:val="1"/>
    <w:qFormat/>
    <w:uiPriority w:val="0"/>
    <w:pPr>
      <w:spacing w:before="78" w:beforeLines="25" w:after="78" w:afterLines="25" w:line="360" w:lineRule="auto"/>
      <w:jc w:val="left"/>
    </w:pPr>
    <w:rPr>
      <w:rFonts w:ascii="宋体" w:hAnsi="宋体" w:cs="宋体"/>
      <w:bCs/>
      <w:sz w:val="24"/>
    </w:rPr>
  </w:style>
  <w:style w:type="table" w:customStyle="1" w:styleId="74">
    <w:name w:val="TableGrid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5">
    <w:name w:val="TOC Heading"/>
    <w:basedOn w:val="2"/>
    <w:next w:val="1"/>
    <w:unhideWhenUsed/>
    <w:qFormat/>
    <w:uiPriority w:val="39"/>
    <w:pPr>
      <w:tabs>
        <w:tab w:val="clear" w:pos="4201"/>
        <w:tab w:val="clear" w:pos="9298"/>
      </w:tabs>
      <w:autoSpaceDE/>
      <w:autoSpaceDN/>
      <w:spacing w:before="240" w:after="0" w:line="259" w:lineRule="auto"/>
      <w:ind w:firstLine="0" w:firstLineChars="0"/>
      <w:jc w:val="left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kern w:val="0"/>
      <w:sz w:val="32"/>
      <w:szCs w:val="32"/>
    </w:rPr>
  </w:style>
  <w:style w:type="character" w:customStyle="1" w:styleId="76">
    <w:name w:val="日期 Char"/>
    <w:basedOn w:val="23"/>
    <w:link w:val="10"/>
    <w:qFormat/>
    <w:uiPriority w:val="0"/>
    <w:rPr>
      <w:rFonts w:asciiTheme="minorEastAsia" w:hAnsiTheme="minorEastAsia" w:eastAsiaTheme="minorEastAsia"/>
      <w:sz w:val="21"/>
      <w:szCs w:val="22"/>
    </w:rPr>
  </w:style>
  <w:style w:type="paragraph" w:customStyle="1" w:styleId="77">
    <w:name w:val="Other|1"/>
    <w:basedOn w:val="1"/>
    <w:qFormat/>
    <w:uiPriority w:val="0"/>
    <w:pPr>
      <w:widowControl w:val="0"/>
      <w:shd w:val="clear" w:color="auto" w:fill="auto"/>
      <w:spacing w:after="180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78">
    <w:name w:val="正文样式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2449</Words>
  <Characters>2932</Characters>
  <Lines>46</Lines>
  <Paragraphs>13</Paragraphs>
  <TotalTime>3</TotalTime>
  <ScaleCrop>false</ScaleCrop>
  <LinksUpToDate>false</LinksUpToDate>
  <CharactersWithSpaces>2997</CharactersWithSpaces>
  <Application>WPS Office_12.1.21861.21861_F1E327BC-269C-435d-A152-05C5408002CA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2022-06-17T22:02:00Z</dcterms:created>
  <dc:creator>梵高先生 </dc:creator>
  <cp:lastModifiedBy>白乙含</cp:lastModifiedBy>
  <cp:lastPrinted>2022-05-12T19:12:00Z</cp:lastPrinted>
  <dcterms:modified xsi:type="dcterms:W3CDTF">2025-09-16T16:40:20Z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2052-12.1.21861.21861</vt:lpwstr>
  </property>
  <property fmtid="{D5CDD505-2E9C-101B-9397-08002B2CF9AE}" pid="3" name="ICV">
    <vt:lpwstr>F893DD02A5F475965316C968C9FECD06_43</vt:lpwstr>
  </property>
  <property fmtid="{D5CDD505-2E9C-101B-9397-08002B2CF9AE}" pid="4" name="KSOTemplateDocerSaveRecord">
    <vt:lpwstr>eyJoZGlkIjoiMDMxYzlkMTQ5MmMwODk1ZjYyYTdiYzQyYmZmNDkzMTMiLCJ1c2VySWQiOiI0Njk4MjA5NzQifQ==</vt:lpwstr>
  </property>
</Properties>
</file>