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3A7A57">
      <w:pPr>
        <w:rPr>
          <w:b/>
          <w:color w:val="000000" w:themeColor="text1"/>
          <w:sz w:val="36"/>
          <w:szCs w:val="36"/>
          <w14:textFill>
            <w14:solidFill>
              <w14:schemeClr w14:val="tx1"/>
            </w14:solidFill>
          </w14:textFill>
        </w:rPr>
      </w:pPr>
    </w:p>
    <w:p w14:paraId="0A742869">
      <w:pPr>
        <w:rPr>
          <w:b/>
          <w:color w:val="000000" w:themeColor="text1"/>
          <w:sz w:val="36"/>
          <w:szCs w:val="36"/>
          <w14:textFill>
            <w14:solidFill>
              <w14:schemeClr w14:val="tx1"/>
            </w14:solidFill>
          </w14:textFill>
        </w:rPr>
      </w:pPr>
    </w:p>
    <w:p w14:paraId="253EFE97">
      <w:pPr>
        <w:rPr>
          <w:b/>
          <w:color w:val="000000" w:themeColor="text1"/>
          <w:sz w:val="36"/>
          <w:szCs w:val="36"/>
          <w14:textFill>
            <w14:solidFill>
              <w14:schemeClr w14:val="tx1"/>
            </w14:solidFill>
          </w14:textFill>
        </w:rPr>
      </w:pPr>
    </w:p>
    <w:p w14:paraId="7CB9B467">
      <w:pPr>
        <w:rPr>
          <w:b/>
          <w:color w:val="000000" w:themeColor="text1"/>
          <w:sz w:val="52"/>
          <w:szCs w:val="52"/>
          <w14:textFill>
            <w14:solidFill>
              <w14:schemeClr w14:val="tx1"/>
            </w14:solidFill>
          </w14:textFill>
        </w:rPr>
      </w:pPr>
    </w:p>
    <w:p w14:paraId="2F839075">
      <w:pPr>
        <w:ind w:firstLine="260" w:firstLineChars="50"/>
        <w:jc w:val="center"/>
        <w:rPr>
          <w:rFonts w:ascii="方正小标宋简体" w:eastAsia="方正小标宋简体"/>
          <w:bCs/>
          <w:color w:val="000000" w:themeColor="text1"/>
          <w:sz w:val="52"/>
          <w:szCs w:val="52"/>
          <w14:textFill>
            <w14:solidFill>
              <w14:schemeClr w14:val="tx1"/>
            </w14:solidFill>
          </w14:textFill>
        </w:rPr>
      </w:pPr>
      <w:r>
        <w:rPr>
          <w:rFonts w:hint="eastAsia" w:ascii="方正小标宋简体" w:eastAsia="方正小标宋简体"/>
          <w:bCs/>
          <w:color w:val="000000" w:themeColor="text1"/>
          <w:sz w:val="52"/>
          <w:szCs w:val="52"/>
          <w14:textFill>
            <w14:solidFill>
              <w14:schemeClr w14:val="tx1"/>
            </w14:solidFill>
          </w14:textFill>
        </w:rPr>
        <w:t>《</w:t>
      </w:r>
      <w:r>
        <w:rPr>
          <w:rFonts w:hint="eastAsia" w:ascii="方正小标宋简体" w:eastAsia="方正小标宋简体"/>
          <w:bCs/>
          <w:color w:val="000000" w:themeColor="text1"/>
          <w:sz w:val="52"/>
          <w:szCs w:val="52"/>
          <w:lang w:eastAsia="zh-CN"/>
          <w14:textFill>
            <w14:solidFill>
              <w14:schemeClr w14:val="tx1"/>
            </w14:solidFill>
          </w14:textFill>
        </w:rPr>
        <w:t>真空和（或）压力浸注（处理）用木材防腐及改性设备机组</w:t>
      </w:r>
      <w:r>
        <w:rPr>
          <w:rFonts w:hint="eastAsia" w:ascii="方正小标宋简体" w:eastAsia="方正小标宋简体"/>
          <w:bCs/>
          <w:color w:val="000000" w:themeColor="text1"/>
          <w:sz w:val="52"/>
          <w:szCs w:val="52"/>
          <w14:textFill>
            <w14:solidFill>
              <w14:schemeClr w14:val="tx1"/>
            </w14:solidFill>
          </w14:textFill>
        </w:rPr>
        <w:t>》</w:t>
      </w:r>
    </w:p>
    <w:p w14:paraId="00A26CB8">
      <w:pPr>
        <w:ind w:firstLine="260" w:firstLineChars="50"/>
        <w:jc w:val="center"/>
        <w:rPr>
          <w:rFonts w:ascii="方正小标宋简体" w:eastAsia="方正小标宋简体"/>
          <w:bCs/>
          <w:color w:val="000000" w:themeColor="text1"/>
          <w:sz w:val="52"/>
          <w:szCs w:val="52"/>
          <w14:textFill>
            <w14:solidFill>
              <w14:schemeClr w14:val="tx1"/>
            </w14:solidFill>
          </w14:textFill>
        </w:rPr>
      </w:pPr>
      <w:r>
        <w:rPr>
          <w:rFonts w:hint="eastAsia" w:ascii="方正小标宋简体" w:eastAsia="方正小标宋简体"/>
          <w:bCs/>
          <w:color w:val="000000" w:themeColor="text1"/>
          <w:sz w:val="52"/>
          <w:szCs w:val="52"/>
          <w14:textFill>
            <w14:solidFill>
              <w14:schemeClr w14:val="tx1"/>
            </w14:solidFill>
          </w14:textFill>
        </w:rPr>
        <w:t>行业标准编制说明</w:t>
      </w:r>
    </w:p>
    <w:p w14:paraId="72316DA3">
      <w:pPr>
        <w:jc w:val="center"/>
        <w:rPr>
          <w:b/>
          <w:color w:val="000000" w:themeColor="text1"/>
          <w:sz w:val="44"/>
          <w:szCs w:val="44"/>
          <w14:textFill>
            <w14:solidFill>
              <w14:schemeClr w14:val="tx1"/>
            </w14:solidFill>
          </w14:textFill>
        </w:rPr>
      </w:pPr>
    </w:p>
    <w:p w14:paraId="6D47F927">
      <w:pPr>
        <w:jc w:val="center"/>
        <w:rPr>
          <w:b/>
          <w:color w:val="000000" w:themeColor="text1"/>
          <w:sz w:val="44"/>
          <w:szCs w:val="44"/>
          <w14:textFill>
            <w14:solidFill>
              <w14:schemeClr w14:val="tx1"/>
            </w14:solidFill>
          </w14:textFill>
        </w:rPr>
      </w:pPr>
      <w:r>
        <w:rPr>
          <w:rFonts w:hint="eastAsia"/>
          <w:b/>
          <w:color w:val="000000" w:themeColor="text1"/>
          <w:sz w:val="44"/>
          <w:szCs w:val="44"/>
          <w14:textFill>
            <w14:solidFill>
              <w14:schemeClr w14:val="tx1"/>
            </w14:solidFill>
          </w14:textFill>
        </w:rPr>
        <w:t>（征求意见稿）</w:t>
      </w:r>
    </w:p>
    <w:p w14:paraId="7D2E4AF8">
      <w:pPr>
        <w:jc w:val="center"/>
        <w:rPr>
          <w:b/>
          <w:color w:val="000000" w:themeColor="text1"/>
          <w:sz w:val="44"/>
          <w:szCs w:val="44"/>
          <w14:textFill>
            <w14:solidFill>
              <w14:schemeClr w14:val="tx1"/>
            </w14:solidFill>
          </w14:textFill>
        </w:rPr>
      </w:pPr>
    </w:p>
    <w:p w14:paraId="73FF0B65">
      <w:pPr>
        <w:jc w:val="center"/>
        <w:rPr>
          <w:b/>
          <w:color w:val="000000" w:themeColor="text1"/>
          <w:sz w:val="44"/>
          <w:szCs w:val="44"/>
          <w14:textFill>
            <w14:solidFill>
              <w14:schemeClr w14:val="tx1"/>
            </w14:solidFill>
          </w14:textFill>
        </w:rPr>
      </w:pPr>
    </w:p>
    <w:p w14:paraId="1A6512E9">
      <w:pPr>
        <w:rPr>
          <w:b/>
          <w:color w:val="000000" w:themeColor="text1"/>
          <w:sz w:val="44"/>
          <w:szCs w:val="44"/>
          <w14:textFill>
            <w14:solidFill>
              <w14:schemeClr w14:val="tx1"/>
            </w14:solidFill>
          </w14:textFill>
        </w:rPr>
      </w:pPr>
    </w:p>
    <w:p w14:paraId="329339CE">
      <w:pPr>
        <w:rPr>
          <w:b/>
          <w:color w:val="000000" w:themeColor="text1"/>
          <w:sz w:val="44"/>
          <w:szCs w:val="44"/>
          <w14:textFill>
            <w14:solidFill>
              <w14:schemeClr w14:val="tx1"/>
            </w14:solidFill>
          </w14:textFill>
        </w:rPr>
      </w:pPr>
    </w:p>
    <w:p w14:paraId="551D6069">
      <w:pPr>
        <w:rPr>
          <w:b/>
          <w:color w:val="000000" w:themeColor="text1"/>
          <w:sz w:val="44"/>
          <w:szCs w:val="44"/>
          <w14:textFill>
            <w14:solidFill>
              <w14:schemeClr w14:val="tx1"/>
            </w14:solidFill>
          </w14:textFill>
        </w:rPr>
      </w:pPr>
    </w:p>
    <w:p w14:paraId="63088E69">
      <w:pPr>
        <w:jc w:val="center"/>
        <w:rPr>
          <w:b/>
          <w:color w:val="000000" w:themeColor="text1"/>
          <w:sz w:val="44"/>
          <w:szCs w:val="44"/>
          <w14:textFill>
            <w14:solidFill>
              <w14:schemeClr w14:val="tx1"/>
            </w14:solidFill>
          </w14:textFill>
        </w:rPr>
      </w:pPr>
    </w:p>
    <w:p w14:paraId="5A4C2C0F">
      <w:pPr>
        <w:jc w:val="center"/>
        <w:rPr>
          <w:b/>
          <w:color w:val="000000" w:themeColor="text1"/>
          <w:sz w:val="44"/>
          <w:szCs w:val="44"/>
          <w14:textFill>
            <w14:solidFill>
              <w14:schemeClr w14:val="tx1"/>
            </w14:solidFill>
          </w14:textFill>
        </w:rPr>
      </w:pPr>
    </w:p>
    <w:p w14:paraId="37431417">
      <w:pPr>
        <w:jc w:val="center"/>
        <w:rPr>
          <w:b/>
          <w:color w:val="000000" w:themeColor="text1"/>
          <w:sz w:val="44"/>
          <w:szCs w:val="44"/>
          <w14:textFill>
            <w14:solidFill>
              <w14:schemeClr w14:val="tx1"/>
            </w14:solidFill>
          </w14:textFill>
        </w:rPr>
      </w:pPr>
    </w:p>
    <w:p w14:paraId="23668BA0">
      <w:pPr>
        <w:jc w:val="center"/>
        <w:rPr>
          <w:rFonts w:eastAsiaTheme="minorEastAsia"/>
          <w:b/>
          <w:color w:val="000000" w:themeColor="text1"/>
          <w:sz w:val="36"/>
          <w:szCs w:val="36"/>
          <w14:textFill>
            <w14:solidFill>
              <w14:schemeClr w14:val="tx1"/>
            </w14:solidFill>
          </w14:textFill>
        </w:rPr>
      </w:pPr>
      <w:r>
        <w:rPr>
          <w:rFonts w:hint="eastAsia" w:eastAsiaTheme="minorEastAsia"/>
          <w:b/>
          <w:color w:val="000000" w:themeColor="text1"/>
          <w:sz w:val="36"/>
          <w:szCs w:val="36"/>
          <w14:textFill>
            <w14:solidFill>
              <w14:schemeClr w14:val="tx1"/>
            </w14:solidFill>
          </w14:textFill>
        </w:rPr>
        <w:t>2</w:t>
      </w:r>
      <w:r>
        <w:rPr>
          <w:rFonts w:eastAsiaTheme="minorEastAsia"/>
          <w:b/>
          <w:color w:val="000000" w:themeColor="text1"/>
          <w:sz w:val="36"/>
          <w:szCs w:val="36"/>
          <w14:textFill>
            <w14:solidFill>
              <w14:schemeClr w14:val="tx1"/>
            </w14:solidFill>
          </w14:textFill>
        </w:rPr>
        <w:t>02</w:t>
      </w:r>
      <w:r>
        <w:rPr>
          <w:rFonts w:hint="eastAsia" w:eastAsiaTheme="minorEastAsia"/>
          <w:b/>
          <w:color w:val="000000" w:themeColor="text1"/>
          <w:sz w:val="36"/>
          <w:szCs w:val="36"/>
          <w:lang w:val="en-US" w:eastAsia="zh-CN"/>
          <w14:textFill>
            <w14:solidFill>
              <w14:schemeClr w14:val="tx1"/>
            </w14:solidFill>
          </w14:textFill>
        </w:rPr>
        <w:t>5</w:t>
      </w:r>
      <w:r>
        <w:rPr>
          <w:rFonts w:eastAsiaTheme="minorEastAsia"/>
          <w:b/>
          <w:color w:val="000000" w:themeColor="text1"/>
          <w:sz w:val="36"/>
          <w:szCs w:val="36"/>
          <w14:textFill>
            <w14:solidFill>
              <w14:schemeClr w14:val="tx1"/>
            </w14:solidFill>
          </w14:textFill>
        </w:rPr>
        <w:t>年</w:t>
      </w:r>
      <w:r>
        <w:rPr>
          <w:rFonts w:hint="eastAsia" w:eastAsiaTheme="minorEastAsia"/>
          <w:b/>
          <w:color w:val="000000" w:themeColor="text1"/>
          <w:sz w:val="36"/>
          <w:szCs w:val="36"/>
          <w:lang w:val="en-US" w:eastAsia="zh-CN"/>
          <w14:textFill>
            <w14:solidFill>
              <w14:schemeClr w14:val="tx1"/>
            </w14:solidFill>
          </w14:textFill>
        </w:rPr>
        <w:t>9</w:t>
      </w:r>
      <w:r>
        <w:rPr>
          <w:rFonts w:eastAsiaTheme="minorEastAsia"/>
          <w:b/>
          <w:color w:val="000000" w:themeColor="text1"/>
          <w:sz w:val="36"/>
          <w:szCs w:val="36"/>
          <w14:textFill>
            <w14:solidFill>
              <w14:schemeClr w14:val="tx1"/>
            </w14:solidFill>
          </w14:textFill>
        </w:rPr>
        <w:t>月</w:t>
      </w:r>
    </w:p>
    <w:p w14:paraId="300747BA">
      <w:pPr>
        <w:pStyle w:val="8"/>
        <w:framePr w:w="0" w:hRule="auto" w:wrap="auto" w:vAnchor="margin" w:hAnchor="text" w:xAlign="left" w:yAlign="inline"/>
        <w:spacing w:line="360" w:lineRule="auto"/>
        <w:rPr>
          <w:rFonts w:ascii="Times New Roman" w:eastAsia="宋体"/>
          <w:color w:val="000000" w:themeColor="text1"/>
          <w:sz w:val="32"/>
          <w:szCs w:val="32"/>
          <w14:textFill>
            <w14:solidFill>
              <w14:schemeClr w14:val="tx1"/>
            </w14:solidFill>
          </w14:textFill>
        </w:rPr>
      </w:pPr>
      <w:r>
        <w:rPr>
          <w:rFonts w:ascii="Times New Roman" w:eastAsia="宋体"/>
          <w:color w:val="000000" w:themeColor="text1"/>
          <w:sz w:val="32"/>
          <w:szCs w:val="32"/>
          <w14:textFill>
            <w14:solidFill>
              <w14:schemeClr w14:val="tx1"/>
            </w14:solidFill>
          </w14:textFill>
        </w:rPr>
        <w:br w:type="page"/>
      </w:r>
    </w:p>
    <w:sdt>
      <w:sdtPr>
        <w:rPr>
          <w:rFonts w:ascii="Times New Roman" w:hAnsi="Times New Roman" w:eastAsia="宋体" w:cs="Times New Roman"/>
          <w:color w:val="000000" w:themeColor="text1"/>
          <w:kern w:val="2"/>
          <w:sz w:val="21"/>
          <w:szCs w:val="24"/>
          <w:lang w:val="zh-CN"/>
          <w14:textFill>
            <w14:solidFill>
              <w14:schemeClr w14:val="tx1"/>
            </w14:solidFill>
          </w14:textFill>
        </w:rPr>
        <w:id w:val="207385740"/>
        <w:docPartObj>
          <w:docPartGallery w:val="Table of Contents"/>
          <w:docPartUnique/>
        </w:docPartObj>
      </w:sdtPr>
      <w:sdtEndPr>
        <w:rPr>
          <w:rFonts w:ascii="宋体" w:hAnsi="宋体" w:eastAsia="宋体" w:cs="宋体"/>
          <w:b/>
          <w:bCs/>
          <w:color w:val="000000" w:themeColor="text1"/>
          <w:kern w:val="0"/>
          <w:sz w:val="24"/>
          <w:szCs w:val="24"/>
          <w:lang w:val="zh-CN"/>
          <w14:textFill>
            <w14:solidFill>
              <w14:schemeClr w14:val="tx1"/>
            </w14:solidFill>
          </w14:textFill>
        </w:rPr>
      </w:sdtEndPr>
      <w:sdtContent>
        <w:p w14:paraId="225772CE">
          <w:pPr>
            <w:pStyle w:val="9"/>
            <w:spacing w:before="0" w:line="360" w:lineRule="auto"/>
            <w:jc w:val="both"/>
            <w:rPr>
              <w:rFonts w:ascii="Times New Roman" w:hAnsi="Times New Roman" w:eastAsia="宋体" w:cs="Times New Roman"/>
              <w:color w:val="000000" w:themeColor="text1"/>
              <w:kern w:val="2"/>
              <w:sz w:val="21"/>
              <w:szCs w:val="24"/>
              <w:lang w:val="zh-CN"/>
              <w14:textFill>
                <w14:solidFill>
                  <w14:schemeClr w14:val="tx1"/>
                </w14:solidFill>
              </w14:textFill>
            </w:rPr>
          </w:pPr>
        </w:p>
        <w:p w14:paraId="0FDC0036">
          <w:pPr>
            <w:pStyle w:val="9"/>
            <w:spacing w:before="0" w:line="360" w:lineRule="auto"/>
            <w:jc w:val="center"/>
            <w:rPr>
              <w:rFonts w:ascii="Times New Roman" w:hAnsi="Times New Roman" w:eastAsia="黑体" w:cs="Times New Roman"/>
              <w:b/>
              <w:color w:val="000000" w:themeColor="text1"/>
              <w:lang w:val="zh-CN"/>
              <w14:textFill>
                <w14:solidFill>
                  <w14:schemeClr w14:val="tx1"/>
                </w14:solidFill>
              </w14:textFill>
            </w:rPr>
          </w:pPr>
          <w:r>
            <w:rPr>
              <w:rFonts w:ascii="Times New Roman" w:hAnsi="Times New Roman" w:eastAsia="黑体" w:cs="Times New Roman"/>
              <w:b/>
              <w:color w:val="000000" w:themeColor="text1"/>
              <w:lang w:val="zh-CN"/>
              <w14:textFill>
                <w14:solidFill>
                  <w14:schemeClr w14:val="tx1"/>
                </w14:solidFill>
              </w14:textFill>
            </w:rPr>
            <w:t>目  录</w:t>
          </w:r>
        </w:p>
        <w:p w14:paraId="0600D403">
          <w:pPr>
            <w:jc w:val="both"/>
            <w:rPr>
              <w:color w:val="000000" w:themeColor="text1"/>
              <w:lang w:val="zh-CN"/>
              <w14:textFill>
                <w14:solidFill>
                  <w14:schemeClr w14:val="tx1"/>
                </w14:solidFill>
              </w14:textFill>
            </w:rPr>
          </w:pPr>
        </w:p>
        <w:p w14:paraId="73245B23">
          <w:pPr>
            <w:pStyle w:val="5"/>
            <w:tabs>
              <w:tab w:val="right" w:leader="dot" w:pos="9468"/>
            </w:tabs>
            <w:rPr>
              <w:sz w:val="28"/>
              <w:szCs w:val="28"/>
            </w:rPr>
          </w:pPr>
          <w:r>
            <w:rPr>
              <w:rFonts w:asciiTheme="minorEastAsia" w:hAnsiTheme="minorEastAsia" w:eastAsiaTheme="minorEastAsia"/>
              <w:bCs/>
              <w:color w:val="000000" w:themeColor="text1"/>
              <w:sz w:val="28"/>
              <w14:textFill>
                <w14:solidFill>
                  <w14:schemeClr w14:val="tx1"/>
                </w14:solidFill>
              </w14:textFill>
            </w:rPr>
            <w:fldChar w:fldCharType="begin"/>
          </w:r>
          <w:r>
            <w:rPr>
              <w:rFonts w:asciiTheme="minorEastAsia" w:hAnsiTheme="minorEastAsia" w:eastAsiaTheme="minorEastAsia"/>
              <w:bCs/>
              <w:color w:val="000000" w:themeColor="text1"/>
              <w:sz w:val="28"/>
              <w14:textFill>
                <w14:solidFill>
                  <w14:schemeClr w14:val="tx1"/>
                </w14:solidFill>
              </w14:textFill>
            </w:rPr>
            <w:instrText xml:space="preserve"> TOC \o "1-3" \h \z \u </w:instrText>
          </w:r>
          <w:r>
            <w:rPr>
              <w:rFonts w:asciiTheme="minorEastAsia" w:hAnsiTheme="minorEastAsia" w:eastAsiaTheme="minorEastAsia"/>
              <w:bCs/>
              <w:color w:val="000000" w:themeColor="text1"/>
              <w:sz w:val="28"/>
              <w14:textFill>
                <w14:solidFill>
                  <w14:schemeClr w14:val="tx1"/>
                </w14:solidFill>
              </w14:textFill>
            </w:rPr>
            <w:fldChar w:fldCharType="separate"/>
          </w:r>
          <w:r>
            <w:rPr>
              <w:rFonts w:asciiTheme="minorEastAsia" w:hAnsiTheme="minorEastAsia" w:eastAsiaTheme="minorEastAsia"/>
              <w:bCs/>
              <w:color w:val="000000" w:themeColor="text1"/>
              <w:sz w:val="28"/>
              <w:szCs w:val="28"/>
              <w14:textFill>
                <w14:solidFill>
                  <w14:schemeClr w14:val="tx1"/>
                </w14:solidFill>
              </w14:textFill>
            </w:rPr>
            <w:fldChar w:fldCharType="begin"/>
          </w:r>
          <w:r>
            <w:rPr>
              <w:rFonts w:asciiTheme="minorEastAsia" w:hAnsiTheme="minorEastAsia" w:eastAsiaTheme="minorEastAsia"/>
              <w:bCs/>
              <w:sz w:val="28"/>
              <w:szCs w:val="28"/>
            </w:rPr>
            <w:instrText xml:space="preserve"> HYPERLINK \l _Toc30336 </w:instrText>
          </w:r>
          <w:r>
            <w:rPr>
              <w:rFonts w:asciiTheme="minorEastAsia" w:hAnsiTheme="minorEastAsia" w:eastAsiaTheme="minorEastAsia"/>
              <w:bCs/>
              <w:sz w:val="28"/>
              <w:szCs w:val="28"/>
            </w:rPr>
            <w:fldChar w:fldCharType="separate"/>
          </w:r>
          <w:r>
            <w:rPr>
              <w:rFonts w:ascii="Times New Roman"/>
              <w:sz w:val="28"/>
              <w:szCs w:val="32"/>
            </w:rPr>
            <w:t>1 标准编制工作简况</w:t>
          </w:r>
          <w:r>
            <w:rPr>
              <w:sz w:val="28"/>
              <w:szCs w:val="28"/>
            </w:rPr>
            <w:tab/>
          </w:r>
          <w:r>
            <w:rPr>
              <w:sz w:val="28"/>
              <w:szCs w:val="28"/>
            </w:rPr>
            <w:fldChar w:fldCharType="begin"/>
          </w:r>
          <w:r>
            <w:rPr>
              <w:sz w:val="28"/>
              <w:szCs w:val="28"/>
            </w:rPr>
            <w:instrText xml:space="preserve"> PAGEREF _Toc30336 \h </w:instrText>
          </w:r>
          <w:r>
            <w:rPr>
              <w:sz w:val="28"/>
              <w:szCs w:val="28"/>
            </w:rPr>
            <w:fldChar w:fldCharType="separate"/>
          </w:r>
          <w:r>
            <w:rPr>
              <w:sz w:val="28"/>
              <w:szCs w:val="28"/>
            </w:rPr>
            <w:t>3</w:t>
          </w:r>
          <w:r>
            <w:rPr>
              <w:sz w:val="28"/>
              <w:szCs w:val="28"/>
            </w:rPr>
            <w:fldChar w:fldCharType="end"/>
          </w:r>
          <w:r>
            <w:rPr>
              <w:rFonts w:asciiTheme="minorEastAsia" w:hAnsiTheme="minorEastAsia" w:eastAsiaTheme="minorEastAsia"/>
              <w:bCs/>
              <w:color w:val="000000" w:themeColor="text1"/>
              <w:sz w:val="28"/>
              <w:szCs w:val="28"/>
              <w14:textFill>
                <w14:solidFill>
                  <w14:schemeClr w14:val="tx1"/>
                </w14:solidFill>
              </w14:textFill>
            </w:rPr>
            <w:fldChar w:fldCharType="end"/>
          </w:r>
        </w:p>
        <w:p w14:paraId="18C90AA5">
          <w:pPr>
            <w:pStyle w:val="5"/>
            <w:tabs>
              <w:tab w:val="right" w:leader="dot" w:pos="9468"/>
            </w:tabs>
            <w:rPr>
              <w:sz w:val="28"/>
              <w:szCs w:val="28"/>
            </w:rPr>
          </w:pPr>
          <w:r>
            <w:rPr>
              <w:rFonts w:asciiTheme="minorEastAsia" w:hAnsiTheme="minorEastAsia" w:eastAsiaTheme="minorEastAsia"/>
              <w:bCs/>
              <w:color w:val="000000" w:themeColor="text1"/>
              <w:sz w:val="28"/>
              <w:szCs w:val="28"/>
              <w:lang w:val="zh-CN"/>
              <w14:textFill>
                <w14:solidFill>
                  <w14:schemeClr w14:val="tx1"/>
                </w14:solidFill>
              </w14:textFill>
            </w:rPr>
            <w:fldChar w:fldCharType="begin"/>
          </w:r>
          <w:r>
            <w:rPr>
              <w:rFonts w:asciiTheme="minorEastAsia" w:hAnsiTheme="minorEastAsia" w:eastAsiaTheme="minorEastAsia"/>
              <w:bCs/>
              <w:sz w:val="28"/>
              <w:szCs w:val="28"/>
              <w:lang w:val="zh-CN"/>
            </w:rPr>
            <w:instrText xml:space="preserve"> HYPERLINK \l _Toc10897 </w:instrText>
          </w:r>
          <w:r>
            <w:rPr>
              <w:rFonts w:asciiTheme="minorEastAsia" w:hAnsiTheme="minorEastAsia" w:eastAsiaTheme="minorEastAsia"/>
              <w:bCs/>
              <w:sz w:val="28"/>
              <w:szCs w:val="28"/>
              <w:lang w:val="zh-CN"/>
            </w:rPr>
            <w:fldChar w:fldCharType="separate"/>
          </w:r>
          <w:r>
            <w:rPr>
              <w:rFonts w:ascii="Times New Roman"/>
              <w:sz w:val="28"/>
              <w:szCs w:val="32"/>
            </w:rPr>
            <w:t>2 标准</w:t>
          </w:r>
          <w:r>
            <w:rPr>
              <w:rFonts w:hint="eastAsia" w:ascii="Times New Roman"/>
              <w:sz w:val="28"/>
              <w:szCs w:val="32"/>
              <w:lang w:val="en-US" w:eastAsia="zh-CN"/>
            </w:rPr>
            <w:t>修订</w:t>
          </w:r>
          <w:r>
            <w:rPr>
              <w:rFonts w:ascii="Times New Roman"/>
              <w:sz w:val="28"/>
              <w:szCs w:val="32"/>
            </w:rPr>
            <w:t>的原则和主要内容</w:t>
          </w:r>
          <w:r>
            <w:rPr>
              <w:sz w:val="28"/>
              <w:szCs w:val="28"/>
            </w:rPr>
            <w:tab/>
          </w:r>
          <w:r>
            <w:rPr>
              <w:sz w:val="28"/>
              <w:szCs w:val="28"/>
            </w:rPr>
            <w:fldChar w:fldCharType="begin"/>
          </w:r>
          <w:r>
            <w:rPr>
              <w:sz w:val="28"/>
              <w:szCs w:val="28"/>
            </w:rPr>
            <w:instrText xml:space="preserve"> PAGEREF _Toc10897 \h </w:instrText>
          </w:r>
          <w:r>
            <w:rPr>
              <w:sz w:val="28"/>
              <w:szCs w:val="28"/>
            </w:rPr>
            <w:fldChar w:fldCharType="separate"/>
          </w:r>
          <w:r>
            <w:rPr>
              <w:sz w:val="28"/>
              <w:szCs w:val="28"/>
            </w:rPr>
            <w:t>5</w:t>
          </w:r>
          <w:r>
            <w:rPr>
              <w:sz w:val="28"/>
              <w:szCs w:val="28"/>
            </w:rPr>
            <w:fldChar w:fldCharType="end"/>
          </w:r>
          <w:r>
            <w:rPr>
              <w:rFonts w:asciiTheme="minorEastAsia" w:hAnsiTheme="minorEastAsia" w:eastAsiaTheme="minorEastAsia"/>
              <w:bCs/>
              <w:color w:val="000000" w:themeColor="text1"/>
              <w:sz w:val="28"/>
              <w:szCs w:val="28"/>
              <w:lang w:val="zh-CN"/>
              <w14:textFill>
                <w14:solidFill>
                  <w14:schemeClr w14:val="tx1"/>
                </w14:solidFill>
              </w14:textFill>
            </w:rPr>
            <w:fldChar w:fldCharType="end"/>
          </w:r>
        </w:p>
        <w:p w14:paraId="63A3E177">
          <w:pPr>
            <w:pStyle w:val="5"/>
            <w:tabs>
              <w:tab w:val="right" w:leader="dot" w:pos="9468"/>
            </w:tabs>
            <w:rPr>
              <w:sz w:val="28"/>
              <w:szCs w:val="28"/>
            </w:rPr>
          </w:pPr>
          <w:r>
            <w:rPr>
              <w:rFonts w:asciiTheme="minorEastAsia" w:hAnsiTheme="minorEastAsia" w:eastAsiaTheme="minorEastAsia"/>
              <w:bCs/>
              <w:color w:val="000000" w:themeColor="text1"/>
              <w:sz w:val="28"/>
              <w:szCs w:val="28"/>
              <w:lang w:val="zh-CN"/>
              <w14:textFill>
                <w14:solidFill>
                  <w14:schemeClr w14:val="tx1"/>
                </w14:solidFill>
              </w14:textFill>
            </w:rPr>
            <w:fldChar w:fldCharType="begin"/>
          </w:r>
          <w:r>
            <w:rPr>
              <w:rFonts w:asciiTheme="minorEastAsia" w:hAnsiTheme="minorEastAsia" w:eastAsiaTheme="minorEastAsia"/>
              <w:bCs/>
              <w:sz w:val="28"/>
              <w:szCs w:val="28"/>
              <w:lang w:val="zh-CN"/>
            </w:rPr>
            <w:instrText xml:space="preserve"> HYPERLINK \l _Toc26386 </w:instrText>
          </w:r>
          <w:r>
            <w:rPr>
              <w:rFonts w:asciiTheme="minorEastAsia" w:hAnsiTheme="minorEastAsia" w:eastAsiaTheme="minorEastAsia"/>
              <w:bCs/>
              <w:sz w:val="28"/>
              <w:szCs w:val="28"/>
              <w:lang w:val="zh-CN"/>
            </w:rPr>
            <w:fldChar w:fldCharType="separate"/>
          </w:r>
          <w:r>
            <w:rPr>
              <w:rFonts w:hint="eastAsia" w:ascii="Times New Roman"/>
              <w:sz w:val="28"/>
              <w:szCs w:val="32"/>
              <w:lang w:val="en-US" w:eastAsia="zh-CN"/>
            </w:rPr>
            <w:t>3</w:t>
          </w:r>
          <w:r>
            <w:rPr>
              <w:rFonts w:ascii="Times New Roman"/>
              <w:sz w:val="28"/>
              <w:szCs w:val="32"/>
            </w:rPr>
            <w:t xml:space="preserve"> 标准中涉及专利</w:t>
          </w:r>
          <w:r>
            <w:rPr>
              <w:rFonts w:hint="eastAsia" w:ascii="Times New Roman"/>
              <w:sz w:val="28"/>
              <w:szCs w:val="32"/>
            </w:rPr>
            <w:t>、知识产权</w:t>
          </w:r>
          <w:r>
            <w:rPr>
              <w:rFonts w:ascii="Times New Roman"/>
              <w:sz w:val="28"/>
              <w:szCs w:val="32"/>
            </w:rPr>
            <w:t>情况说明</w:t>
          </w:r>
          <w:r>
            <w:rPr>
              <w:sz w:val="28"/>
              <w:szCs w:val="28"/>
            </w:rPr>
            <w:tab/>
          </w:r>
          <w:r>
            <w:rPr>
              <w:sz w:val="28"/>
              <w:szCs w:val="28"/>
            </w:rPr>
            <w:fldChar w:fldCharType="begin"/>
          </w:r>
          <w:r>
            <w:rPr>
              <w:sz w:val="28"/>
              <w:szCs w:val="28"/>
            </w:rPr>
            <w:instrText xml:space="preserve"> PAGEREF _Toc26386 \h </w:instrText>
          </w:r>
          <w:r>
            <w:rPr>
              <w:sz w:val="28"/>
              <w:szCs w:val="28"/>
            </w:rPr>
            <w:fldChar w:fldCharType="separate"/>
          </w:r>
          <w:r>
            <w:rPr>
              <w:sz w:val="28"/>
              <w:szCs w:val="28"/>
            </w:rPr>
            <w:t>6</w:t>
          </w:r>
          <w:r>
            <w:rPr>
              <w:sz w:val="28"/>
              <w:szCs w:val="28"/>
            </w:rPr>
            <w:fldChar w:fldCharType="end"/>
          </w:r>
          <w:r>
            <w:rPr>
              <w:rFonts w:asciiTheme="minorEastAsia" w:hAnsiTheme="minorEastAsia" w:eastAsiaTheme="minorEastAsia"/>
              <w:bCs/>
              <w:color w:val="000000" w:themeColor="text1"/>
              <w:sz w:val="28"/>
              <w:szCs w:val="28"/>
              <w:lang w:val="zh-CN"/>
              <w14:textFill>
                <w14:solidFill>
                  <w14:schemeClr w14:val="tx1"/>
                </w14:solidFill>
              </w14:textFill>
            </w:rPr>
            <w:fldChar w:fldCharType="end"/>
          </w:r>
        </w:p>
        <w:p w14:paraId="5BE26115">
          <w:pPr>
            <w:pStyle w:val="5"/>
            <w:tabs>
              <w:tab w:val="right" w:leader="dot" w:pos="9468"/>
            </w:tabs>
            <w:rPr>
              <w:sz w:val="28"/>
              <w:szCs w:val="28"/>
            </w:rPr>
          </w:pPr>
          <w:r>
            <w:rPr>
              <w:rFonts w:asciiTheme="minorEastAsia" w:hAnsiTheme="minorEastAsia" w:eastAsiaTheme="minorEastAsia"/>
              <w:bCs/>
              <w:color w:val="000000" w:themeColor="text1"/>
              <w:sz w:val="28"/>
              <w:szCs w:val="28"/>
              <w:lang w:val="zh-CN"/>
              <w14:textFill>
                <w14:solidFill>
                  <w14:schemeClr w14:val="tx1"/>
                </w14:solidFill>
              </w14:textFill>
            </w:rPr>
            <w:fldChar w:fldCharType="begin"/>
          </w:r>
          <w:r>
            <w:rPr>
              <w:rFonts w:asciiTheme="minorEastAsia" w:hAnsiTheme="minorEastAsia" w:eastAsiaTheme="minorEastAsia"/>
              <w:bCs/>
              <w:sz w:val="28"/>
              <w:szCs w:val="28"/>
              <w:lang w:val="zh-CN"/>
            </w:rPr>
            <w:instrText xml:space="preserve"> HYPERLINK \l _Toc18297 </w:instrText>
          </w:r>
          <w:r>
            <w:rPr>
              <w:rFonts w:asciiTheme="minorEastAsia" w:hAnsiTheme="minorEastAsia" w:eastAsiaTheme="minorEastAsia"/>
              <w:bCs/>
              <w:sz w:val="28"/>
              <w:szCs w:val="28"/>
              <w:lang w:val="zh-CN"/>
            </w:rPr>
            <w:fldChar w:fldCharType="separate"/>
          </w:r>
          <w:r>
            <w:rPr>
              <w:rFonts w:hint="eastAsia" w:ascii="Times New Roman"/>
              <w:sz w:val="28"/>
              <w:szCs w:val="32"/>
              <w:lang w:val="en-US" w:eastAsia="zh-CN"/>
            </w:rPr>
            <w:t>4</w:t>
          </w:r>
          <w:r>
            <w:rPr>
              <w:rFonts w:ascii="Times New Roman"/>
              <w:sz w:val="28"/>
              <w:szCs w:val="32"/>
            </w:rPr>
            <w:t xml:space="preserve"> </w:t>
          </w:r>
          <w:r>
            <w:rPr>
              <w:rFonts w:hint="eastAsia" w:ascii="Times New Roman"/>
              <w:sz w:val="28"/>
              <w:szCs w:val="32"/>
            </w:rPr>
            <w:t>产业化情况、推广应用论证和预期达到的经济效果等情况；</w:t>
          </w:r>
          <w:r>
            <w:rPr>
              <w:sz w:val="28"/>
              <w:szCs w:val="28"/>
            </w:rPr>
            <w:tab/>
          </w:r>
          <w:r>
            <w:rPr>
              <w:sz w:val="28"/>
              <w:szCs w:val="28"/>
            </w:rPr>
            <w:fldChar w:fldCharType="begin"/>
          </w:r>
          <w:r>
            <w:rPr>
              <w:sz w:val="28"/>
              <w:szCs w:val="28"/>
            </w:rPr>
            <w:instrText xml:space="preserve"> PAGEREF _Toc18297 \h </w:instrText>
          </w:r>
          <w:r>
            <w:rPr>
              <w:sz w:val="28"/>
              <w:szCs w:val="28"/>
            </w:rPr>
            <w:fldChar w:fldCharType="separate"/>
          </w:r>
          <w:r>
            <w:rPr>
              <w:sz w:val="28"/>
              <w:szCs w:val="28"/>
            </w:rPr>
            <w:t>6</w:t>
          </w:r>
          <w:r>
            <w:rPr>
              <w:sz w:val="28"/>
              <w:szCs w:val="28"/>
            </w:rPr>
            <w:fldChar w:fldCharType="end"/>
          </w:r>
          <w:r>
            <w:rPr>
              <w:rFonts w:asciiTheme="minorEastAsia" w:hAnsiTheme="minorEastAsia" w:eastAsiaTheme="minorEastAsia"/>
              <w:bCs/>
              <w:color w:val="000000" w:themeColor="text1"/>
              <w:sz w:val="28"/>
              <w:szCs w:val="28"/>
              <w:lang w:val="zh-CN"/>
              <w14:textFill>
                <w14:solidFill>
                  <w14:schemeClr w14:val="tx1"/>
                </w14:solidFill>
              </w14:textFill>
            </w:rPr>
            <w:fldChar w:fldCharType="end"/>
          </w:r>
        </w:p>
        <w:p w14:paraId="5C0A665A">
          <w:pPr>
            <w:pStyle w:val="5"/>
            <w:tabs>
              <w:tab w:val="right" w:leader="dot" w:pos="9468"/>
            </w:tabs>
            <w:rPr>
              <w:sz w:val="28"/>
              <w:szCs w:val="28"/>
            </w:rPr>
          </w:pPr>
          <w:r>
            <w:rPr>
              <w:rFonts w:asciiTheme="minorEastAsia" w:hAnsiTheme="minorEastAsia" w:eastAsiaTheme="minorEastAsia"/>
              <w:bCs/>
              <w:color w:val="000000" w:themeColor="text1"/>
              <w:sz w:val="28"/>
              <w:szCs w:val="28"/>
              <w:lang w:val="zh-CN"/>
              <w14:textFill>
                <w14:solidFill>
                  <w14:schemeClr w14:val="tx1"/>
                </w14:solidFill>
              </w14:textFill>
            </w:rPr>
            <w:fldChar w:fldCharType="begin"/>
          </w:r>
          <w:r>
            <w:rPr>
              <w:rFonts w:asciiTheme="minorEastAsia" w:hAnsiTheme="minorEastAsia" w:eastAsiaTheme="minorEastAsia"/>
              <w:bCs/>
              <w:sz w:val="28"/>
              <w:szCs w:val="28"/>
              <w:lang w:val="zh-CN"/>
            </w:rPr>
            <w:instrText xml:space="preserve"> HYPERLINK \l _Toc26690 </w:instrText>
          </w:r>
          <w:r>
            <w:rPr>
              <w:rFonts w:asciiTheme="minorEastAsia" w:hAnsiTheme="minorEastAsia" w:eastAsiaTheme="minorEastAsia"/>
              <w:bCs/>
              <w:sz w:val="28"/>
              <w:szCs w:val="28"/>
              <w:lang w:val="zh-CN"/>
            </w:rPr>
            <w:fldChar w:fldCharType="separate"/>
          </w:r>
          <w:r>
            <w:rPr>
              <w:rFonts w:hint="eastAsia" w:ascii="Times New Roman"/>
              <w:sz w:val="28"/>
              <w:szCs w:val="32"/>
              <w:lang w:val="en-US" w:eastAsia="zh-CN"/>
            </w:rPr>
            <w:t>5</w:t>
          </w:r>
          <w:r>
            <w:rPr>
              <w:rFonts w:ascii="Times New Roman"/>
              <w:sz w:val="28"/>
              <w:szCs w:val="32"/>
            </w:rPr>
            <w:t xml:space="preserve"> 采用国际标准</w:t>
          </w:r>
          <w:r>
            <w:rPr>
              <w:rFonts w:hint="eastAsia" w:ascii="Times New Roman"/>
              <w:sz w:val="28"/>
              <w:szCs w:val="32"/>
            </w:rPr>
            <w:t>，与国际、国外同类标准水平的对比情况，国内外关键指标对比分析或与测试的国外样品、样机的相关数据对比情况；</w:t>
          </w:r>
          <w:r>
            <w:rPr>
              <w:sz w:val="28"/>
              <w:szCs w:val="28"/>
            </w:rPr>
            <w:tab/>
          </w:r>
          <w:r>
            <w:rPr>
              <w:sz w:val="28"/>
              <w:szCs w:val="28"/>
            </w:rPr>
            <w:fldChar w:fldCharType="begin"/>
          </w:r>
          <w:r>
            <w:rPr>
              <w:sz w:val="28"/>
              <w:szCs w:val="28"/>
            </w:rPr>
            <w:instrText xml:space="preserve"> PAGEREF _Toc26690 \h </w:instrText>
          </w:r>
          <w:r>
            <w:rPr>
              <w:sz w:val="28"/>
              <w:szCs w:val="28"/>
            </w:rPr>
            <w:fldChar w:fldCharType="separate"/>
          </w:r>
          <w:r>
            <w:rPr>
              <w:sz w:val="28"/>
              <w:szCs w:val="28"/>
            </w:rPr>
            <w:t>7</w:t>
          </w:r>
          <w:r>
            <w:rPr>
              <w:sz w:val="28"/>
              <w:szCs w:val="28"/>
            </w:rPr>
            <w:fldChar w:fldCharType="end"/>
          </w:r>
          <w:r>
            <w:rPr>
              <w:rFonts w:asciiTheme="minorEastAsia" w:hAnsiTheme="minorEastAsia" w:eastAsiaTheme="minorEastAsia"/>
              <w:bCs/>
              <w:color w:val="000000" w:themeColor="text1"/>
              <w:sz w:val="28"/>
              <w:szCs w:val="28"/>
              <w:lang w:val="zh-CN"/>
              <w14:textFill>
                <w14:solidFill>
                  <w14:schemeClr w14:val="tx1"/>
                </w14:solidFill>
              </w14:textFill>
            </w:rPr>
            <w:fldChar w:fldCharType="end"/>
          </w:r>
        </w:p>
        <w:p w14:paraId="44DD8394">
          <w:pPr>
            <w:pStyle w:val="5"/>
            <w:tabs>
              <w:tab w:val="right" w:leader="dot" w:pos="9468"/>
            </w:tabs>
            <w:rPr>
              <w:sz w:val="28"/>
              <w:szCs w:val="28"/>
            </w:rPr>
          </w:pPr>
          <w:r>
            <w:rPr>
              <w:rFonts w:asciiTheme="minorEastAsia" w:hAnsiTheme="minorEastAsia" w:eastAsiaTheme="minorEastAsia"/>
              <w:bCs/>
              <w:color w:val="000000" w:themeColor="text1"/>
              <w:sz w:val="28"/>
              <w:szCs w:val="28"/>
              <w:lang w:val="zh-CN"/>
              <w14:textFill>
                <w14:solidFill>
                  <w14:schemeClr w14:val="tx1"/>
                </w14:solidFill>
              </w14:textFill>
            </w:rPr>
            <w:fldChar w:fldCharType="begin"/>
          </w:r>
          <w:r>
            <w:rPr>
              <w:rFonts w:asciiTheme="minorEastAsia" w:hAnsiTheme="minorEastAsia" w:eastAsiaTheme="minorEastAsia"/>
              <w:bCs/>
              <w:sz w:val="28"/>
              <w:szCs w:val="28"/>
              <w:lang w:val="zh-CN"/>
            </w:rPr>
            <w:instrText xml:space="preserve"> HYPERLINK \l _Toc4955 </w:instrText>
          </w:r>
          <w:r>
            <w:rPr>
              <w:rFonts w:asciiTheme="minorEastAsia" w:hAnsiTheme="minorEastAsia" w:eastAsiaTheme="minorEastAsia"/>
              <w:bCs/>
              <w:sz w:val="28"/>
              <w:szCs w:val="28"/>
              <w:lang w:val="zh-CN"/>
            </w:rPr>
            <w:fldChar w:fldCharType="separate"/>
          </w:r>
          <w:r>
            <w:rPr>
              <w:rFonts w:hint="eastAsia" w:ascii="Times New Roman"/>
              <w:sz w:val="28"/>
              <w:szCs w:val="32"/>
              <w:lang w:val="en-US" w:eastAsia="zh-CN"/>
            </w:rPr>
            <w:t>6</w:t>
          </w:r>
          <w:r>
            <w:rPr>
              <w:rFonts w:ascii="Times New Roman"/>
              <w:sz w:val="28"/>
              <w:szCs w:val="32"/>
            </w:rPr>
            <w:t xml:space="preserve"> 与现行相关法律、法规、规章及相关标准</w:t>
          </w:r>
          <w:r>
            <w:rPr>
              <w:rFonts w:hint="eastAsia" w:ascii="Times New Roman"/>
              <w:sz w:val="28"/>
              <w:szCs w:val="32"/>
            </w:rPr>
            <w:t>，特别是强制性标准</w:t>
          </w:r>
          <w:r>
            <w:rPr>
              <w:rFonts w:ascii="Times New Roman"/>
              <w:sz w:val="28"/>
              <w:szCs w:val="32"/>
            </w:rPr>
            <w:t>的协调</w:t>
          </w:r>
          <w:r>
            <w:rPr>
              <w:rFonts w:hint="eastAsia" w:ascii="Times New Roman"/>
              <w:sz w:val="28"/>
              <w:szCs w:val="32"/>
            </w:rPr>
            <w:t>性</w:t>
          </w:r>
          <w:r>
            <w:rPr>
              <w:sz w:val="28"/>
              <w:szCs w:val="28"/>
            </w:rPr>
            <w:tab/>
          </w:r>
          <w:r>
            <w:rPr>
              <w:sz w:val="28"/>
              <w:szCs w:val="28"/>
            </w:rPr>
            <w:fldChar w:fldCharType="begin"/>
          </w:r>
          <w:r>
            <w:rPr>
              <w:sz w:val="28"/>
              <w:szCs w:val="28"/>
            </w:rPr>
            <w:instrText xml:space="preserve"> PAGEREF _Toc4955 \h </w:instrText>
          </w:r>
          <w:r>
            <w:rPr>
              <w:sz w:val="28"/>
              <w:szCs w:val="28"/>
            </w:rPr>
            <w:fldChar w:fldCharType="separate"/>
          </w:r>
          <w:r>
            <w:rPr>
              <w:sz w:val="28"/>
              <w:szCs w:val="28"/>
            </w:rPr>
            <w:t>7</w:t>
          </w:r>
          <w:r>
            <w:rPr>
              <w:sz w:val="28"/>
              <w:szCs w:val="28"/>
            </w:rPr>
            <w:fldChar w:fldCharType="end"/>
          </w:r>
          <w:r>
            <w:rPr>
              <w:rFonts w:asciiTheme="minorEastAsia" w:hAnsiTheme="minorEastAsia" w:eastAsiaTheme="minorEastAsia"/>
              <w:bCs/>
              <w:color w:val="000000" w:themeColor="text1"/>
              <w:sz w:val="28"/>
              <w:szCs w:val="28"/>
              <w:lang w:val="zh-CN"/>
              <w14:textFill>
                <w14:solidFill>
                  <w14:schemeClr w14:val="tx1"/>
                </w14:solidFill>
              </w14:textFill>
            </w:rPr>
            <w:fldChar w:fldCharType="end"/>
          </w:r>
        </w:p>
        <w:p w14:paraId="558ED85D">
          <w:pPr>
            <w:pStyle w:val="5"/>
            <w:tabs>
              <w:tab w:val="right" w:leader="dot" w:pos="9468"/>
            </w:tabs>
            <w:rPr>
              <w:sz w:val="28"/>
              <w:szCs w:val="28"/>
            </w:rPr>
          </w:pPr>
          <w:r>
            <w:rPr>
              <w:rFonts w:asciiTheme="minorEastAsia" w:hAnsiTheme="minorEastAsia" w:eastAsiaTheme="minorEastAsia"/>
              <w:bCs/>
              <w:color w:val="000000" w:themeColor="text1"/>
              <w:sz w:val="28"/>
              <w:szCs w:val="28"/>
              <w:lang w:val="zh-CN"/>
              <w14:textFill>
                <w14:solidFill>
                  <w14:schemeClr w14:val="tx1"/>
                </w14:solidFill>
              </w14:textFill>
            </w:rPr>
            <w:fldChar w:fldCharType="begin"/>
          </w:r>
          <w:r>
            <w:rPr>
              <w:rFonts w:asciiTheme="minorEastAsia" w:hAnsiTheme="minorEastAsia" w:eastAsiaTheme="minorEastAsia"/>
              <w:bCs/>
              <w:sz w:val="28"/>
              <w:szCs w:val="28"/>
              <w:lang w:val="zh-CN"/>
            </w:rPr>
            <w:instrText xml:space="preserve"> HYPERLINK \l _Toc12128 </w:instrText>
          </w:r>
          <w:r>
            <w:rPr>
              <w:rFonts w:asciiTheme="minorEastAsia" w:hAnsiTheme="minorEastAsia" w:eastAsiaTheme="minorEastAsia"/>
              <w:bCs/>
              <w:sz w:val="28"/>
              <w:szCs w:val="28"/>
              <w:lang w:val="zh-CN"/>
            </w:rPr>
            <w:fldChar w:fldCharType="separate"/>
          </w:r>
          <w:r>
            <w:rPr>
              <w:rFonts w:hint="eastAsia" w:ascii="Times New Roman"/>
              <w:sz w:val="28"/>
              <w:szCs w:val="32"/>
              <w:lang w:val="en-US" w:eastAsia="zh-CN"/>
            </w:rPr>
            <w:t>7</w:t>
          </w:r>
          <w:r>
            <w:rPr>
              <w:rFonts w:ascii="Times New Roman"/>
              <w:sz w:val="28"/>
              <w:szCs w:val="32"/>
            </w:rPr>
            <w:t xml:space="preserve"> 重大意见分歧的处理依据和结果</w:t>
          </w:r>
          <w:r>
            <w:rPr>
              <w:sz w:val="28"/>
              <w:szCs w:val="28"/>
            </w:rPr>
            <w:tab/>
          </w:r>
          <w:r>
            <w:rPr>
              <w:sz w:val="28"/>
              <w:szCs w:val="28"/>
            </w:rPr>
            <w:fldChar w:fldCharType="begin"/>
          </w:r>
          <w:r>
            <w:rPr>
              <w:sz w:val="28"/>
              <w:szCs w:val="28"/>
            </w:rPr>
            <w:instrText xml:space="preserve"> PAGEREF _Toc12128 \h </w:instrText>
          </w:r>
          <w:r>
            <w:rPr>
              <w:sz w:val="28"/>
              <w:szCs w:val="28"/>
            </w:rPr>
            <w:fldChar w:fldCharType="separate"/>
          </w:r>
          <w:r>
            <w:rPr>
              <w:sz w:val="28"/>
              <w:szCs w:val="28"/>
            </w:rPr>
            <w:t>7</w:t>
          </w:r>
          <w:r>
            <w:rPr>
              <w:sz w:val="28"/>
              <w:szCs w:val="28"/>
            </w:rPr>
            <w:fldChar w:fldCharType="end"/>
          </w:r>
          <w:r>
            <w:rPr>
              <w:rFonts w:asciiTheme="minorEastAsia" w:hAnsiTheme="minorEastAsia" w:eastAsiaTheme="minorEastAsia"/>
              <w:bCs/>
              <w:color w:val="000000" w:themeColor="text1"/>
              <w:sz w:val="28"/>
              <w:szCs w:val="28"/>
              <w:lang w:val="zh-CN"/>
              <w14:textFill>
                <w14:solidFill>
                  <w14:schemeClr w14:val="tx1"/>
                </w14:solidFill>
              </w14:textFill>
            </w:rPr>
            <w:fldChar w:fldCharType="end"/>
          </w:r>
        </w:p>
        <w:p w14:paraId="488219D2">
          <w:pPr>
            <w:pStyle w:val="5"/>
            <w:tabs>
              <w:tab w:val="right" w:leader="dot" w:pos="9468"/>
            </w:tabs>
            <w:rPr>
              <w:sz w:val="28"/>
              <w:szCs w:val="28"/>
            </w:rPr>
          </w:pPr>
          <w:r>
            <w:rPr>
              <w:rFonts w:asciiTheme="minorEastAsia" w:hAnsiTheme="minorEastAsia" w:eastAsiaTheme="minorEastAsia"/>
              <w:bCs/>
              <w:color w:val="000000" w:themeColor="text1"/>
              <w:sz w:val="28"/>
              <w:szCs w:val="28"/>
              <w:lang w:val="zh-CN"/>
              <w14:textFill>
                <w14:solidFill>
                  <w14:schemeClr w14:val="tx1"/>
                </w14:solidFill>
              </w14:textFill>
            </w:rPr>
            <w:fldChar w:fldCharType="begin"/>
          </w:r>
          <w:r>
            <w:rPr>
              <w:rFonts w:asciiTheme="minorEastAsia" w:hAnsiTheme="minorEastAsia" w:eastAsiaTheme="minorEastAsia"/>
              <w:bCs/>
              <w:sz w:val="28"/>
              <w:szCs w:val="28"/>
              <w:lang w:val="zh-CN"/>
            </w:rPr>
            <w:instrText xml:space="preserve"> HYPERLINK \l _Toc29268 </w:instrText>
          </w:r>
          <w:r>
            <w:rPr>
              <w:rFonts w:asciiTheme="minorEastAsia" w:hAnsiTheme="minorEastAsia" w:eastAsiaTheme="minorEastAsia"/>
              <w:bCs/>
              <w:sz w:val="28"/>
              <w:szCs w:val="28"/>
              <w:lang w:val="zh-CN"/>
            </w:rPr>
            <w:fldChar w:fldCharType="separate"/>
          </w:r>
          <w:r>
            <w:rPr>
              <w:rFonts w:hint="eastAsia" w:ascii="Times New Roman"/>
              <w:sz w:val="28"/>
              <w:szCs w:val="32"/>
              <w:lang w:val="en-US" w:eastAsia="zh-CN"/>
            </w:rPr>
            <w:t>8</w:t>
          </w:r>
          <w:r>
            <w:rPr>
              <w:rFonts w:ascii="Times New Roman"/>
              <w:sz w:val="28"/>
              <w:szCs w:val="32"/>
            </w:rPr>
            <w:t xml:space="preserve"> </w:t>
          </w:r>
          <w:r>
            <w:rPr>
              <w:rFonts w:hint="eastAsia" w:ascii="Times New Roman"/>
              <w:sz w:val="28"/>
              <w:szCs w:val="32"/>
            </w:rPr>
            <w:t>标准性质的建议说明</w:t>
          </w:r>
          <w:r>
            <w:rPr>
              <w:sz w:val="28"/>
              <w:szCs w:val="28"/>
            </w:rPr>
            <w:tab/>
          </w:r>
          <w:r>
            <w:rPr>
              <w:sz w:val="28"/>
              <w:szCs w:val="28"/>
            </w:rPr>
            <w:fldChar w:fldCharType="begin"/>
          </w:r>
          <w:r>
            <w:rPr>
              <w:sz w:val="28"/>
              <w:szCs w:val="28"/>
            </w:rPr>
            <w:instrText xml:space="preserve"> PAGEREF _Toc29268 \h </w:instrText>
          </w:r>
          <w:r>
            <w:rPr>
              <w:sz w:val="28"/>
              <w:szCs w:val="28"/>
            </w:rPr>
            <w:fldChar w:fldCharType="separate"/>
          </w:r>
          <w:r>
            <w:rPr>
              <w:sz w:val="28"/>
              <w:szCs w:val="28"/>
            </w:rPr>
            <w:t>8</w:t>
          </w:r>
          <w:r>
            <w:rPr>
              <w:sz w:val="28"/>
              <w:szCs w:val="28"/>
            </w:rPr>
            <w:fldChar w:fldCharType="end"/>
          </w:r>
          <w:r>
            <w:rPr>
              <w:rFonts w:asciiTheme="minorEastAsia" w:hAnsiTheme="minorEastAsia" w:eastAsiaTheme="minorEastAsia"/>
              <w:bCs/>
              <w:color w:val="000000" w:themeColor="text1"/>
              <w:sz w:val="28"/>
              <w:szCs w:val="28"/>
              <w:lang w:val="zh-CN"/>
              <w14:textFill>
                <w14:solidFill>
                  <w14:schemeClr w14:val="tx1"/>
                </w14:solidFill>
              </w14:textFill>
            </w:rPr>
            <w:fldChar w:fldCharType="end"/>
          </w:r>
        </w:p>
        <w:p w14:paraId="2567C0FD">
          <w:pPr>
            <w:pStyle w:val="5"/>
            <w:tabs>
              <w:tab w:val="right" w:leader="dot" w:pos="9468"/>
            </w:tabs>
            <w:rPr>
              <w:sz w:val="28"/>
              <w:szCs w:val="28"/>
            </w:rPr>
          </w:pPr>
          <w:r>
            <w:rPr>
              <w:rFonts w:asciiTheme="minorEastAsia" w:hAnsiTheme="minorEastAsia" w:eastAsiaTheme="minorEastAsia"/>
              <w:bCs/>
              <w:color w:val="000000" w:themeColor="text1"/>
              <w:sz w:val="28"/>
              <w:szCs w:val="28"/>
              <w:lang w:val="zh-CN"/>
              <w14:textFill>
                <w14:solidFill>
                  <w14:schemeClr w14:val="tx1"/>
                </w14:solidFill>
              </w14:textFill>
            </w:rPr>
            <w:fldChar w:fldCharType="begin"/>
          </w:r>
          <w:r>
            <w:rPr>
              <w:rFonts w:asciiTheme="minorEastAsia" w:hAnsiTheme="minorEastAsia" w:eastAsiaTheme="minorEastAsia"/>
              <w:bCs/>
              <w:sz w:val="28"/>
              <w:szCs w:val="28"/>
              <w:lang w:val="zh-CN"/>
            </w:rPr>
            <w:instrText xml:space="preserve"> HYPERLINK \l _Toc22430 </w:instrText>
          </w:r>
          <w:r>
            <w:rPr>
              <w:rFonts w:asciiTheme="minorEastAsia" w:hAnsiTheme="minorEastAsia" w:eastAsiaTheme="minorEastAsia"/>
              <w:bCs/>
              <w:sz w:val="28"/>
              <w:szCs w:val="28"/>
              <w:lang w:val="zh-CN"/>
            </w:rPr>
            <w:fldChar w:fldCharType="separate"/>
          </w:r>
          <w:r>
            <w:rPr>
              <w:rFonts w:hint="eastAsia" w:ascii="Times New Roman"/>
              <w:sz w:val="28"/>
              <w:szCs w:val="32"/>
              <w:lang w:val="en-US" w:eastAsia="zh-CN"/>
            </w:rPr>
            <w:t>9</w:t>
          </w:r>
          <w:r>
            <w:rPr>
              <w:rFonts w:ascii="Times New Roman"/>
              <w:sz w:val="28"/>
              <w:szCs w:val="32"/>
            </w:rPr>
            <w:t xml:space="preserve"> 贯彻标准的措施建议</w:t>
          </w:r>
          <w:r>
            <w:rPr>
              <w:sz w:val="28"/>
              <w:szCs w:val="28"/>
            </w:rPr>
            <w:tab/>
          </w:r>
          <w:r>
            <w:rPr>
              <w:sz w:val="28"/>
              <w:szCs w:val="28"/>
            </w:rPr>
            <w:fldChar w:fldCharType="begin"/>
          </w:r>
          <w:r>
            <w:rPr>
              <w:sz w:val="28"/>
              <w:szCs w:val="28"/>
            </w:rPr>
            <w:instrText xml:space="preserve"> PAGEREF _Toc22430 \h </w:instrText>
          </w:r>
          <w:r>
            <w:rPr>
              <w:sz w:val="28"/>
              <w:szCs w:val="28"/>
            </w:rPr>
            <w:fldChar w:fldCharType="separate"/>
          </w:r>
          <w:r>
            <w:rPr>
              <w:sz w:val="28"/>
              <w:szCs w:val="28"/>
            </w:rPr>
            <w:t>8</w:t>
          </w:r>
          <w:r>
            <w:rPr>
              <w:sz w:val="28"/>
              <w:szCs w:val="28"/>
            </w:rPr>
            <w:fldChar w:fldCharType="end"/>
          </w:r>
          <w:r>
            <w:rPr>
              <w:rFonts w:asciiTheme="minorEastAsia" w:hAnsiTheme="minorEastAsia" w:eastAsiaTheme="minorEastAsia"/>
              <w:bCs/>
              <w:color w:val="000000" w:themeColor="text1"/>
              <w:sz w:val="28"/>
              <w:szCs w:val="28"/>
              <w:lang w:val="zh-CN"/>
              <w14:textFill>
                <w14:solidFill>
                  <w14:schemeClr w14:val="tx1"/>
                </w14:solidFill>
              </w14:textFill>
            </w:rPr>
            <w:fldChar w:fldCharType="end"/>
          </w:r>
        </w:p>
        <w:p w14:paraId="41D4426B">
          <w:pPr>
            <w:pStyle w:val="5"/>
            <w:tabs>
              <w:tab w:val="right" w:leader="dot" w:pos="9468"/>
            </w:tabs>
            <w:rPr>
              <w:sz w:val="28"/>
              <w:szCs w:val="28"/>
            </w:rPr>
          </w:pPr>
          <w:r>
            <w:rPr>
              <w:rFonts w:asciiTheme="minorEastAsia" w:hAnsiTheme="minorEastAsia" w:eastAsiaTheme="minorEastAsia"/>
              <w:bCs/>
              <w:color w:val="000000" w:themeColor="text1"/>
              <w:sz w:val="28"/>
              <w:szCs w:val="28"/>
              <w:lang w:val="zh-CN"/>
              <w14:textFill>
                <w14:solidFill>
                  <w14:schemeClr w14:val="tx1"/>
                </w14:solidFill>
              </w14:textFill>
            </w:rPr>
            <w:fldChar w:fldCharType="begin"/>
          </w:r>
          <w:r>
            <w:rPr>
              <w:rFonts w:asciiTheme="minorEastAsia" w:hAnsiTheme="minorEastAsia" w:eastAsiaTheme="minorEastAsia"/>
              <w:bCs/>
              <w:sz w:val="28"/>
              <w:szCs w:val="28"/>
              <w:lang w:val="zh-CN"/>
            </w:rPr>
            <w:instrText xml:space="preserve"> HYPERLINK \l _Toc956 </w:instrText>
          </w:r>
          <w:r>
            <w:rPr>
              <w:rFonts w:asciiTheme="minorEastAsia" w:hAnsiTheme="minorEastAsia" w:eastAsiaTheme="minorEastAsia"/>
              <w:bCs/>
              <w:sz w:val="28"/>
              <w:szCs w:val="28"/>
              <w:lang w:val="zh-CN"/>
            </w:rPr>
            <w:fldChar w:fldCharType="separate"/>
          </w:r>
          <w:r>
            <w:rPr>
              <w:rFonts w:ascii="Times New Roman"/>
              <w:sz w:val="28"/>
              <w:szCs w:val="32"/>
            </w:rPr>
            <w:t>1</w:t>
          </w:r>
          <w:r>
            <w:rPr>
              <w:rFonts w:hint="eastAsia" w:ascii="Times New Roman"/>
              <w:sz w:val="28"/>
              <w:szCs w:val="32"/>
              <w:lang w:val="en-US" w:eastAsia="zh-CN"/>
            </w:rPr>
            <w:t>0</w:t>
          </w:r>
          <w:r>
            <w:rPr>
              <w:rFonts w:ascii="Times New Roman"/>
              <w:sz w:val="28"/>
              <w:szCs w:val="32"/>
            </w:rPr>
            <w:t xml:space="preserve"> 废止现行有关标准的建议</w:t>
          </w:r>
          <w:r>
            <w:rPr>
              <w:sz w:val="28"/>
              <w:szCs w:val="28"/>
            </w:rPr>
            <w:tab/>
          </w:r>
          <w:r>
            <w:rPr>
              <w:sz w:val="28"/>
              <w:szCs w:val="28"/>
            </w:rPr>
            <w:fldChar w:fldCharType="begin"/>
          </w:r>
          <w:r>
            <w:rPr>
              <w:sz w:val="28"/>
              <w:szCs w:val="28"/>
            </w:rPr>
            <w:instrText xml:space="preserve"> PAGEREF _Toc956 \h </w:instrText>
          </w:r>
          <w:r>
            <w:rPr>
              <w:sz w:val="28"/>
              <w:szCs w:val="28"/>
            </w:rPr>
            <w:fldChar w:fldCharType="separate"/>
          </w:r>
          <w:r>
            <w:rPr>
              <w:sz w:val="28"/>
              <w:szCs w:val="28"/>
            </w:rPr>
            <w:t>8</w:t>
          </w:r>
          <w:r>
            <w:rPr>
              <w:sz w:val="28"/>
              <w:szCs w:val="28"/>
            </w:rPr>
            <w:fldChar w:fldCharType="end"/>
          </w:r>
          <w:r>
            <w:rPr>
              <w:rFonts w:asciiTheme="minorEastAsia" w:hAnsiTheme="minorEastAsia" w:eastAsiaTheme="minorEastAsia"/>
              <w:bCs/>
              <w:color w:val="000000" w:themeColor="text1"/>
              <w:sz w:val="28"/>
              <w:szCs w:val="28"/>
              <w:lang w:val="zh-CN"/>
              <w14:textFill>
                <w14:solidFill>
                  <w14:schemeClr w14:val="tx1"/>
                </w14:solidFill>
              </w14:textFill>
            </w:rPr>
            <w:fldChar w:fldCharType="end"/>
          </w:r>
        </w:p>
        <w:p w14:paraId="1341B50D">
          <w:pPr>
            <w:pStyle w:val="5"/>
            <w:tabs>
              <w:tab w:val="right" w:leader="dot" w:pos="9468"/>
            </w:tabs>
          </w:pPr>
          <w:r>
            <w:rPr>
              <w:rFonts w:asciiTheme="minorEastAsia" w:hAnsiTheme="minorEastAsia" w:eastAsiaTheme="minorEastAsia"/>
              <w:bCs/>
              <w:color w:val="000000" w:themeColor="text1"/>
              <w:sz w:val="28"/>
              <w:szCs w:val="28"/>
              <w:lang w:val="zh-CN"/>
              <w14:textFill>
                <w14:solidFill>
                  <w14:schemeClr w14:val="tx1"/>
                </w14:solidFill>
              </w14:textFill>
            </w:rPr>
            <w:fldChar w:fldCharType="begin"/>
          </w:r>
          <w:r>
            <w:rPr>
              <w:rFonts w:asciiTheme="minorEastAsia" w:hAnsiTheme="minorEastAsia" w:eastAsiaTheme="minorEastAsia"/>
              <w:bCs/>
              <w:sz w:val="28"/>
              <w:szCs w:val="28"/>
              <w:lang w:val="zh-CN"/>
            </w:rPr>
            <w:instrText xml:space="preserve"> HYPERLINK \l _Toc30754 </w:instrText>
          </w:r>
          <w:r>
            <w:rPr>
              <w:rFonts w:asciiTheme="minorEastAsia" w:hAnsiTheme="minorEastAsia" w:eastAsiaTheme="minorEastAsia"/>
              <w:bCs/>
              <w:sz w:val="28"/>
              <w:szCs w:val="28"/>
              <w:lang w:val="zh-CN"/>
            </w:rPr>
            <w:fldChar w:fldCharType="separate"/>
          </w:r>
          <w:r>
            <w:rPr>
              <w:rFonts w:ascii="Times New Roman"/>
              <w:sz w:val="28"/>
              <w:szCs w:val="32"/>
            </w:rPr>
            <w:t>1</w:t>
          </w:r>
          <w:r>
            <w:rPr>
              <w:rFonts w:hint="eastAsia" w:ascii="Times New Roman"/>
              <w:sz w:val="28"/>
              <w:szCs w:val="32"/>
              <w:lang w:val="en-US" w:eastAsia="zh-CN"/>
            </w:rPr>
            <w:t>1</w:t>
          </w:r>
          <w:r>
            <w:rPr>
              <w:rFonts w:ascii="Times New Roman"/>
              <w:sz w:val="28"/>
              <w:szCs w:val="32"/>
            </w:rPr>
            <w:t xml:space="preserve"> 其他应说明的事项</w:t>
          </w:r>
          <w:r>
            <w:rPr>
              <w:sz w:val="28"/>
              <w:szCs w:val="28"/>
            </w:rPr>
            <w:tab/>
          </w:r>
          <w:r>
            <w:rPr>
              <w:sz w:val="28"/>
              <w:szCs w:val="28"/>
            </w:rPr>
            <w:fldChar w:fldCharType="begin"/>
          </w:r>
          <w:r>
            <w:rPr>
              <w:sz w:val="28"/>
              <w:szCs w:val="28"/>
            </w:rPr>
            <w:instrText xml:space="preserve"> PAGEREF _Toc30754 \h </w:instrText>
          </w:r>
          <w:r>
            <w:rPr>
              <w:sz w:val="28"/>
              <w:szCs w:val="28"/>
            </w:rPr>
            <w:fldChar w:fldCharType="separate"/>
          </w:r>
          <w:r>
            <w:rPr>
              <w:sz w:val="28"/>
              <w:szCs w:val="28"/>
            </w:rPr>
            <w:t>8</w:t>
          </w:r>
          <w:r>
            <w:rPr>
              <w:sz w:val="28"/>
              <w:szCs w:val="28"/>
            </w:rPr>
            <w:fldChar w:fldCharType="end"/>
          </w:r>
          <w:r>
            <w:rPr>
              <w:rFonts w:asciiTheme="minorEastAsia" w:hAnsiTheme="minorEastAsia" w:eastAsiaTheme="minorEastAsia"/>
              <w:bCs/>
              <w:color w:val="000000" w:themeColor="text1"/>
              <w:sz w:val="28"/>
              <w:szCs w:val="28"/>
              <w:lang w:val="zh-CN"/>
              <w14:textFill>
                <w14:solidFill>
                  <w14:schemeClr w14:val="tx1"/>
                </w14:solidFill>
              </w14:textFill>
            </w:rPr>
            <w:fldChar w:fldCharType="end"/>
          </w:r>
        </w:p>
        <w:p w14:paraId="6C6DCDB8">
          <w:pPr>
            <w:pStyle w:val="4"/>
            <w:tabs>
              <w:tab w:val="right" w:leader="dot" w:pos="9458"/>
            </w:tabs>
            <w:spacing w:line="360" w:lineRule="auto"/>
            <w:jc w:val="both"/>
            <w:rPr>
              <w:color w:val="000000" w:themeColor="text1"/>
              <w14:textFill>
                <w14:solidFill>
                  <w14:schemeClr w14:val="tx1"/>
                </w14:solidFill>
              </w14:textFill>
            </w:rPr>
          </w:pPr>
          <w:r>
            <w:rPr>
              <w:rFonts w:asciiTheme="minorEastAsia" w:hAnsiTheme="minorEastAsia" w:eastAsiaTheme="minorEastAsia"/>
              <w:bCs/>
              <w:color w:val="000000" w:themeColor="text1"/>
              <w:lang w:val="zh-CN"/>
              <w14:textFill>
                <w14:solidFill>
                  <w14:schemeClr w14:val="tx1"/>
                </w14:solidFill>
              </w14:textFill>
            </w:rPr>
            <w:fldChar w:fldCharType="end"/>
          </w:r>
        </w:p>
      </w:sdtContent>
    </w:sdt>
    <w:p w14:paraId="4B79F232">
      <w:pPr>
        <w:pStyle w:val="8"/>
        <w:framePr w:w="0" w:hRule="auto" w:wrap="auto" w:vAnchor="margin" w:hAnchor="text" w:xAlign="left" w:yAlign="inline"/>
        <w:spacing w:line="360" w:lineRule="auto"/>
        <w:rPr>
          <w:rFonts w:ascii="Times New Roman" w:eastAsia="宋体"/>
          <w:color w:val="000000" w:themeColor="text1"/>
          <w:sz w:val="32"/>
          <w:szCs w:val="32"/>
          <w14:textFill>
            <w14:solidFill>
              <w14:schemeClr w14:val="tx1"/>
            </w14:solidFill>
          </w14:textFill>
        </w:rPr>
      </w:pPr>
    </w:p>
    <w:p w14:paraId="204D46CD">
      <w:pPr>
        <w:jc w:val="center"/>
        <w:rPr>
          <w:rFonts w:ascii="方正小标宋简体" w:eastAsia="方正小标宋简体"/>
          <w:bCs/>
          <w:color w:val="000000" w:themeColor="text1"/>
          <w:sz w:val="48"/>
          <w:szCs w:val="44"/>
          <w14:textFill>
            <w14:solidFill>
              <w14:schemeClr w14:val="tx1"/>
            </w14:solidFill>
          </w14:textFill>
        </w:rPr>
      </w:pPr>
      <w:r>
        <w:rPr>
          <w:color w:val="000000" w:themeColor="text1"/>
          <w:sz w:val="48"/>
          <w:szCs w:val="48"/>
          <w14:textFill>
            <w14:solidFill>
              <w14:schemeClr w14:val="tx1"/>
            </w14:solidFill>
          </w14:textFill>
        </w:rPr>
        <w:br w:type="page"/>
      </w:r>
      <w:r>
        <w:rPr>
          <w:rFonts w:hint="eastAsia" w:ascii="方正小标宋简体" w:eastAsia="方正小标宋简体"/>
          <w:bCs/>
          <w:color w:val="000000" w:themeColor="text1"/>
          <w:sz w:val="32"/>
          <w:szCs w:val="32"/>
          <w14:textFill>
            <w14:solidFill>
              <w14:schemeClr w14:val="tx1"/>
            </w14:solidFill>
          </w14:textFill>
        </w:rPr>
        <w:t>JC/T XXXX-20XX《</w:t>
      </w:r>
      <w:r>
        <w:rPr>
          <w:rFonts w:hint="eastAsia" w:ascii="方正小标宋简体" w:eastAsia="方正小标宋简体"/>
          <w:bCs/>
          <w:color w:val="000000" w:themeColor="text1"/>
          <w:sz w:val="32"/>
          <w:szCs w:val="32"/>
          <w:lang w:eastAsia="zh-CN"/>
          <w14:textFill>
            <w14:solidFill>
              <w14:schemeClr w14:val="tx1"/>
            </w14:solidFill>
          </w14:textFill>
        </w:rPr>
        <w:t>真空和（或）压力浸注（处理）用木材防腐及改性设备机组</w:t>
      </w:r>
      <w:r>
        <w:rPr>
          <w:rFonts w:hint="eastAsia" w:ascii="方正小标宋简体" w:eastAsia="方正小标宋简体"/>
          <w:bCs/>
          <w:color w:val="000000" w:themeColor="text1"/>
          <w:sz w:val="32"/>
          <w:szCs w:val="32"/>
          <w14:textFill>
            <w14:solidFill>
              <w14:schemeClr w14:val="tx1"/>
            </w14:solidFill>
          </w14:textFill>
        </w:rPr>
        <w:t>》</w:t>
      </w:r>
    </w:p>
    <w:p w14:paraId="4FA1E9C2">
      <w:pPr>
        <w:jc w:val="center"/>
        <w:rPr>
          <w:rFonts w:ascii="方正小标宋简体" w:eastAsia="方正小标宋简体"/>
          <w:bCs/>
          <w:color w:val="000000" w:themeColor="text1"/>
          <w:sz w:val="32"/>
          <w:szCs w:val="32"/>
          <w14:textFill>
            <w14:solidFill>
              <w14:schemeClr w14:val="tx1"/>
            </w14:solidFill>
          </w14:textFill>
        </w:rPr>
      </w:pPr>
      <w:r>
        <w:rPr>
          <w:rFonts w:hint="eastAsia" w:ascii="方正小标宋简体" w:eastAsia="方正小标宋简体"/>
          <w:bCs/>
          <w:color w:val="000000" w:themeColor="text1"/>
          <w:sz w:val="32"/>
          <w:szCs w:val="32"/>
          <w14:textFill>
            <w14:solidFill>
              <w14:schemeClr w14:val="tx1"/>
            </w14:solidFill>
          </w14:textFill>
        </w:rPr>
        <w:t>行业标准编制说明</w:t>
      </w:r>
    </w:p>
    <w:p w14:paraId="119195AA">
      <w:pPr>
        <w:pStyle w:val="10"/>
        <w:spacing w:before="326" w:beforeLines="100" w:after="326" w:afterLines="100"/>
        <w:rPr>
          <w:rFonts w:ascii="Times New Roman"/>
          <w:color w:val="000000" w:themeColor="text1"/>
          <w:sz w:val="28"/>
          <w:szCs w:val="28"/>
          <w14:textFill>
            <w14:solidFill>
              <w14:schemeClr w14:val="tx1"/>
            </w14:solidFill>
          </w14:textFill>
        </w:rPr>
      </w:pPr>
      <w:bookmarkStart w:id="0" w:name="_Toc30336"/>
      <w:r>
        <w:rPr>
          <w:rFonts w:ascii="Times New Roman"/>
          <w:color w:val="000000" w:themeColor="text1"/>
          <w:sz w:val="28"/>
          <w:szCs w:val="28"/>
          <w14:textFill>
            <w14:solidFill>
              <w14:schemeClr w14:val="tx1"/>
            </w14:solidFill>
          </w14:textFill>
        </w:rPr>
        <w:t>1 标准编制工作简况</w:t>
      </w:r>
      <w:bookmarkEnd w:id="0"/>
    </w:p>
    <w:p w14:paraId="19275A99">
      <w:pPr>
        <w:pStyle w:val="11"/>
        <w:numPr>
          <w:ilvl w:val="1"/>
          <w:numId w:val="1"/>
        </w:numPr>
        <w:snapToGrid w:val="0"/>
        <w:spacing w:before="163" w:beforeLines="50" w:after="163" w:afterLines="50" w:line="500" w:lineRule="exact"/>
        <w:ind w:left="0"/>
        <w:rPr>
          <w:color w:val="000000" w:themeColor="text1"/>
          <w:sz w:val="24"/>
          <w:szCs w:val="24"/>
          <w14:textFill>
            <w14:solidFill>
              <w14:schemeClr w14:val="tx1"/>
            </w14:solidFill>
          </w14:textFill>
        </w:rPr>
      </w:pPr>
      <w:bookmarkStart w:id="1" w:name="_Toc10933"/>
      <w:bookmarkStart w:id="2" w:name="_Toc31072"/>
      <w:r>
        <w:rPr>
          <w:color w:val="000000" w:themeColor="text1"/>
          <w:sz w:val="24"/>
          <w:szCs w:val="24"/>
          <w14:textFill>
            <w14:solidFill>
              <w14:schemeClr w14:val="tx1"/>
            </w14:solidFill>
          </w14:textFill>
        </w:rPr>
        <w:t>任务来源</w:t>
      </w:r>
      <w:bookmarkEnd w:id="1"/>
      <w:bookmarkEnd w:id="2"/>
    </w:p>
    <w:p w14:paraId="15CB7022">
      <w:pPr>
        <w:spacing w:line="360" w:lineRule="auto"/>
        <w:ind w:firstLine="480" w:firstLineChars="200"/>
        <w:jc w:val="both"/>
        <w:rPr>
          <w:rFonts w:eastAsiaTheme="minorEastAsia"/>
          <w:color w:val="000000" w:themeColor="text1"/>
          <w:szCs w:val="28"/>
          <w14:textFill>
            <w14:solidFill>
              <w14:schemeClr w14:val="tx1"/>
            </w14:solidFill>
          </w14:textFill>
        </w:rPr>
      </w:pPr>
      <w:r>
        <w:rPr>
          <w:rFonts w:hint="eastAsia"/>
          <w:color w:val="000000" w:themeColor="text1"/>
          <w14:textFill>
            <w14:solidFill>
              <w14:schemeClr w14:val="tx1"/>
            </w14:solidFill>
          </w14:textFill>
        </w:rPr>
        <w:t>根据《工业和信息化部办公厅关于印发2024年第一批行业标准制修订计划的通知》（工信厅科〔2024〕18号）</w:t>
      </w:r>
      <w:r>
        <w:rPr>
          <w:color w:val="000000" w:themeColor="text1"/>
          <w14:textFill>
            <w14:solidFill>
              <w14:schemeClr w14:val="tx1"/>
            </w14:solidFill>
          </w14:textFill>
        </w:rPr>
        <w:t>，《</w:t>
      </w:r>
      <w:r>
        <w:rPr>
          <w:rFonts w:hint="eastAsia"/>
          <w:color w:val="000000" w:themeColor="text1"/>
          <w:lang w:eastAsia="zh-CN"/>
          <w14:textFill>
            <w14:solidFill>
              <w14:schemeClr w14:val="tx1"/>
            </w14:solidFill>
          </w14:textFill>
        </w:rPr>
        <w:t>真空和（或）压力浸注（处理）用木材防腐及改性设备机组</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行业</w:t>
      </w:r>
      <w:r>
        <w:rPr>
          <w:color w:val="000000" w:themeColor="text1"/>
          <w14:textFill>
            <w14:solidFill>
              <w14:schemeClr w14:val="tx1"/>
            </w14:solidFill>
          </w14:textFill>
        </w:rPr>
        <w:t>标准已列入标准项目计划（计划编号：</w:t>
      </w:r>
      <w:r>
        <w:rPr>
          <w:rFonts w:hint="eastAsia"/>
          <w:color w:val="000000" w:themeColor="text1"/>
          <w14:textFill>
            <w14:solidFill>
              <w14:schemeClr w14:val="tx1"/>
            </w14:solidFill>
          </w14:textFill>
        </w:rPr>
        <w:t>2024-0</w:t>
      </w:r>
      <w:r>
        <w:rPr>
          <w:rFonts w:hint="eastAsia"/>
          <w:color w:val="000000" w:themeColor="text1"/>
          <w:lang w:val="en-US" w:eastAsia="zh-CN"/>
          <w14:textFill>
            <w14:solidFill>
              <w14:schemeClr w14:val="tx1"/>
            </w14:solidFill>
          </w14:textFill>
        </w:rPr>
        <w:t>230</w:t>
      </w:r>
      <w:r>
        <w:rPr>
          <w:rFonts w:hint="eastAsia"/>
          <w:color w:val="000000" w:themeColor="text1"/>
          <w14:textFill>
            <w14:solidFill>
              <w14:schemeClr w14:val="tx1"/>
            </w14:solidFill>
          </w14:textFill>
        </w:rPr>
        <w:t>T-JC</w:t>
      </w:r>
      <w:r>
        <w:rPr>
          <w:color w:val="000000" w:themeColor="text1"/>
          <w14:textFill>
            <w14:solidFill>
              <w14:schemeClr w14:val="tx1"/>
            </w14:solidFill>
          </w14:textFill>
        </w:rPr>
        <w:t>），标准技术归口单位为</w:t>
      </w:r>
      <w:r>
        <w:rPr>
          <w:rFonts w:hint="eastAsia"/>
          <w:color w:val="000000" w:themeColor="text1"/>
          <w14:textFill>
            <w14:solidFill>
              <w14:schemeClr w14:val="tx1"/>
            </w14:solidFill>
          </w14:textFill>
        </w:rPr>
        <w:t>建材工业综合标准化技术委员会</w:t>
      </w:r>
      <w:r>
        <w:rPr>
          <w:color w:val="000000" w:themeColor="text1"/>
          <w14:textFill>
            <w14:solidFill>
              <w14:schemeClr w14:val="tx1"/>
            </w14:solidFill>
          </w14:textFill>
        </w:rPr>
        <w:t>，该标准的起草工作由</w:t>
      </w:r>
      <w:r>
        <w:rPr>
          <w:rFonts w:hint="eastAsia"/>
          <w:color w:val="000000" w:themeColor="text1"/>
          <w14:textFill>
            <w14:solidFill>
              <w14:schemeClr w14:val="tx1"/>
            </w14:solidFill>
          </w14:textFill>
        </w:rPr>
        <w:t>木材节约发展中心，国家木材与木制品性能质量检验检测中心</w:t>
      </w:r>
      <w:r>
        <w:rPr>
          <w:color w:val="000000" w:themeColor="text1"/>
          <w14:textFill>
            <w14:solidFill>
              <w14:schemeClr w14:val="tx1"/>
            </w14:solidFill>
          </w14:textFill>
        </w:rPr>
        <w:t>等单位负责。</w:t>
      </w:r>
    </w:p>
    <w:p w14:paraId="74B4543A">
      <w:pPr>
        <w:pStyle w:val="11"/>
        <w:numPr>
          <w:ilvl w:val="1"/>
          <w:numId w:val="1"/>
        </w:numPr>
        <w:snapToGrid w:val="0"/>
        <w:spacing w:before="163" w:beforeLines="50" w:after="163" w:afterLines="50" w:line="500" w:lineRule="exact"/>
        <w:ind w:left="0"/>
        <w:rPr>
          <w:color w:val="000000" w:themeColor="text1"/>
          <w:sz w:val="24"/>
          <w:szCs w:val="24"/>
          <w14:textFill>
            <w14:solidFill>
              <w14:schemeClr w14:val="tx1"/>
            </w14:solidFill>
          </w14:textFill>
        </w:rPr>
      </w:pPr>
      <w:bookmarkStart w:id="3" w:name="_Toc17910"/>
      <w:bookmarkStart w:id="4" w:name="_Toc44068192"/>
      <w:bookmarkStart w:id="5" w:name="_Toc7396"/>
      <w:r>
        <w:rPr>
          <w:color w:val="000000" w:themeColor="text1"/>
          <w:sz w:val="24"/>
          <w:szCs w:val="24"/>
          <w14:textFill>
            <w14:solidFill>
              <w14:schemeClr w14:val="tx1"/>
            </w14:solidFill>
          </w14:textFill>
        </w:rPr>
        <w:t>起草单位</w:t>
      </w:r>
      <w:bookmarkEnd w:id="3"/>
      <w:bookmarkEnd w:id="4"/>
      <w:bookmarkEnd w:id="5"/>
    </w:p>
    <w:p w14:paraId="550EFC41">
      <w:pPr>
        <w:spacing w:line="360" w:lineRule="auto"/>
        <w:ind w:firstLine="480" w:firstLineChars="200"/>
        <w:jc w:val="both"/>
        <w:rPr>
          <w:rFonts w:eastAsiaTheme="majorEastAsia"/>
          <w:color w:val="000000" w:themeColor="text1"/>
          <w14:textFill>
            <w14:solidFill>
              <w14:schemeClr w14:val="tx1"/>
            </w14:solidFill>
          </w14:textFill>
        </w:rPr>
      </w:pPr>
      <w:r>
        <w:rPr>
          <w:rFonts w:hint="eastAsia" w:eastAsiaTheme="majorEastAsia"/>
          <w:color w:val="000000" w:themeColor="text1"/>
          <w14:textFill>
            <w14:solidFill>
              <w14:schemeClr w14:val="tx1"/>
            </w14:solidFill>
          </w14:textFill>
        </w:rPr>
        <w:t>本标准由</w:t>
      </w:r>
      <w:r>
        <w:rPr>
          <w:rFonts w:hint="eastAsia"/>
          <w:color w:val="000000" w:themeColor="text1"/>
          <w14:textFill>
            <w14:solidFill>
              <w14:schemeClr w14:val="tx1"/>
            </w14:solidFill>
          </w14:textFill>
        </w:rPr>
        <w:t>木材节约发展中心</w:t>
      </w:r>
      <w:r>
        <w:rPr>
          <w:rFonts w:hint="eastAsia"/>
          <w:color w:val="000000" w:themeColor="text1"/>
          <w:lang w:val="en-US" w:eastAsia="zh-CN"/>
          <w14:textFill>
            <w14:solidFill>
              <w14:schemeClr w14:val="tx1"/>
            </w14:solidFill>
          </w14:textFill>
        </w:rPr>
        <w:t>负责</w:t>
      </w:r>
      <w:r>
        <w:rPr>
          <w:rFonts w:hint="eastAsia" w:eastAsiaTheme="majorEastAsia"/>
          <w:color w:val="000000" w:themeColor="text1"/>
          <w14:textFill>
            <w14:solidFill>
              <w14:schemeClr w14:val="tx1"/>
            </w14:solidFill>
          </w14:textFill>
        </w:rPr>
        <w:t>起草，形成《</w:t>
      </w:r>
      <w:r>
        <w:rPr>
          <w:rFonts w:hint="eastAsia" w:eastAsiaTheme="majorEastAsia"/>
          <w:color w:val="000000" w:themeColor="text1"/>
          <w:lang w:eastAsia="zh-CN"/>
          <w14:textFill>
            <w14:solidFill>
              <w14:schemeClr w14:val="tx1"/>
            </w14:solidFill>
          </w14:textFill>
        </w:rPr>
        <w:t>真空和（或）压力浸注（处理）用木材防腐及改性设备机组</w:t>
      </w:r>
      <w:r>
        <w:rPr>
          <w:rFonts w:hint="eastAsia" w:eastAsiaTheme="majorEastAsia"/>
          <w:color w:val="000000" w:themeColor="text1"/>
          <w14:textFill>
            <w14:solidFill>
              <w14:schemeClr w14:val="tx1"/>
            </w14:solidFill>
          </w14:textFill>
        </w:rPr>
        <w:t>》标准的编制组。标准编制组分工如下：</w:t>
      </w:r>
    </w:p>
    <w:p w14:paraId="1021872E">
      <w:pPr>
        <w:numPr>
          <w:ilvl w:val="0"/>
          <w:numId w:val="2"/>
        </w:numPr>
        <w:spacing w:line="360" w:lineRule="auto"/>
        <w:ind w:firstLine="480" w:firstLineChars="200"/>
        <w:jc w:val="both"/>
        <w:rPr>
          <w:rFonts w:hint="eastAsia" w:eastAsiaTheme="majorEastAsia"/>
          <w:color w:val="000000" w:themeColor="text1"/>
          <w:lang w:eastAsia="zh-CN"/>
          <w14:textFill>
            <w14:solidFill>
              <w14:schemeClr w14:val="tx1"/>
            </w14:solidFill>
          </w14:textFill>
        </w:rPr>
      </w:pPr>
      <w:r>
        <w:rPr>
          <w:rFonts w:hint="eastAsia" w:eastAsiaTheme="majorEastAsia"/>
          <w:color w:val="000000" w:themeColor="text1"/>
          <w14:textFill>
            <w14:solidFill>
              <w14:schemeClr w14:val="tx1"/>
            </w14:solidFill>
          </w14:textFill>
        </w:rPr>
        <w:t>木材节约发展中心：主要负责标准立项、标准讨论会组织及筹备。主要负责标准立项、标准讨论会组织及筹备、行业征求意见汇总等</w:t>
      </w:r>
      <w:r>
        <w:rPr>
          <w:rFonts w:hint="eastAsia" w:eastAsiaTheme="majorEastAsia"/>
          <w:color w:val="000000" w:themeColor="text1"/>
          <w:lang w:eastAsia="zh-CN"/>
          <w14:textFill>
            <w14:solidFill>
              <w14:schemeClr w14:val="tx1"/>
            </w14:solidFill>
          </w14:textFill>
        </w:rPr>
        <w:t>。</w:t>
      </w:r>
    </w:p>
    <w:p w14:paraId="5CE0B7F4">
      <w:pPr>
        <w:numPr>
          <w:ilvl w:val="0"/>
          <w:numId w:val="2"/>
        </w:numPr>
        <w:spacing w:line="360" w:lineRule="auto"/>
        <w:ind w:firstLine="480" w:firstLineChars="200"/>
        <w:jc w:val="both"/>
        <w:rPr>
          <w:rFonts w:hint="eastAsia" w:eastAsiaTheme="majorEastAsia"/>
          <w:color w:val="000000" w:themeColor="text1"/>
          <w14:textFill>
            <w14:solidFill>
              <w14:schemeClr w14:val="tx1"/>
            </w14:solidFill>
          </w14:textFill>
        </w:rPr>
      </w:pPr>
      <w:r>
        <w:rPr>
          <w:rFonts w:hint="eastAsia" w:eastAsiaTheme="majorEastAsia"/>
          <w:color w:val="000000" w:themeColor="text1"/>
          <w:lang w:val="en-US" w:eastAsia="zh-CN"/>
          <w14:textFill>
            <w14:solidFill>
              <w14:schemeClr w14:val="tx1"/>
            </w14:solidFill>
          </w14:textFill>
        </w:rPr>
        <w:t>木材节约发展中心所属实验室（</w:t>
      </w:r>
      <w:r>
        <w:rPr>
          <w:rFonts w:hint="eastAsia" w:eastAsiaTheme="majorEastAsia"/>
          <w:color w:val="000000" w:themeColor="text1"/>
          <w14:textFill>
            <w14:solidFill>
              <w14:schemeClr w14:val="tx1"/>
            </w14:solidFill>
          </w14:textFill>
        </w:rPr>
        <w:t>国家木材与木制品性能质量检验检测中心</w:t>
      </w:r>
      <w:r>
        <w:rPr>
          <w:rFonts w:hint="eastAsia" w:eastAsiaTheme="majorEastAsia"/>
          <w:color w:val="000000" w:themeColor="text1"/>
          <w:lang w:eastAsia="zh-CN"/>
          <w14:textFill>
            <w14:solidFill>
              <w14:schemeClr w14:val="tx1"/>
            </w14:solidFill>
          </w14:textFill>
        </w:rPr>
        <w:t>）：</w:t>
      </w:r>
      <w:r>
        <w:rPr>
          <w:rFonts w:hint="eastAsia" w:eastAsiaTheme="majorEastAsia"/>
          <w:color w:val="000000" w:themeColor="text1"/>
          <w14:textFill>
            <w14:solidFill>
              <w14:schemeClr w14:val="tx1"/>
            </w14:solidFill>
          </w14:textFill>
        </w:rPr>
        <w:t>负责开展相关调研、验证工作，标准相关文献搜集，标准正文的编写及修改，为本标准修订提供技术支持。</w:t>
      </w:r>
    </w:p>
    <w:p w14:paraId="201185D8">
      <w:pPr>
        <w:numPr>
          <w:ilvl w:val="-1"/>
          <w:numId w:val="0"/>
        </w:numPr>
        <w:spacing w:line="360" w:lineRule="auto"/>
        <w:ind w:firstLine="0" w:firstLineChars="0"/>
        <w:jc w:val="both"/>
        <w:rPr>
          <w:rFonts w:hint="eastAsia" w:eastAsiaTheme="majorEastAsia"/>
          <w:color w:val="000000" w:themeColor="text1"/>
          <w14:textFill>
            <w14:solidFill>
              <w14:schemeClr w14:val="tx1"/>
            </w14:solidFill>
          </w14:textFill>
        </w:rPr>
      </w:pPr>
    </w:p>
    <w:p w14:paraId="1A3F163F">
      <w:pPr>
        <w:pStyle w:val="11"/>
        <w:numPr>
          <w:ilvl w:val="0"/>
          <w:numId w:val="0"/>
        </w:numPr>
        <w:snapToGrid w:val="0"/>
        <w:spacing w:before="163" w:beforeLines="50" w:after="163" w:afterLines="50" w:line="500" w:lineRule="exact"/>
        <w:ind w:leftChars="0"/>
        <w:rPr>
          <w:rFonts w:hint="eastAsia" w:eastAsia="黑体"/>
          <w:color w:val="000000" w:themeColor="text1"/>
          <w:sz w:val="24"/>
          <w:szCs w:val="24"/>
          <w:lang w:val="en-US" w:eastAsia="zh-CN"/>
          <w14:textFill>
            <w14:solidFill>
              <w14:schemeClr w14:val="tx1"/>
            </w14:solidFill>
          </w14:textFill>
        </w:rPr>
      </w:pPr>
      <w:bookmarkStart w:id="6" w:name="_Toc44068193"/>
      <w:bookmarkStart w:id="7" w:name="_Toc24989"/>
      <w:bookmarkStart w:id="8" w:name="_Toc8376"/>
      <w:r>
        <w:rPr>
          <w:rFonts w:hint="eastAsia"/>
          <w:color w:val="000000" w:themeColor="text1"/>
          <w:sz w:val="24"/>
          <w:szCs w:val="24"/>
          <w:lang w:val="en-US" w:eastAsia="zh-CN"/>
          <w14:textFill>
            <w14:solidFill>
              <w14:schemeClr w14:val="tx1"/>
            </w14:solidFill>
          </w14:textFill>
        </w:rPr>
        <w:t xml:space="preserve">1.3 </w:t>
      </w:r>
      <w:r>
        <w:rPr>
          <w:color w:val="000000" w:themeColor="text1"/>
          <w:sz w:val="24"/>
          <w:szCs w:val="24"/>
          <w14:textFill>
            <w14:solidFill>
              <w14:schemeClr w14:val="tx1"/>
            </w14:solidFill>
          </w14:textFill>
        </w:rPr>
        <w:t>标准编制</w:t>
      </w:r>
      <w:r>
        <w:rPr>
          <w:rFonts w:hint="eastAsia"/>
          <w:color w:val="000000" w:themeColor="text1"/>
          <w:sz w:val="24"/>
          <w:szCs w:val="24"/>
          <w:lang w:val="en-US" w:eastAsia="zh-CN"/>
          <w14:textFill>
            <w14:solidFill>
              <w14:schemeClr w14:val="tx1"/>
            </w14:solidFill>
          </w14:textFill>
        </w:rPr>
        <w:t>目的</w:t>
      </w:r>
      <w:r>
        <w:rPr>
          <w:color w:val="000000" w:themeColor="text1"/>
          <w:sz w:val="24"/>
          <w:szCs w:val="24"/>
          <w14:textFill>
            <w14:solidFill>
              <w14:schemeClr w14:val="tx1"/>
            </w14:solidFill>
          </w14:textFill>
        </w:rPr>
        <w:t>及</w:t>
      </w:r>
      <w:bookmarkEnd w:id="6"/>
      <w:bookmarkEnd w:id="7"/>
      <w:bookmarkEnd w:id="8"/>
      <w:r>
        <w:rPr>
          <w:rFonts w:hint="eastAsia"/>
          <w:color w:val="000000" w:themeColor="text1"/>
          <w:sz w:val="24"/>
          <w:szCs w:val="24"/>
          <w:lang w:val="en-US" w:eastAsia="zh-CN"/>
          <w14:textFill>
            <w14:solidFill>
              <w14:schemeClr w14:val="tx1"/>
            </w14:solidFill>
          </w14:textFill>
        </w:rPr>
        <w:t>意义</w:t>
      </w:r>
    </w:p>
    <w:p w14:paraId="21EEFCCC">
      <w:pPr>
        <w:spacing w:line="360" w:lineRule="auto"/>
        <w:ind w:firstLine="480" w:firstLineChars="200"/>
        <w:jc w:val="both"/>
        <w:rPr>
          <w:rFonts w:hint="eastAsia" w:eastAsiaTheme="minorEastAsia"/>
          <w:color w:val="000000" w:themeColor="text1"/>
          <w:szCs w:val="28"/>
          <w:lang w:val="en-US" w:eastAsia="zh-CN"/>
          <w14:textFill>
            <w14:solidFill>
              <w14:schemeClr w14:val="tx1"/>
            </w14:solidFill>
          </w14:textFill>
        </w:rPr>
      </w:pPr>
      <w:r>
        <w:rPr>
          <w:rFonts w:hint="eastAsia" w:eastAsiaTheme="minorEastAsia"/>
          <w:color w:val="000000" w:themeColor="text1"/>
          <w:szCs w:val="28"/>
          <w:lang w:val="en-US" w:eastAsia="zh-CN"/>
          <w14:textFill>
            <w14:solidFill>
              <w14:schemeClr w14:val="tx1"/>
            </w14:solidFill>
          </w14:textFill>
        </w:rPr>
        <w:t>真空和(或)压力浸注(处理)用木材防腐设备机组，是生产防腐木材的重要设备设施。近年来，随着国家实施乡村振兴、大力发展文旅产业、加强文物强国建设等政策出台，防腐木材被广泛应用于木栈道、木结构、古建等领域，对防腐木材的产品质量提出了更高的要求。</w:t>
      </w:r>
    </w:p>
    <w:p w14:paraId="3F6F661C">
      <w:pPr>
        <w:spacing w:line="360" w:lineRule="auto"/>
        <w:ind w:firstLine="480" w:firstLineChars="200"/>
        <w:jc w:val="both"/>
        <w:rPr>
          <w:rFonts w:hint="eastAsia" w:eastAsiaTheme="minorEastAsia"/>
          <w:color w:val="000000" w:themeColor="text1"/>
          <w:szCs w:val="28"/>
          <w:lang w:val="en-US" w:eastAsia="zh-CN"/>
          <w14:textFill>
            <w14:solidFill>
              <w14:schemeClr w14:val="tx1"/>
            </w14:solidFill>
          </w14:textFill>
        </w:rPr>
      </w:pPr>
      <w:r>
        <w:rPr>
          <w:rFonts w:hint="eastAsia" w:eastAsiaTheme="minorEastAsia"/>
          <w:color w:val="000000" w:themeColor="text1"/>
          <w:szCs w:val="28"/>
          <w:lang w:val="en-US" w:eastAsia="zh-CN"/>
          <w14:textFill>
            <w14:solidFill>
              <w14:schemeClr w14:val="tx1"/>
            </w14:solidFill>
          </w14:textFill>
        </w:rPr>
        <w:t>《真空和(或)压力浸注(处理)用木材防腐设备机组》标准已执行15年，有效提升了木材防腐处理设备的水平，为推动木材保护行业发展发挥了积极作用。为了满足不同不同领域对防腐木材的需求，以及与国家其他相关标准相适应，不仅限于木材防腐处理，还应包括防霉、阻燃、改性处理等，提高设备机组的自动化要求，须与时俱进，很有必要对标准内容进行修订，包括标准代号、标准名称，选标内容应面向木材防腐处理企业，按照设备选型标准进行调整，以及规范性引用文件、术语、设备机组的自动化要求等内容进行修订。</w:t>
      </w:r>
    </w:p>
    <w:p w14:paraId="7E64DF2D">
      <w:pPr>
        <w:spacing w:line="360" w:lineRule="auto"/>
        <w:ind w:firstLine="480" w:firstLineChars="200"/>
        <w:jc w:val="both"/>
        <w:rPr>
          <w:rFonts w:hint="eastAsia" w:eastAsiaTheme="minorEastAsia"/>
          <w:color w:val="000000" w:themeColor="text1"/>
          <w:szCs w:val="28"/>
          <w:lang w:val="en-US" w:eastAsia="zh-CN"/>
          <w14:textFill>
            <w14:solidFill>
              <w14:schemeClr w14:val="tx1"/>
            </w14:solidFill>
          </w14:textFill>
        </w:rPr>
      </w:pPr>
      <w:r>
        <w:rPr>
          <w:rFonts w:hint="eastAsia" w:eastAsiaTheme="minorEastAsia"/>
          <w:color w:val="000000" w:themeColor="text1"/>
          <w:szCs w:val="28"/>
          <w:lang w:val="en-US" w:eastAsia="zh-CN"/>
          <w14:textFill>
            <w14:solidFill>
              <w14:schemeClr w14:val="tx1"/>
            </w14:solidFill>
          </w14:textFill>
        </w:rPr>
        <w:t>2011年，工信部《新型建筑材料工业“十二五”发展规划》将防腐木材列入新型建筑材料产品发展重点。2012年，工信部发布了《木材防腐行业准入条件》，从建设条件和产业布局，规模、工艺及装备，环境保护和资源综合利用等提出要求，推进木材防腐工业转型升级。2015年，工信部、住建部印发了关于《促进绿色建材生产和应用行动方案》，提出发展木结构，促进木结构建筑在学校、幼托、敬老院、园林景观的使用。通过修订《真空和(或)压力浸注(处理)用木材防腐设备机组》标准，能进一步提升我国木材防腐工艺水平，供给优质防腐改性木材产品，延长木制品全生命周期，对我国双碳目标的实现和生态文明建设都具有积极意义。</w:t>
      </w:r>
    </w:p>
    <w:p w14:paraId="327E2505">
      <w:pPr>
        <w:pStyle w:val="11"/>
        <w:numPr>
          <w:ilvl w:val="0"/>
          <w:numId w:val="0"/>
        </w:numPr>
        <w:snapToGrid w:val="0"/>
        <w:spacing w:before="163" w:beforeLines="50" w:after="163" w:afterLines="50" w:line="500" w:lineRule="exact"/>
        <w:ind w:leftChars="0"/>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w:t>
      </w:r>
      <w:r>
        <w:rPr>
          <w:rFonts w:hint="eastAsia"/>
          <w:color w:val="000000" w:themeColor="text1"/>
          <w:sz w:val="24"/>
          <w:szCs w:val="24"/>
          <w:lang w:val="en-US" w:eastAsia="zh-CN"/>
          <w14:textFill>
            <w14:solidFill>
              <w14:schemeClr w14:val="tx1"/>
            </w14:solidFill>
          </w14:textFill>
        </w:rPr>
        <w:t xml:space="preserve">4 </w:t>
      </w:r>
      <w:r>
        <w:rPr>
          <w:color w:val="000000" w:themeColor="text1"/>
          <w:sz w:val="24"/>
          <w:szCs w:val="24"/>
          <w14:textFill>
            <w14:solidFill>
              <w14:schemeClr w14:val="tx1"/>
            </w14:solidFill>
          </w14:textFill>
        </w:rPr>
        <w:t>主要工作过程</w:t>
      </w:r>
    </w:p>
    <w:p w14:paraId="23C48217">
      <w:pPr>
        <w:spacing w:line="360" w:lineRule="auto"/>
        <w:ind w:firstLine="480" w:firstLineChars="200"/>
        <w:jc w:val="both"/>
        <w:rPr>
          <w:rFonts w:hint="eastAsia" w:eastAsia="宋体"/>
          <w:color w:val="000000" w:themeColor="text1"/>
          <w:szCs w:val="28"/>
          <w:lang w:val="en-US" w:eastAsia="zh-CN"/>
          <w14:textFill>
            <w14:solidFill>
              <w14:schemeClr w14:val="tx1"/>
            </w14:solidFill>
          </w14:textFill>
        </w:rPr>
      </w:pPr>
      <w:r>
        <w:rPr>
          <w:rFonts w:hint="eastAsia" w:eastAsiaTheme="minorEastAsia"/>
          <w:color w:val="000000" w:themeColor="text1"/>
          <w:szCs w:val="28"/>
          <w14:textFill>
            <w14:solidFill>
              <w14:schemeClr w14:val="tx1"/>
            </w14:solidFill>
          </w14:textFill>
        </w:rPr>
        <w:t>为贯彻中央经济工作会议和全国工业和信息化工作会议精神，落实《关于促进制造业产品和服务质量提升的实施意见》要求，推进工业质量品牌建设工作，支持制造业高质量发展以《中共中央 国务院关于开展质量提升行动的指导意见》，</w:t>
      </w:r>
      <w:r>
        <w:rPr>
          <w:rFonts w:eastAsiaTheme="minorEastAsia"/>
          <w:color w:val="000000" w:themeColor="text1"/>
          <w:szCs w:val="28"/>
          <w14:textFill>
            <w14:solidFill>
              <w14:schemeClr w14:val="tx1"/>
            </w14:solidFill>
          </w14:textFill>
        </w:rPr>
        <w:t>开展本标准的制定工作</w:t>
      </w:r>
      <w:r>
        <w:rPr>
          <w:rFonts w:hint="eastAsia" w:eastAsiaTheme="minorEastAsia"/>
          <w:color w:val="000000" w:themeColor="text1"/>
          <w:szCs w:val="28"/>
          <w14:textFill>
            <w14:solidFill>
              <w14:schemeClr w14:val="tx1"/>
            </w14:solidFill>
          </w14:textFill>
        </w:rPr>
        <w:t>。标准起草组组织行业专家和企业代表对现行标准的实施情况进行广泛调研，收集各方意见和建议，并对国内外相关标准进行对比分析，为标准修订提供参考依据。</w:t>
      </w:r>
      <w:r>
        <w:rPr>
          <w:rFonts w:hint="eastAsia" w:eastAsiaTheme="minorEastAsia"/>
          <w:color w:val="000000" w:themeColor="text1"/>
          <w:szCs w:val="28"/>
          <w:lang w:val="en-US" w:eastAsia="zh-CN"/>
          <w14:textFill>
            <w14:solidFill>
              <w14:schemeClr w14:val="tx1"/>
            </w14:solidFill>
          </w14:textFill>
        </w:rPr>
        <w:t>该标准给出了</w:t>
      </w:r>
      <w:r>
        <w:rPr>
          <w:rFonts w:hint="default" w:ascii="Times New Roman" w:hAnsi="Times New Roman" w:cs="Times New Roman"/>
        </w:rPr>
        <w:t>建筑用防腐木材技术规范</w:t>
      </w:r>
      <w:r>
        <w:rPr>
          <w:rFonts w:hint="eastAsia" w:ascii="Times New Roman" w:hAnsi="Times New Roman" w:cs="Times New Roman"/>
          <w:lang w:eastAsia="zh-CN"/>
        </w:rPr>
        <w:t>，</w:t>
      </w:r>
    </w:p>
    <w:p w14:paraId="53151126">
      <w:pPr>
        <w:spacing w:line="360" w:lineRule="auto"/>
        <w:ind w:firstLine="480" w:firstLineChars="200"/>
        <w:jc w:val="both"/>
        <w:rPr>
          <w:color w:val="000000" w:themeColor="text1"/>
          <w14:textFill>
            <w14:solidFill>
              <w14:schemeClr w14:val="tx1"/>
            </w14:solidFill>
          </w14:textFill>
        </w:rPr>
      </w:pPr>
      <w:r>
        <w:rPr>
          <w:color w:val="000000" w:themeColor="text1"/>
          <w14:textFill>
            <w14:solidFill>
              <w14:schemeClr w14:val="tx1"/>
            </w14:solidFill>
          </w14:textFill>
        </w:rPr>
        <w:t>具体</w:t>
      </w:r>
      <w:r>
        <w:rPr>
          <w:rFonts w:hint="eastAsia"/>
          <w:color w:val="000000" w:themeColor="text1"/>
          <w14:textFill>
            <w14:solidFill>
              <w14:schemeClr w14:val="tx1"/>
            </w14:solidFill>
          </w14:textFill>
        </w:rPr>
        <w:t>编制</w:t>
      </w:r>
      <w:r>
        <w:rPr>
          <w:color w:val="000000" w:themeColor="text1"/>
          <w14:textFill>
            <w14:solidFill>
              <w14:schemeClr w14:val="tx1"/>
            </w14:solidFill>
          </w14:textFill>
        </w:rPr>
        <w:t>过程如下：</w:t>
      </w:r>
    </w:p>
    <w:p w14:paraId="6A3FB6B1">
      <w:pPr>
        <w:spacing w:line="360" w:lineRule="auto"/>
        <w:ind w:firstLine="480" w:firstLineChars="200"/>
        <w:jc w:val="both"/>
        <w:rPr>
          <w:rFonts w:eastAsiaTheme="minorEastAsia"/>
          <w:color w:val="000000" w:themeColor="text1"/>
          <w:szCs w:val="28"/>
          <w14:textFill>
            <w14:solidFill>
              <w14:schemeClr w14:val="tx1"/>
            </w14:solidFill>
          </w14:textFill>
        </w:rPr>
      </w:pPr>
      <w:r>
        <w:rPr>
          <w:rFonts w:hint="eastAsia" w:eastAsiaTheme="minorEastAsia"/>
          <w:color w:val="000000" w:themeColor="text1"/>
          <w:szCs w:val="28"/>
          <w14:textFill>
            <w14:solidFill>
              <w14:schemeClr w14:val="tx1"/>
            </w14:solidFill>
          </w14:textFill>
        </w:rPr>
        <w:t>202</w:t>
      </w:r>
      <w:r>
        <w:rPr>
          <w:rFonts w:hint="eastAsia" w:eastAsiaTheme="minorEastAsia"/>
          <w:color w:val="000000" w:themeColor="text1"/>
          <w:szCs w:val="28"/>
          <w:lang w:val="en-US" w:eastAsia="zh-CN"/>
          <w14:textFill>
            <w14:solidFill>
              <w14:schemeClr w14:val="tx1"/>
            </w14:solidFill>
          </w14:textFill>
        </w:rPr>
        <w:t>4</w:t>
      </w:r>
      <w:r>
        <w:rPr>
          <w:rFonts w:hint="eastAsia" w:eastAsiaTheme="minorEastAsia"/>
          <w:color w:val="000000" w:themeColor="text1"/>
          <w:szCs w:val="28"/>
          <w14:textFill>
            <w14:solidFill>
              <w14:schemeClr w14:val="tx1"/>
            </w14:solidFill>
          </w14:textFill>
        </w:rPr>
        <w:t>年</w:t>
      </w:r>
      <w:r>
        <w:rPr>
          <w:rFonts w:hint="eastAsia" w:eastAsiaTheme="minorEastAsia"/>
          <w:color w:val="000000" w:themeColor="text1"/>
          <w:szCs w:val="28"/>
          <w:lang w:val="en-US" w:eastAsia="zh-CN"/>
          <w14:textFill>
            <w14:solidFill>
              <w14:schemeClr w14:val="tx1"/>
            </w14:solidFill>
          </w14:textFill>
        </w:rPr>
        <w:t>3</w:t>
      </w:r>
      <w:r>
        <w:rPr>
          <w:rFonts w:hint="eastAsia" w:eastAsiaTheme="minorEastAsia"/>
          <w:color w:val="000000" w:themeColor="text1"/>
          <w:szCs w:val="28"/>
          <w14:textFill>
            <w14:solidFill>
              <w14:schemeClr w14:val="tx1"/>
            </w14:solidFill>
          </w14:textFill>
        </w:rPr>
        <w:t>月，工业和信息化部下达</w:t>
      </w:r>
      <w:r>
        <w:rPr>
          <w:rFonts w:eastAsiaTheme="minorEastAsia"/>
          <w:color w:val="000000" w:themeColor="text1"/>
          <w:szCs w:val="28"/>
          <w14:textFill>
            <w14:solidFill>
              <w14:schemeClr w14:val="tx1"/>
            </w14:solidFill>
          </w14:textFill>
        </w:rPr>
        <w:t>了</w:t>
      </w:r>
      <w:r>
        <w:rPr>
          <w:color w:val="000000" w:themeColor="text1"/>
          <w14:textFill>
            <w14:solidFill>
              <w14:schemeClr w14:val="tx1"/>
            </w14:solidFill>
          </w14:textFill>
        </w:rPr>
        <w:t>《</w:t>
      </w:r>
      <w:r>
        <w:rPr>
          <w:rFonts w:hint="eastAsia"/>
          <w:color w:val="000000" w:themeColor="text1"/>
          <w:lang w:eastAsia="zh-CN"/>
          <w14:textFill>
            <w14:solidFill>
              <w14:schemeClr w14:val="tx1"/>
            </w14:solidFill>
          </w14:textFill>
        </w:rPr>
        <w:t>真空和(或)压力浸注(处理)用木材防腐设备机组</w:t>
      </w:r>
      <w:r>
        <w:rPr>
          <w:color w:val="000000" w:themeColor="text1"/>
          <w14:textFill>
            <w14:solidFill>
              <w14:schemeClr w14:val="tx1"/>
            </w14:solidFill>
          </w14:textFill>
        </w:rPr>
        <w:t>》</w:t>
      </w:r>
      <w:r>
        <w:rPr>
          <w:rFonts w:hint="eastAsia" w:eastAsiaTheme="minorEastAsia"/>
          <w:color w:val="000000" w:themeColor="text1"/>
          <w:szCs w:val="28"/>
          <w14:textFill>
            <w14:solidFill>
              <w14:schemeClr w14:val="tx1"/>
            </w14:solidFill>
          </w14:textFill>
        </w:rPr>
        <w:t>行业</w:t>
      </w:r>
      <w:r>
        <w:rPr>
          <w:rFonts w:eastAsiaTheme="minorEastAsia"/>
          <w:color w:val="000000" w:themeColor="text1"/>
          <w:szCs w:val="28"/>
          <w14:textFill>
            <w14:solidFill>
              <w14:schemeClr w14:val="tx1"/>
            </w14:solidFill>
          </w14:textFill>
        </w:rPr>
        <w:t>标准</w:t>
      </w:r>
      <w:r>
        <w:rPr>
          <w:rFonts w:hint="eastAsia"/>
          <w:color w:val="000000" w:themeColor="text1"/>
          <w14:textFill>
            <w14:solidFill>
              <w14:schemeClr w14:val="tx1"/>
            </w14:solidFill>
          </w14:textFill>
        </w:rPr>
        <w:t>项目计划</w:t>
      </w:r>
      <w:r>
        <w:rPr>
          <w:color w:val="000000" w:themeColor="text1"/>
          <w14:textFill>
            <w14:solidFill>
              <w14:schemeClr w14:val="tx1"/>
            </w14:solidFill>
          </w14:textFill>
        </w:rPr>
        <w:t>，计划编号</w:t>
      </w:r>
      <w:r>
        <w:rPr>
          <w:rFonts w:hint="eastAsia"/>
          <w:color w:val="000000" w:themeColor="text1"/>
          <w14:textFill>
            <w14:solidFill>
              <w14:schemeClr w14:val="tx1"/>
            </w14:solidFill>
          </w14:textFill>
        </w:rPr>
        <w:t>为2024-0228T-JC</w:t>
      </w:r>
      <w:r>
        <w:rPr>
          <w:rFonts w:hint="eastAsia"/>
          <w:color w:val="000000" w:themeColor="text1"/>
          <w:lang w:eastAsia="zh-CN"/>
          <w14:textFill>
            <w14:solidFill>
              <w14:schemeClr w14:val="tx1"/>
            </w14:solidFill>
          </w14:textFill>
        </w:rPr>
        <w:t>，</w:t>
      </w:r>
      <w:r>
        <w:rPr>
          <w:rFonts w:hint="eastAsia"/>
          <w:color w:val="000000" w:themeColor="text1"/>
          <w:lang w:val="en-US" w:eastAsia="zh-CN"/>
          <w14:textFill>
            <w14:solidFill>
              <w14:schemeClr w14:val="tx1"/>
            </w14:solidFill>
          </w14:textFill>
        </w:rPr>
        <w:t>代替标准SB/T 10440—2007</w:t>
      </w:r>
      <w:r>
        <w:rPr>
          <w:rFonts w:hint="eastAsia" w:eastAsiaTheme="minorEastAsia"/>
          <w:color w:val="000000" w:themeColor="text1"/>
          <w:szCs w:val="28"/>
          <w14:textFill>
            <w14:solidFill>
              <w14:schemeClr w14:val="tx1"/>
            </w14:solidFill>
          </w14:textFill>
        </w:rPr>
        <w:t>。</w:t>
      </w:r>
    </w:p>
    <w:p w14:paraId="1769569F">
      <w:pPr>
        <w:spacing w:line="360" w:lineRule="auto"/>
        <w:ind w:firstLine="480" w:firstLineChars="200"/>
        <w:jc w:val="both"/>
        <w:rPr>
          <w:rFonts w:hint="eastAsia" w:eastAsiaTheme="minorEastAsia"/>
          <w:color w:val="000000" w:themeColor="text1"/>
          <w:szCs w:val="28"/>
          <w14:textFill>
            <w14:solidFill>
              <w14:schemeClr w14:val="tx1"/>
            </w14:solidFill>
          </w14:textFill>
        </w:rPr>
      </w:pPr>
      <w:r>
        <w:rPr>
          <w:rFonts w:hint="eastAsia" w:eastAsiaTheme="minorEastAsia"/>
          <w:color w:val="000000" w:themeColor="text1"/>
          <w:szCs w:val="28"/>
          <w14:textFill>
            <w14:solidFill>
              <w14:schemeClr w14:val="tx1"/>
            </w14:solidFill>
          </w14:textFill>
        </w:rPr>
        <w:t>202</w:t>
      </w:r>
      <w:r>
        <w:rPr>
          <w:rFonts w:hint="eastAsia" w:eastAsiaTheme="minorEastAsia"/>
          <w:color w:val="000000" w:themeColor="text1"/>
          <w:szCs w:val="28"/>
          <w:lang w:val="en-US" w:eastAsia="zh-CN"/>
          <w14:textFill>
            <w14:solidFill>
              <w14:schemeClr w14:val="tx1"/>
            </w14:solidFill>
          </w14:textFill>
        </w:rPr>
        <w:t>4</w:t>
      </w:r>
      <w:r>
        <w:rPr>
          <w:rFonts w:hint="eastAsia" w:eastAsiaTheme="minorEastAsia"/>
          <w:color w:val="000000" w:themeColor="text1"/>
          <w:szCs w:val="28"/>
          <w14:textFill>
            <w14:solidFill>
              <w14:schemeClr w14:val="tx1"/>
            </w14:solidFill>
          </w14:textFill>
        </w:rPr>
        <w:t>年</w:t>
      </w:r>
      <w:r>
        <w:rPr>
          <w:rFonts w:hint="eastAsia" w:eastAsiaTheme="minorEastAsia"/>
          <w:color w:val="000000" w:themeColor="text1"/>
          <w:szCs w:val="28"/>
          <w:lang w:val="en-US" w:eastAsia="zh-CN"/>
          <w14:textFill>
            <w14:solidFill>
              <w14:schemeClr w14:val="tx1"/>
            </w14:solidFill>
          </w14:textFill>
        </w:rPr>
        <w:t>4</w:t>
      </w:r>
      <w:r>
        <w:rPr>
          <w:rFonts w:hint="eastAsia" w:eastAsiaTheme="minorEastAsia"/>
          <w:color w:val="000000" w:themeColor="text1"/>
          <w:szCs w:val="28"/>
          <w14:textFill>
            <w14:solidFill>
              <w14:schemeClr w14:val="tx1"/>
            </w14:solidFill>
          </w14:textFill>
        </w:rPr>
        <w:t>月-</w:t>
      </w:r>
      <w:r>
        <w:rPr>
          <w:rFonts w:hint="eastAsia" w:eastAsiaTheme="minorEastAsia"/>
          <w:color w:val="000000" w:themeColor="text1"/>
          <w:szCs w:val="28"/>
          <w:lang w:val="en-US" w:eastAsia="zh-CN"/>
          <w14:textFill>
            <w14:solidFill>
              <w14:schemeClr w14:val="tx1"/>
            </w14:solidFill>
          </w14:textFill>
        </w:rPr>
        <w:t>8</w:t>
      </w:r>
      <w:r>
        <w:rPr>
          <w:rFonts w:hint="eastAsia" w:eastAsiaTheme="minorEastAsia"/>
          <w:color w:val="000000" w:themeColor="text1"/>
          <w:szCs w:val="28"/>
          <w14:textFill>
            <w14:solidFill>
              <w14:schemeClr w14:val="tx1"/>
            </w14:solidFill>
          </w14:textFill>
        </w:rPr>
        <w:t>月</w:t>
      </w:r>
      <w:r>
        <w:rPr>
          <w:rFonts w:eastAsiaTheme="minorEastAsia"/>
          <w:color w:val="000000" w:themeColor="text1"/>
          <w:szCs w:val="28"/>
          <w14:textFill>
            <w14:solidFill>
              <w14:schemeClr w14:val="tx1"/>
            </w14:solidFill>
          </w14:textFill>
        </w:rPr>
        <w:t>，</w:t>
      </w:r>
      <w:r>
        <w:rPr>
          <w:rFonts w:hint="eastAsia" w:eastAsiaTheme="minorEastAsia"/>
          <w:color w:val="000000" w:themeColor="text1"/>
          <w:szCs w:val="28"/>
          <w14:textFill>
            <w14:solidFill>
              <w14:schemeClr w14:val="tx1"/>
            </w14:solidFill>
          </w14:textFill>
        </w:rPr>
        <w:t>编制组查阅和参考了相关标准和相关文献，并</w:t>
      </w:r>
      <w:r>
        <w:rPr>
          <w:rFonts w:eastAsiaTheme="minorEastAsia"/>
          <w:color w:val="000000" w:themeColor="text1"/>
          <w:szCs w:val="28"/>
          <w14:textFill>
            <w14:solidFill>
              <w14:schemeClr w14:val="tx1"/>
            </w14:solidFill>
          </w14:textFill>
        </w:rPr>
        <w:t>对</w:t>
      </w:r>
      <w:r>
        <w:rPr>
          <w:rFonts w:hint="eastAsia" w:eastAsiaTheme="minorEastAsia"/>
          <w:color w:val="000000" w:themeColor="text1"/>
          <w:szCs w:val="28"/>
          <w:lang w:val="en-US" w:eastAsia="zh-CN"/>
          <w14:textFill>
            <w14:solidFill>
              <w14:schemeClr w14:val="tx1"/>
            </w14:solidFill>
          </w14:textFill>
        </w:rPr>
        <w:t>防腐木</w:t>
      </w:r>
      <w:r>
        <w:rPr>
          <w:rFonts w:eastAsiaTheme="minorEastAsia"/>
          <w:color w:val="000000" w:themeColor="text1"/>
          <w:szCs w:val="28"/>
          <w14:textFill>
            <w14:solidFill>
              <w14:schemeClr w14:val="tx1"/>
            </w14:solidFill>
          </w14:textFill>
        </w:rPr>
        <w:t>企业进行</w:t>
      </w:r>
      <w:r>
        <w:rPr>
          <w:rFonts w:hint="eastAsia" w:eastAsiaTheme="minorEastAsia"/>
          <w:color w:val="000000" w:themeColor="text1"/>
          <w:szCs w:val="28"/>
          <w14:textFill>
            <w14:solidFill>
              <w14:schemeClr w14:val="tx1"/>
            </w14:solidFill>
          </w14:textFill>
        </w:rPr>
        <w:t>实地调研</w:t>
      </w:r>
      <w:r>
        <w:rPr>
          <w:rFonts w:eastAsiaTheme="minorEastAsia"/>
          <w:color w:val="000000" w:themeColor="text1"/>
          <w:szCs w:val="28"/>
          <w14:textFill>
            <w14:solidFill>
              <w14:schemeClr w14:val="tx1"/>
            </w14:solidFill>
          </w14:textFill>
        </w:rPr>
        <w:t>，</w:t>
      </w:r>
      <w:r>
        <w:rPr>
          <w:rFonts w:hint="eastAsia" w:eastAsiaTheme="minorEastAsia"/>
          <w:color w:val="000000" w:themeColor="text1"/>
          <w:szCs w:val="28"/>
          <w14:textFill>
            <w14:solidFill>
              <w14:schemeClr w14:val="tx1"/>
            </w14:solidFill>
          </w14:textFill>
        </w:rPr>
        <w:t>搜集并分析了相关信息，编制完成标准草案。</w:t>
      </w:r>
    </w:p>
    <w:p w14:paraId="14250029">
      <w:pPr>
        <w:spacing w:line="360" w:lineRule="auto"/>
        <w:ind w:firstLine="480" w:firstLineChars="200"/>
        <w:jc w:val="both"/>
        <w:rPr>
          <w:rFonts w:hint="eastAsia" w:eastAsiaTheme="minorEastAsia"/>
          <w:color w:val="000000" w:themeColor="text1"/>
          <w:szCs w:val="28"/>
          <w:lang w:val="en-US" w:eastAsia="zh-CN"/>
          <w14:textFill>
            <w14:solidFill>
              <w14:schemeClr w14:val="tx1"/>
            </w14:solidFill>
          </w14:textFill>
        </w:rPr>
      </w:pPr>
      <w:r>
        <w:rPr>
          <w:rFonts w:hint="eastAsia" w:eastAsiaTheme="minorEastAsia"/>
          <w:color w:val="000000" w:themeColor="text1"/>
          <w:szCs w:val="28"/>
          <w:lang w:val="en-US" w:eastAsia="zh-CN"/>
          <w14:textFill>
            <w14:solidFill>
              <w14:schemeClr w14:val="tx1"/>
            </w14:solidFill>
          </w14:textFill>
        </w:rPr>
        <w:t>2024年8月6日，编制组组织召开标准工作研讨会，在会议上讨论了标准的主要内容。</w:t>
      </w:r>
    </w:p>
    <w:p w14:paraId="0BF7D4A7">
      <w:pPr>
        <w:spacing w:line="360" w:lineRule="auto"/>
        <w:ind w:firstLine="480" w:firstLineChars="200"/>
        <w:jc w:val="both"/>
        <w:rPr>
          <w:rFonts w:hint="eastAsia" w:eastAsiaTheme="minorEastAsia"/>
          <w:color w:val="000000" w:themeColor="text1"/>
          <w:szCs w:val="28"/>
          <w:lang w:val="en-US" w:eastAsia="zh-CN"/>
          <w14:textFill>
            <w14:solidFill>
              <w14:schemeClr w14:val="tx1"/>
            </w14:solidFill>
          </w14:textFill>
        </w:rPr>
      </w:pPr>
      <w:r>
        <w:rPr>
          <w:rFonts w:hint="eastAsia" w:eastAsiaTheme="minorEastAsia"/>
          <w:color w:val="000000" w:themeColor="text1"/>
          <w:szCs w:val="28"/>
          <w:lang w:val="en-US" w:eastAsia="zh-CN"/>
          <w14:textFill>
            <w14:solidFill>
              <w14:schemeClr w14:val="tx1"/>
            </w14:solidFill>
          </w14:textFill>
        </w:rPr>
        <w:t>2024年9—12月，编制组进一步完善了标准草稿，补充相关参数信息。</w:t>
      </w:r>
    </w:p>
    <w:p w14:paraId="618DFBDF">
      <w:pPr>
        <w:spacing w:line="360" w:lineRule="auto"/>
        <w:ind w:firstLine="480" w:firstLineChars="200"/>
        <w:jc w:val="both"/>
        <w:rPr>
          <w:rFonts w:hint="eastAsia" w:eastAsiaTheme="minorEastAsia"/>
          <w:color w:val="000000" w:themeColor="text1"/>
          <w:szCs w:val="28"/>
          <w:lang w:val="en-US" w:eastAsia="zh-CN"/>
          <w14:textFill>
            <w14:solidFill>
              <w14:schemeClr w14:val="tx1"/>
            </w14:solidFill>
          </w14:textFill>
        </w:rPr>
      </w:pPr>
      <w:r>
        <w:rPr>
          <w:rFonts w:hint="eastAsia" w:eastAsiaTheme="minorEastAsia"/>
          <w:color w:val="000000" w:themeColor="text1"/>
          <w:szCs w:val="28"/>
          <w:lang w:val="en-US" w:eastAsia="zh-CN"/>
          <w14:textFill>
            <w14:solidFill>
              <w14:schemeClr w14:val="tx1"/>
            </w14:solidFill>
          </w14:textFill>
        </w:rPr>
        <w:t>2025年3月19日，编制组对标准草稿进行了讨论，进一步明确了相关参数，标准征求意见稿（初稿）。</w:t>
      </w:r>
    </w:p>
    <w:p w14:paraId="7AB9E54D">
      <w:pPr>
        <w:spacing w:line="360" w:lineRule="auto"/>
        <w:ind w:firstLine="480" w:firstLineChars="200"/>
        <w:jc w:val="both"/>
        <w:rPr>
          <w:rFonts w:hint="eastAsia" w:eastAsiaTheme="minorEastAsia"/>
          <w:color w:val="000000" w:themeColor="text1"/>
          <w:szCs w:val="28"/>
          <w:lang w:val="en-US" w:eastAsia="zh-CN"/>
          <w14:textFill>
            <w14:solidFill>
              <w14:schemeClr w14:val="tx1"/>
            </w14:solidFill>
          </w14:textFill>
        </w:rPr>
      </w:pPr>
      <w:r>
        <w:rPr>
          <w:rFonts w:hint="eastAsia" w:eastAsiaTheme="minorEastAsia"/>
          <w:color w:val="000000" w:themeColor="text1"/>
          <w:szCs w:val="28"/>
          <w:lang w:val="en-US" w:eastAsia="zh-CN"/>
          <w14:textFill>
            <w14:solidFill>
              <w14:schemeClr w14:val="tx1"/>
            </w14:solidFill>
          </w14:textFill>
        </w:rPr>
        <w:t>2025年4—8月，编制组对标准征求意见稿（初稿）进一步补充完善，形成了征求意见稿。</w:t>
      </w:r>
    </w:p>
    <w:p w14:paraId="72F6BF50">
      <w:pPr>
        <w:spacing w:line="360" w:lineRule="auto"/>
        <w:ind w:firstLine="480" w:firstLineChars="200"/>
        <w:jc w:val="both"/>
        <w:rPr>
          <w:rFonts w:hint="default" w:eastAsiaTheme="minorEastAsia"/>
          <w:color w:val="000000" w:themeColor="text1"/>
          <w:szCs w:val="28"/>
          <w:highlight w:val="yellow"/>
          <w:lang w:val="en-US" w:eastAsia="zh-CN"/>
          <w14:textFill>
            <w14:solidFill>
              <w14:schemeClr w14:val="tx1"/>
            </w14:solidFill>
          </w14:textFill>
        </w:rPr>
      </w:pPr>
      <w:r>
        <w:rPr>
          <w:rFonts w:hint="eastAsia" w:eastAsiaTheme="minorEastAsia"/>
          <w:color w:val="000000" w:themeColor="text1"/>
          <w:szCs w:val="28"/>
          <w:lang w:val="en-US" w:eastAsia="zh-CN"/>
          <w14:textFill>
            <w14:solidFill>
              <w14:schemeClr w14:val="tx1"/>
            </w14:solidFill>
          </w14:textFill>
        </w:rPr>
        <w:t>2025年9月—10月，在中国建筑材料联合会官网进行为期45天的公开征求意见。</w:t>
      </w:r>
    </w:p>
    <w:p w14:paraId="2D191A60">
      <w:pPr>
        <w:pStyle w:val="10"/>
        <w:spacing w:before="326" w:beforeLines="100" w:after="326" w:afterLines="100"/>
        <w:rPr>
          <w:rFonts w:ascii="Times New Roman"/>
          <w:color w:val="000000" w:themeColor="text1"/>
          <w:sz w:val="28"/>
          <w:szCs w:val="28"/>
          <w14:textFill>
            <w14:solidFill>
              <w14:schemeClr w14:val="tx1"/>
            </w14:solidFill>
          </w14:textFill>
        </w:rPr>
      </w:pPr>
      <w:bookmarkStart w:id="9" w:name="_Toc10897"/>
      <w:r>
        <w:rPr>
          <w:rFonts w:ascii="Times New Roman"/>
          <w:color w:val="000000" w:themeColor="text1"/>
          <w:sz w:val="28"/>
          <w:szCs w:val="28"/>
          <w14:textFill>
            <w14:solidFill>
              <w14:schemeClr w14:val="tx1"/>
            </w14:solidFill>
          </w14:textFill>
        </w:rPr>
        <w:t>2 标准</w:t>
      </w:r>
      <w:r>
        <w:rPr>
          <w:rFonts w:hint="eastAsia" w:ascii="Times New Roman"/>
          <w:color w:val="000000" w:themeColor="text1"/>
          <w:sz w:val="28"/>
          <w:szCs w:val="28"/>
          <w:lang w:val="en-US" w:eastAsia="zh-CN"/>
          <w14:textFill>
            <w14:solidFill>
              <w14:schemeClr w14:val="tx1"/>
            </w14:solidFill>
          </w14:textFill>
        </w:rPr>
        <w:t>修订</w:t>
      </w:r>
      <w:r>
        <w:rPr>
          <w:rFonts w:ascii="Times New Roman"/>
          <w:color w:val="000000" w:themeColor="text1"/>
          <w:sz w:val="28"/>
          <w:szCs w:val="28"/>
          <w14:textFill>
            <w14:solidFill>
              <w14:schemeClr w14:val="tx1"/>
            </w14:solidFill>
          </w14:textFill>
        </w:rPr>
        <w:t>的原则和主要内容</w:t>
      </w:r>
      <w:bookmarkEnd w:id="9"/>
    </w:p>
    <w:p w14:paraId="3715AB58">
      <w:pPr>
        <w:pStyle w:val="11"/>
        <w:spacing w:before="163" w:beforeLines="50" w:after="163" w:afterLines="50" w:line="500" w:lineRule="exact"/>
        <w:rPr>
          <w:color w:val="000000" w:themeColor="text1"/>
          <w:sz w:val="24"/>
          <w:szCs w:val="24"/>
          <w14:textFill>
            <w14:solidFill>
              <w14:schemeClr w14:val="tx1"/>
            </w14:solidFill>
          </w14:textFill>
        </w:rPr>
      </w:pPr>
      <w:bookmarkStart w:id="10" w:name="_Toc3975"/>
      <w:bookmarkStart w:id="11" w:name="_Toc12672"/>
      <w:r>
        <w:rPr>
          <w:color w:val="000000" w:themeColor="text1"/>
          <w:sz w:val="24"/>
          <w:szCs w:val="24"/>
          <w14:textFill>
            <w14:solidFill>
              <w14:schemeClr w14:val="tx1"/>
            </w14:solidFill>
          </w14:textFill>
        </w:rPr>
        <w:t>2.1 标准</w:t>
      </w:r>
      <w:r>
        <w:rPr>
          <w:rFonts w:hint="eastAsia"/>
          <w:color w:val="000000" w:themeColor="text1"/>
          <w:sz w:val="24"/>
          <w:szCs w:val="24"/>
          <w:lang w:val="en-US" w:eastAsia="zh-CN"/>
          <w14:textFill>
            <w14:solidFill>
              <w14:schemeClr w14:val="tx1"/>
            </w14:solidFill>
          </w14:textFill>
        </w:rPr>
        <w:t>修订</w:t>
      </w:r>
      <w:r>
        <w:rPr>
          <w:color w:val="000000" w:themeColor="text1"/>
          <w:sz w:val="24"/>
          <w:szCs w:val="24"/>
          <w14:textFill>
            <w14:solidFill>
              <w14:schemeClr w14:val="tx1"/>
            </w14:solidFill>
          </w14:textFill>
        </w:rPr>
        <w:t>的原则</w:t>
      </w:r>
      <w:bookmarkEnd w:id="10"/>
      <w:bookmarkEnd w:id="11"/>
    </w:p>
    <w:p w14:paraId="3CD490FD">
      <w:pPr>
        <w:spacing w:line="360" w:lineRule="auto"/>
        <w:ind w:firstLine="48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本</w:t>
      </w:r>
      <w:r>
        <w:rPr>
          <w:color w:val="000000" w:themeColor="text1"/>
          <w14:textFill>
            <w14:solidFill>
              <w14:schemeClr w14:val="tx1"/>
            </w14:solidFill>
          </w14:textFill>
        </w:rPr>
        <w:t>标准</w:t>
      </w:r>
      <w:r>
        <w:rPr>
          <w:rFonts w:hint="eastAsia"/>
          <w:color w:val="000000" w:themeColor="text1"/>
          <w14:textFill>
            <w14:solidFill>
              <w14:schemeClr w14:val="tx1"/>
            </w14:solidFill>
          </w14:textFill>
        </w:rPr>
        <w:t>按GB</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T</w:t>
      </w:r>
      <w:r>
        <w:rPr>
          <w:color w:val="000000" w:themeColor="text1"/>
          <w14:textFill>
            <w14:solidFill>
              <w14:schemeClr w14:val="tx1"/>
            </w14:solidFill>
          </w14:textFill>
        </w:rPr>
        <w:t xml:space="preserve"> 1.1-2020</w:t>
      </w:r>
      <w:r>
        <w:rPr>
          <w:rFonts w:hint="eastAsia"/>
          <w:color w:val="000000" w:themeColor="text1"/>
          <w14:textFill>
            <w14:solidFill>
              <w14:schemeClr w14:val="tx1"/>
            </w14:solidFill>
          </w14:textFill>
        </w:rPr>
        <w:t>《标准化工作导则 第1部分：标准化文件的结构和起草规则》编制</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符合国家现行法律、法规政策文件要求。</w:t>
      </w:r>
    </w:p>
    <w:p w14:paraId="26D04F2F">
      <w:pPr>
        <w:spacing w:line="360" w:lineRule="auto"/>
        <w:ind w:firstLine="480"/>
        <w:jc w:val="both"/>
        <w:rPr>
          <w:rFonts w:hint="eastAsia"/>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修订</w:t>
      </w:r>
      <w:r>
        <w:rPr>
          <w:rFonts w:hint="eastAsia"/>
          <w:color w:val="000000" w:themeColor="text1"/>
          <w14:textFill>
            <w14:solidFill>
              <w14:schemeClr w14:val="tx1"/>
            </w14:solidFill>
          </w14:textFill>
        </w:rPr>
        <w:t>过程中遵循以下原则：</w:t>
      </w:r>
    </w:p>
    <w:p w14:paraId="6DA51594">
      <w:pPr>
        <w:spacing w:line="360" w:lineRule="auto"/>
        <w:ind w:firstLine="48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科学性与先进性：结合当前木材防腐领域的最新研究成果和技术发展，对标准内容进行更新和完善，确保标准的技术水平处于行业领先地位。</w:t>
      </w:r>
    </w:p>
    <w:p w14:paraId="73B99D46">
      <w:pPr>
        <w:spacing w:line="360" w:lineRule="auto"/>
        <w:ind w:firstLine="48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实用性与可操作性：充分考虑行业实际应用需求，确保标准中的各项条款清晰明确、易于理解和执行，便于企业和检测机构在实际操作中应用。</w:t>
      </w:r>
    </w:p>
    <w:p w14:paraId="45C82AB5">
      <w:pPr>
        <w:spacing w:line="360" w:lineRule="auto"/>
        <w:ind w:firstLine="48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协调性与一致性：与相关国家标准和行业标准保持协调一致，避免出现冲突或重复，确保整个标准</w:t>
      </w:r>
      <w:r>
        <w:rPr>
          <w:rFonts w:hint="eastAsia" w:eastAsiaTheme="minorEastAsia"/>
          <w:color w:val="000000" w:themeColor="text1"/>
          <w:szCs w:val="28"/>
          <w14:textFill>
            <w14:solidFill>
              <w14:schemeClr w14:val="tx1"/>
            </w14:solidFill>
          </w14:textFill>
        </w:rPr>
        <w:t>体系</w:t>
      </w:r>
      <w:r>
        <w:rPr>
          <w:rFonts w:hint="eastAsia"/>
          <w:color w:val="000000" w:themeColor="text1"/>
          <w14:textFill>
            <w14:solidFill>
              <w14:schemeClr w14:val="tx1"/>
            </w14:solidFill>
          </w14:textFill>
        </w:rPr>
        <w:t>的完整性和统一性。</w:t>
      </w:r>
    </w:p>
    <w:p w14:paraId="2300387B">
      <w:pPr>
        <w:pStyle w:val="11"/>
        <w:spacing w:before="163" w:beforeLines="50" w:after="163" w:afterLines="50" w:line="500" w:lineRule="exact"/>
        <w:rPr>
          <w:rFonts w:hint="eastAsia"/>
          <w:color w:val="000000" w:themeColor="text1"/>
          <w:sz w:val="24"/>
          <w:szCs w:val="24"/>
          <w14:textFill>
            <w14:solidFill>
              <w14:schemeClr w14:val="tx1"/>
            </w14:solidFill>
          </w14:textFill>
        </w:rPr>
      </w:pPr>
      <w:bookmarkStart w:id="12" w:name="_Toc21477"/>
      <w:bookmarkStart w:id="13" w:name="_Toc20896"/>
      <w:r>
        <w:rPr>
          <w:rFonts w:hint="eastAsia"/>
          <w:color w:val="000000" w:themeColor="text1"/>
          <w:sz w:val="24"/>
          <w:szCs w:val="24"/>
          <w14:textFill>
            <w14:solidFill>
              <w14:schemeClr w14:val="tx1"/>
            </w14:solidFill>
          </w14:textFill>
        </w:rPr>
        <w:t>2.2 标准</w:t>
      </w:r>
      <w:r>
        <w:rPr>
          <w:rFonts w:hint="eastAsia"/>
          <w:color w:val="000000" w:themeColor="text1"/>
          <w:sz w:val="24"/>
          <w:szCs w:val="24"/>
          <w:lang w:val="en-US" w:eastAsia="zh-CN"/>
          <w14:textFill>
            <w14:solidFill>
              <w14:schemeClr w14:val="tx1"/>
            </w14:solidFill>
          </w14:textFill>
        </w:rPr>
        <w:t>修订</w:t>
      </w:r>
      <w:r>
        <w:rPr>
          <w:rFonts w:hint="eastAsia"/>
          <w:color w:val="000000" w:themeColor="text1"/>
          <w:sz w:val="24"/>
          <w:szCs w:val="24"/>
          <w14:textFill>
            <w14:solidFill>
              <w14:schemeClr w14:val="tx1"/>
            </w14:solidFill>
          </w14:textFill>
        </w:rPr>
        <w:t>的主要内容</w:t>
      </w:r>
      <w:bookmarkEnd w:id="12"/>
      <w:bookmarkEnd w:id="13"/>
    </w:p>
    <w:p w14:paraId="07EE083F">
      <w:pPr>
        <w:spacing w:line="360" w:lineRule="auto"/>
        <w:ind w:firstLine="480"/>
        <w:jc w:val="both"/>
        <w:rPr>
          <w:rFonts w:hint="default" w:eastAsiaTheme="minorEastAsia"/>
          <w:color w:val="000000" w:themeColor="text1"/>
          <w:szCs w:val="28"/>
          <w:lang w:val="en-US" w:eastAsia="zh-CN"/>
          <w14:textFill>
            <w14:solidFill>
              <w14:schemeClr w14:val="tx1"/>
            </w14:solidFill>
          </w14:textFill>
        </w:rPr>
      </w:pPr>
      <w:r>
        <w:rPr>
          <w:rFonts w:eastAsiaTheme="minorEastAsia"/>
          <w:color w:val="000000" w:themeColor="text1"/>
          <w:szCs w:val="28"/>
          <w:lang w:val="en-US" w:eastAsia="zh-CN"/>
          <w14:textFill>
            <w14:solidFill>
              <w14:schemeClr w14:val="tx1"/>
            </w14:solidFill>
          </w14:textFill>
        </w:rPr>
        <w:t>（一）</w:t>
      </w:r>
      <w:r>
        <w:rPr>
          <w:rFonts w:hint="eastAsia" w:eastAsiaTheme="minorEastAsia"/>
          <w:color w:val="000000" w:themeColor="text1"/>
          <w:szCs w:val="28"/>
          <w:lang w:val="en-US" w:eastAsia="zh-CN"/>
          <w14:textFill>
            <w14:solidFill>
              <w14:schemeClr w14:val="tx1"/>
            </w14:solidFill>
          </w14:textFill>
        </w:rPr>
        <w:t>标准名称</w:t>
      </w:r>
    </w:p>
    <w:p w14:paraId="3F0F127F">
      <w:pPr>
        <w:spacing w:line="360" w:lineRule="auto"/>
        <w:ind w:firstLine="480"/>
        <w:jc w:val="both"/>
        <w:rPr>
          <w:rFonts w:eastAsiaTheme="minorEastAsia"/>
          <w:color w:val="000000" w:themeColor="text1"/>
          <w:szCs w:val="28"/>
          <w:lang w:val="en-US" w:eastAsia="zh-CN"/>
          <w14:textFill>
            <w14:solidFill>
              <w14:schemeClr w14:val="tx1"/>
            </w14:solidFill>
          </w14:textFill>
        </w:rPr>
      </w:pPr>
      <w:r>
        <w:rPr>
          <w:rFonts w:eastAsiaTheme="minorEastAsia"/>
          <w:color w:val="000000" w:themeColor="text1"/>
          <w:szCs w:val="28"/>
          <w:lang w:val="en-US" w:eastAsia="zh-CN"/>
          <w14:textFill>
            <w14:solidFill>
              <w14:schemeClr w14:val="tx1"/>
            </w14:solidFill>
          </w14:textFill>
        </w:rPr>
        <w:t>原标准：</w:t>
      </w:r>
      <w:r>
        <w:rPr>
          <w:rFonts w:hint="eastAsia" w:eastAsiaTheme="minorEastAsia"/>
          <w:color w:val="000000" w:themeColor="text1"/>
          <w:szCs w:val="28"/>
          <w:lang w:val="en-US" w:eastAsia="zh-CN"/>
          <w14:textFill>
            <w14:solidFill>
              <w14:schemeClr w14:val="tx1"/>
            </w14:solidFill>
          </w14:textFill>
        </w:rPr>
        <w:t>真空和(或)压力浸注(处理)用木材防腐设备机组</w:t>
      </w:r>
      <w:r>
        <w:rPr>
          <w:rFonts w:eastAsiaTheme="minorEastAsia"/>
          <w:color w:val="000000" w:themeColor="text1"/>
          <w:szCs w:val="28"/>
          <w:lang w:val="en-US" w:eastAsia="zh-CN"/>
          <w14:textFill>
            <w14:solidFill>
              <w14:schemeClr w14:val="tx1"/>
            </w14:solidFill>
          </w14:textFill>
        </w:rPr>
        <w:t>。</w:t>
      </w:r>
    </w:p>
    <w:p w14:paraId="28CF4DD9">
      <w:pPr>
        <w:spacing w:line="360" w:lineRule="auto"/>
        <w:ind w:firstLine="480"/>
        <w:jc w:val="both"/>
        <w:rPr>
          <w:rFonts w:eastAsiaTheme="minorEastAsia"/>
          <w:color w:val="000000" w:themeColor="text1"/>
          <w:szCs w:val="28"/>
          <w:lang w:val="en-US" w:eastAsia="zh-CN"/>
          <w14:textFill>
            <w14:solidFill>
              <w14:schemeClr w14:val="tx1"/>
            </w14:solidFill>
          </w14:textFill>
        </w:rPr>
      </w:pPr>
      <w:r>
        <w:rPr>
          <w:rFonts w:eastAsiaTheme="minorEastAsia"/>
          <w:color w:val="000000" w:themeColor="text1"/>
          <w:szCs w:val="28"/>
          <w:lang w:val="en-US" w:eastAsia="zh-CN"/>
          <w14:textFill>
            <w14:solidFill>
              <w14:schemeClr w14:val="tx1"/>
            </w14:solidFill>
          </w14:textFill>
        </w:rPr>
        <w:t>修订后标准：</w:t>
      </w:r>
      <w:r>
        <w:rPr>
          <w:rFonts w:hint="eastAsia" w:eastAsiaTheme="minorEastAsia"/>
          <w:color w:val="000000" w:themeColor="text1"/>
          <w:szCs w:val="28"/>
          <w:lang w:val="en-US" w:eastAsia="zh-CN"/>
          <w14:textFill>
            <w14:solidFill>
              <w14:schemeClr w14:val="tx1"/>
            </w14:solidFill>
          </w14:textFill>
        </w:rPr>
        <w:t>真空和（或）压力浸注（处理）用木材防腐及改性设备机组</w:t>
      </w:r>
      <w:r>
        <w:rPr>
          <w:rFonts w:eastAsiaTheme="minorEastAsia"/>
          <w:color w:val="000000" w:themeColor="text1"/>
          <w:szCs w:val="28"/>
          <w:lang w:val="en-US" w:eastAsia="zh-CN"/>
          <w14:textFill>
            <w14:solidFill>
              <w14:schemeClr w14:val="tx1"/>
            </w14:solidFill>
          </w14:textFill>
        </w:rPr>
        <w:t>。</w:t>
      </w:r>
    </w:p>
    <w:p w14:paraId="5826E5CF">
      <w:pPr>
        <w:spacing w:line="360" w:lineRule="auto"/>
        <w:ind w:firstLine="480"/>
        <w:jc w:val="both"/>
        <w:rPr>
          <w:rFonts w:eastAsiaTheme="minorEastAsia"/>
          <w:color w:val="000000" w:themeColor="text1"/>
          <w:szCs w:val="28"/>
          <w:lang w:val="en-US" w:eastAsia="zh-CN"/>
          <w14:textFill>
            <w14:solidFill>
              <w14:schemeClr w14:val="tx1"/>
            </w14:solidFill>
          </w14:textFill>
        </w:rPr>
      </w:pPr>
      <w:r>
        <w:rPr>
          <w:rFonts w:eastAsiaTheme="minorEastAsia"/>
          <w:color w:val="000000" w:themeColor="text1"/>
          <w:szCs w:val="28"/>
          <w:lang w:val="en-US" w:eastAsia="zh-CN"/>
          <w14:textFill>
            <w14:solidFill>
              <w14:schemeClr w14:val="tx1"/>
            </w14:solidFill>
          </w14:textFill>
        </w:rPr>
        <w:t>修订原因：</w:t>
      </w:r>
      <w:r>
        <w:rPr>
          <w:rFonts w:hint="eastAsia" w:eastAsiaTheme="minorEastAsia"/>
          <w:color w:val="000000" w:themeColor="text1"/>
          <w:szCs w:val="28"/>
          <w:lang w:val="en-US" w:eastAsia="zh-CN"/>
          <w14:textFill>
            <w14:solidFill>
              <w14:schemeClr w14:val="tx1"/>
            </w14:solidFill>
          </w14:textFill>
        </w:rPr>
        <w:t>根据现有市场情况，木材的真空和压力浸渍处理设备不再仅限于使用防腐剂进行木材防腐处理，同时还包括了使用其他材料对木材进行阻燃、防霉、增强、增韧等处理，因此进行调整，增加标准的适用性</w:t>
      </w:r>
      <w:r>
        <w:rPr>
          <w:rFonts w:eastAsiaTheme="minorEastAsia"/>
          <w:color w:val="000000" w:themeColor="text1"/>
          <w:szCs w:val="28"/>
          <w:lang w:val="en-US" w:eastAsia="zh-CN"/>
          <w14:textFill>
            <w14:solidFill>
              <w14:schemeClr w14:val="tx1"/>
            </w14:solidFill>
          </w14:textFill>
        </w:rPr>
        <w:t>。</w:t>
      </w:r>
    </w:p>
    <w:p w14:paraId="0DE4AC53">
      <w:pPr>
        <w:spacing w:line="360" w:lineRule="auto"/>
        <w:ind w:firstLine="480"/>
        <w:jc w:val="both"/>
        <w:rPr>
          <w:rFonts w:hint="default" w:eastAsiaTheme="minorEastAsia"/>
          <w:color w:val="000000" w:themeColor="text1"/>
          <w:szCs w:val="28"/>
          <w:lang w:val="en-US" w:eastAsia="zh-CN"/>
          <w14:textFill>
            <w14:solidFill>
              <w14:schemeClr w14:val="tx1"/>
            </w14:solidFill>
          </w14:textFill>
        </w:rPr>
      </w:pPr>
      <w:r>
        <w:rPr>
          <w:rFonts w:eastAsiaTheme="minorEastAsia"/>
          <w:color w:val="000000" w:themeColor="text1"/>
          <w:szCs w:val="28"/>
          <w:lang w:val="en-US" w:eastAsia="zh-CN"/>
          <w14:textFill>
            <w14:solidFill>
              <w14:schemeClr w14:val="tx1"/>
            </w14:solidFill>
          </w14:textFill>
        </w:rPr>
        <w:t>（二）</w:t>
      </w:r>
      <w:r>
        <w:rPr>
          <w:rFonts w:hint="eastAsia" w:eastAsiaTheme="minorEastAsia"/>
          <w:color w:val="000000" w:themeColor="text1"/>
          <w:szCs w:val="28"/>
          <w:lang w:val="en-US" w:eastAsia="zh-CN"/>
          <w14:textFill>
            <w14:solidFill>
              <w14:schemeClr w14:val="tx1"/>
            </w14:solidFill>
          </w14:textFill>
        </w:rPr>
        <w:t>术语及定义</w:t>
      </w:r>
    </w:p>
    <w:p w14:paraId="4792AEB8">
      <w:pPr>
        <w:spacing w:line="360" w:lineRule="auto"/>
        <w:ind w:firstLine="480"/>
        <w:jc w:val="both"/>
        <w:rPr>
          <w:rFonts w:hint="eastAsia" w:eastAsiaTheme="minorEastAsia"/>
          <w:color w:val="000000" w:themeColor="text1"/>
          <w:szCs w:val="28"/>
          <w:lang w:val="en-US" w:eastAsia="zh-CN"/>
          <w14:textFill>
            <w14:solidFill>
              <w14:schemeClr w14:val="tx1"/>
            </w14:solidFill>
          </w14:textFill>
        </w:rPr>
      </w:pPr>
      <w:r>
        <w:rPr>
          <w:rFonts w:eastAsiaTheme="minorEastAsia"/>
          <w:color w:val="000000" w:themeColor="text1"/>
          <w:szCs w:val="28"/>
          <w:lang w:val="en-US" w:eastAsia="zh-CN"/>
          <w14:textFill>
            <w14:solidFill>
              <w14:schemeClr w14:val="tx1"/>
            </w14:solidFill>
          </w14:textFill>
        </w:rPr>
        <w:t>原标准：</w:t>
      </w:r>
      <w:r>
        <w:rPr>
          <w:rFonts w:hint="eastAsia" w:eastAsiaTheme="minorEastAsia"/>
          <w:color w:val="000000" w:themeColor="text1"/>
          <w:szCs w:val="28"/>
          <w:lang w:val="en-US" w:eastAsia="zh-CN"/>
          <w14:textFill>
            <w14:solidFill>
              <w14:schemeClr w14:val="tx1"/>
            </w14:solidFill>
          </w14:textFill>
        </w:rPr>
        <w:t>用于采取真空和（或）加压法对木材进行防腐处理的成套设备。主要由压力浸注（处理）罐、加压系统、真空系统、吸排液系统、配液系统、储液系统、电控系统及木材装运系统等组成。</w:t>
      </w:r>
    </w:p>
    <w:p w14:paraId="7CF69992">
      <w:pPr>
        <w:spacing w:line="360" w:lineRule="auto"/>
        <w:ind w:firstLine="480"/>
        <w:jc w:val="both"/>
        <w:rPr>
          <w:rFonts w:hint="eastAsia" w:eastAsiaTheme="minorEastAsia"/>
          <w:color w:val="000000" w:themeColor="text1"/>
          <w:szCs w:val="28"/>
          <w:lang w:val="en-US" w:eastAsia="zh-CN"/>
          <w14:textFill>
            <w14:solidFill>
              <w14:schemeClr w14:val="tx1"/>
            </w14:solidFill>
          </w14:textFill>
        </w:rPr>
      </w:pPr>
      <w:r>
        <w:rPr>
          <w:rFonts w:eastAsiaTheme="minorEastAsia"/>
          <w:color w:val="000000" w:themeColor="text1"/>
          <w:szCs w:val="28"/>
          <w:lang w:val="en-US" w:eastAsia="zh-CN"/>
          <w14:textFill>
            <w14:solidFill>
              <w14:schemeClr w14:val="tx1"/>
            </w14:solidFill>
          </w14:textFill>
        </w:rPr>
        <w:t>修订后标准：</w:t>
      </w:r>
      <w:r>
        <w:rPr>
          <w:rFonts w:hint="eastAsia" w:eastAsiaTheme="minorEastAsia"/>
          <w:color w:val="000000" w:themeColor="text1"/>
          <w:szCs w:val="28"/>
          <w:lang w:val="en-US" w:eastAsia="zh-CN"/>
          <w14:textFill>
            <w14:solidFill>
              <w14:schemeClr w14:val="tx1"/>
            </w14:solidFill>
          </w14:textFill>
        </w:rPr>
        <w:t>用于采取真空和（或）加压法对木材进行防腐及改性处理的成套设备。主要由压力浸注（处理）罐、加压系统、真空系统、吸排液系统、配液系统、储液系统、电控系统及木材装运系统等组成。</w:t>
      </w:r>
    </w:p>
    <w:p w14:paraId="33ACE7C4">
      <w:pPr>
        <w:spacing w:line="360" w:lineRule="auto"/>
        <w:ind w:firstLine="480"/>
        <w:jc w:val="both"/>
        <w:rPr>
          <w:rFonts w:hint="default" w:eastAsiaTheme="minorEastAsia"/>
          <w:color w:val="000000" w:themeColor="text1"/>
          <w:szCs w:val="28"/>
          <w:lang w:val="en-US" w:eastAsia="zh-CN"/>
          <w14:textFill>
            <w14:solidFill>
              <w14:schemeClr w14:val="tx1"/>
            </w14:solidFill>
          </w14:textFill>
        </w:rPr>
      </w:pPr>
      <w:r>
        <w:rPr>
          <w:rFonts w:eastAsiaTheme="minorEastAsia"/>
          <w:color w:val="000000" w:themeColor="text1"/>
          <w:szCs w:val="28"/>
          <w:lang w:val="en-US" w:eastAsia="zh-CN"/>
          <w14:textFill>
            <w14:solidFill>
              <w14:schemeClr w14:val="tx1"/>
            </w14:solidFill>
          </w14:textFill>
        </w:rPr>
        <w:t>修订原因：</w:t>
      </w:r>
      <w:r>
        <w:rPr>
          <w:rFonts w:hint="eastAsia" w:eastAsiaTheme="minorEastAsia"/>
          <w:color w:val="000000" w:themeColor="text1"/>
          <w:szCs w:val="28"/>
          <w:lang w:val="en-US" w:eastAsia="zh-CN"/>
          <w14:textFill>
            <w14:solidFill>
              <w14:schemeClr w14:val="tx1"/>
            </w14:solidFill>
          </w14:textFill>
        </w:rPr>
        <w:t>修改术语，跟新标准名称保持一致性。</w:t>
      </w:r>
    </w:p>
    <w:p w14:paraId="1C798A41">
      <w:pPr>
        <w:spacing w:line="360" w:lineRule="auto"/>
        <w:ind w:firstLine="480"/>
        <w:jc w:val="both"/>
        <w:rPr>
          <w:rFonts w:hint="default" w:eastAsiaTheme="minorEastAsia"/>
          <w:color w:val="000000" w:themeColor="text1"/>
          <w:szCs w:val="28"/>
          <w:lang w:val="en-US" w:eastAsia="zh-CN"/>
          <w14:textFill>
            <w14:solidFill>
              <w14:schemeClr w14:val="tx1"/>
            </w14:solidFill>
          </w14:textFill>
        </w:rPr>
      </w:pPr>
      <w:r>
        <w:rPr>
          <w:rFonts w:eastAsiaTheme="minorEastAsia"/>
          <w:color w:val="000000" w:themeColor="text1"/>
          <w:szCs w:val="28"/>
          <w:lang w:val="en-US" w:eastAsia="zh-CN"/>
          <w14:textFill>
            <w14:solidFill>
              <w14:schemeClr w14:val="tx1"/>
            </w14:solidFill>
          </w14:textFill>
        </w:rPr>
        <w:t>（三）</w:t>
      </w:r>
      <w:r>
        <w:rPr>
          <w:rFonts w:hint="eastAsia" w:eastAsiaTheme="minorEastAsia"/>
          <w:color w:val="000000" w:themeColor="text1"/>
          <w:szCs w:val="28"/>
          <w:lang w:val="en-US" w:eastAsia="zh-CN"/>
          <w14:textFill>
            <w14:solidFill>
              <w14:schemeClr w14:val="tx1"/>
            </w14:solidFill>
          </w14:textFill>
        </w:rPr>
        <w:t>压力浸注（处理）罐</w:t>
      </w:r>
    </w:p>
    <w:p w14:paraId="4F0F12DE">
      <w:pPr>
        <w:spacing w:line="360" w:lineRule="auto"/>
        <w:ind w:firstLine="480"/>
        <w:jc w:val="both"/>
        <w:rPr>
          <w:rFonts w:hint="default" w:eastAsiaTheme="minorEastAsia"/>
          <w:color w:val="000000" w:themeColor="text1"/>
          <w:szCs w:val="28"/>
          <w:lang w:val="en-US" w:eastAsia="zh-CN"/>
          <w14:textFill>
            <w14:solidFill>
              <w14:schemeClr w14:val="tx1"/>
            </w14:solidFill>
          </w14:textFill>
        </w:rPr>
      </w:pPr>
      <w:r>
        <w:rPr>
          <w:rFonts w:eastAsiaTheme="minorEastAsia"/>
          <w:color w:val="000000" w:themeColor="text1"/>
          <w:szCs w:val="28"/>
          <w:lang w:val="en-US" w:eastAsia="zh-CN"/>
          <w14:textFill>
            <w14:solidFill>
              <w14:schemeClr w14:val="tx1"/>
            </w14:solidFill>
          </w14:textFill>
        </w:rPr>
        <w:t>原标准：</w:t>
      </w:r>
      <w:r>
        <w:rPr>
          <w:rFonts w:hint="eastAsia" w:eastAsiaTheme="minorEastAsia"/>
          <w:color w:val="000000" w:themeColor="text1"/>
          <w:szCs w:val="28"/>
          <w:lang w:val="en-US" w:eastAsia="zh-CN"/>
          <w14:textFill>
            <w14:solidFill>
              <w14:schemeClr w14:val="tx1"/>
            </w14:solidFill>
          </w14:textFill>
        </w:rPr>
        <w:t>引用了《压力容器安全技术监察规程》和GB150的有关规定</w:t>
      </w:r>
    </w:p>
    <w:p w14:paraId="1EBF2E8F">
      <w:pPr>
        <w:spacing w:line="360" w:lineRule="auto"/>
        <w:ind w:firstLine="480"/>
        <w:jc w:val="both"/>
        <w:rPr>
          <w:rFonts w:eastAsiaTheme="minorEastAsia"/>
          <w:color w:val="000000" w:themeColor="text1"/>
          <w:szCs w:val="28"/>
          <w:lang w:val="en-US" w:eastAsia="zh-CN"/>
          <w14:textFill>
            <w14:solidFill>
              <w14:schemeClr w14:val="tx1"/>
            </w14:solidFill>
          </w14:textFill>
        </w:rPr>
      </w:pPr>
      <w:r>
        <w:rPr>
          <w:rFonts w:eastAsiaTheme="minorEastAsia"/>
          <w:color w:val="000000" w:themeColor="text1"/>
          <w:szCs w:val="28"/>
          <w:lang w:val="en-US" w:eastAsia="zh-CN"/>
          <w14:textFill>
            <w14:solidFill>
              <w14:schemeClr w14:val="tx1"/>
            </w14:solidFill>
          </w14:textFill>
        </w:rPr>
        <w:t>修订后标准：</w:t>
      </w:r>
      <w:r>
        <w:rPr>
          <w:rFonts w:hint="eastAsia" w:eastAsiaTheme="minorEastAsia"/>
          <w:color w:val="000000" w:themeColor="text1"/>
          <w:szCs w:val="28"/>
          <w:lang w:val="en-US" w:eastAsia="zh-CN"/>
          <w14:textFill>
            <w14:solidFill>
              <w14:schemeClr w14:val="tx1"/>
            </w14:solidFill>
          </w14:textFill>
        </w:rPr>
        <w:t>删除《压力容器安全技术监察规程》有关规定，修改为GB 150.1～150.4-2011的有关规定。</w:t>
      </w:r>
    </w:p>
    <w:p w14:paraId="7AF90B98">
      <w:pPr>
        <w:spacing w:line="360" w:lineRule="auto"/>
        <w:ind w:firstLine="480"/>
        <w:jc w:val="both"/>
        <w:rPr>
          <w:rFonts w:eastAsiaTheme="minorEastAsia"/>
          <w:color w:val="000000" w:themeColor="text1"/>
          <w:szCs w:val="28"/>
          <w:lang w:val="en-US" w:eastAsia="zh-CN"/>
          <w14:textFill>
            <w14:solidFill>
              <w14:schemeClr w14:val="tx1"/>
            </w14:solidFill>
          </w14:textFill>
        </w:rPr>
      </w:pPr>
      <w:r>
        <w:rPr>
          <w:rFonts w:eastAsiaTheme="minorEastAsia"/>
          <w:color w:val="000000" w:themeColor="text1"/>
          <w:szCs w:val="28"/>
          <w:lang w:val="en-US" w:eastAsia="zh-CN"/>
          <w14:textFill>
            <w14:solidFill>
              <w14:schemeClr w14:val="tx1"/>
            </w14:solidFill>
          </w14:textFill>
        </w:rPr>
        <w:t>修订原因：</w:t>
      </w:r>
      <w:r>
        <w:rPr>
          <w:rFonts w:hint="eastAsia" w:eastAsiaTheme="minorEastAsia"/>
          <w:color w:val="000000" w:themeColor="text1"/>
          <w:szCs w:val="28"/>
          <w:lang w:val="en-US" w:eastAsia="zh-CN"/>
          <w14:textFill>
            <w14:solidFill>
              <w14:schemeClr w14:val="tx1"/>
            </w14:solidFill>
          </w14:textFill>
        </w:rPr>
        <w:t>压力容器安全技术监察规程（质技监局锅发〔1999〕154号）已经被废止，故停止引用。GB 150《钢制压力容器》也经被GB/T 150.1~150.4《压力容器》的系列标准所替代，故更改。</w:t>
      </w:r>
    </w:p>
    <w:p w14:paraId="4799B0DF">
      <w:pPr>
        <w:spacing w:line="360" w:lineRule="auto"/>
        <w:ind w:firstLine="480"/>
        <w:jc w:val="both"/>
        <w:rPr>
          <w:rFonts w:hint="default" w:eastAsiaTheme="minorEastAsia"/>
          <w:color w:val="000000" w:themeColor="text1"/>
          <w:szCs w:val="28"/>
          <w:lang w:val="en-US" w:eastAsia="zh-CN"/>
          <w14:textFill>
            <w14:solidFill>
              <w14:schemeClr w14:val="tx1"/>
            </w14:solidFill>
          </w14:textFill>
        </w:rPr>
      </w:pPr>
      <w:r>
        <w:rPr>
          <w:rFonts w:eastAsiaTheme="minorEastAsia"/>
          <w:color w:val="000000" w:themeColor="text1"/>
          <w:szCs w:val="28"/>
          <w:lang w:val="en-US" w:eastAsia="zh-CN"/>
          <w14:textFill>
            <w14:solidFill>
              <w14:schemeClr w14:val="tx1"/>
            </w14:solidFill>
          </w14:textFill>
        </w:rPr>
        <w:t>（四）</w:t>
      </w:r>
      <w:r>
        <w:rPr>
          <w:rFonts w:hint="eastAsia" w:eastAsiaTheme="minorEastAsia"/>
          <w:color w:val="000000" w:themeColor="text1"/>
          <w:szCs w:val="28"/>
          <w:lang w:val="en-US" w:eastAsia="zh-CN"/>
          <w14:textFill>
            <w14:solidFill>
              <w14:schemeClr w14:val="tx1"/>
            </w14:solidFill>
          </w14:textFill>
        </w:rPr>
        <w:t>检验</w:t>
      </w:r>
    </w:p>
    <w:p w14:paraId="154FB61C">
      <w:pPr>
        <w:spacing w:line="360" w:lineRule="auto"/>
        <w:ind w:firstLine="480"/>
        <w:jc w:val="both"/>
        <w:rPr>
          <w:rFonts w:eastAsiaTheme="minorEastAsia"/>
          <w:color w:val="000000" w:themeColor="text1"/>
          <w:szCs w:val="28"/>
          <w:lang w:val="en-US" w:eastAsia="zh-CN"/>
          <w14:textFill>
            <w14:solidFill>
              <w14:schemeClr w14:val="tx1"/>
            </w14:solidFill>
          </w14:textFill>
        </w:rPr>
      </w:pPr>
      <w:r>
        <w:rPr>
          <w:rFonts w:eastAsiaTheme="minorEastAsia"/>
          <w:color w:val="000000" w:themeColor="text1"/>
          <w:szCs w:val="28"/>
          <w:lang w:val="en-US" w:eastAsia="zh-CN"/>
          <w14:textFill>
            <w14:solidFill>
              <w14:schemeClr w14:val="tx1"/>
            </w14:solidFill>
          </w14:textFill>
        </w:rPr>
        <w:t>原标准：</w:t>
      </w:r>
      <w:r>
        <w:rPr>
          <w:rFonts w:hint="eastAsia" w:eastAsiaTheme="minorEastAsia"/>
          <w:color w:val="000000" w:themeColor="text1"/>
          <w:szCs w:val="28"/>
          <w:lang w:val="en-US" w:eastAsia="zh-CN"/>
          <w14:textFill>
            <w14:solidFill>
              <w14:schemeClr w14:val="tx1"/>
            </w14:solidFill>
          </w14:textFill>
        </w:rPr>
        <w:t>产品焊缝外观检查方法按《压力容器安全技术监察规程》中第76条规定进行</w:t>
      </w:r>
      <w:r>
        <w:rPr>
          <w:rFonts w:eastAsiaTheme="minorEastAsia"/>
          <w:color w:val="000000" w:themeColor="text1"/>
          <w:szCs w:val="28"/>
          <w:lang w:val="en-US" w:eastAsia="zh-CN"/>
          <w14:textFill>
            <w14:solidFill>
              <w14:schemeClr w14:val="tx1"/>
            </w14:solidFill>
          </w14:textFill>
        </w:rPr>
        <w:t>。</w:t>
      </w:r>
    </w:p>
    <w:p w14:paraId="0A7CDDCF">
      <w:pPr>
        <w:spacing w:line="360" w:lineRule="auto"/>
        <w:ind w:firstLine="480"/>
        <w:jc w:val="both"/>
        <w:rPr>
          <w:rFonts w:eastAsiaTheme="minorEastAsia"/>
          <w:color w:val="000000" w:themeColor="text1"/>
          <w:szCs w:val="28"/>
          <w:lang w:val="en-US" w:eastAsia="zh-CN"/>
          <w14:textFill>
            <w14:solidFill>
              <w14:schemeClr w14:val="tx1"/>
            </w14:solidFill>
          </w14:textFill>
        </w:rPr>
      </w:pPr>
      <w:r>
        <w:rPr>
          <w:rFonts w:eastAsiaTheme="minorEastAsia"/>
          <w:color w:val="000000" w:themeColor="text1"/>
          <w:szCs w:val="28"/>
          <w:lang w:val="en-US" w:eastAsia="zh-CN"/>
          <w14:textFill>
            <w14:solidFill>
              <w14:schemeClr w14:val="tx1"/>
            </w14:solidFill>
          </w14:textFill>
        </w:rPr>
        <w:t>修订后标准：</w:t>
      </w:r>
      <w:r>
        <w:rPr>
          <w:rFonts w:hint="eastAsia" w:eastAsiaTheme="minorEastAsia"/>
          <w:color w:val="000000" w:themeColor="text1"/>
          <w:szCs w:val="28"/>
          <w:lang w:val="en-US" w:eastAsia="zh-CN"/>
          <w14:textFill>
            <w14:solidFill>
              <w14:schemeClr w14:val="tx1"/>
            </w14:solidFill>
          </w14:textFill>
        </w:rPr>
        <w:t>焊缝外观质量按GB/T 150.4中7.3条检验</w:t>
      </w:r>
      <w:r>
        <w:rPr>
          <w:rFonts w:eastAsiaTheme="minorEastAsia"/>
          <w:color w:val="000000" w:themeColor="text1"/>
          <w:szCs w:val="28"/>
          <w:lang w:val="en-US" w:eastAsia="zh-CN"/>
          <w14:textFill>
            <w14:solidFill>
              <w14:schemeClr w14:val="tx1"/>
            </w14:solidFill>
          </w14:textFill>
        </w:rPr>
        <w:t>。</w:t>
      </w:r>
    </w:p>
    <w:p w14:paraId="78F6A1AF">
      <w:pPr>
        <w:spacing w:line="360" w:lineRule="auto"/>
        <w:ind w:firstLine="480"/>
        <w:jc w:val="both"/>
        <w:rPr>
          <w:rFonts w:hint="default" w:eastAsiaTheme="minorEastAsia"/>
          <w:color w:val="000000" w:themeColor="text1"/>
          <w:szCs w:val="28"/>
          <w:lang w:val="en-US" w:eastAsia="zh-CN"/>
          <w14:textFill>
            <w14:solidFill>
              <w14:schemeClr w14:val="tx1"/>
            </w14:solidFill>
          </w14:textFill>
        </w:rPr>
      </w:pPr>
      <w:r>
        <w:rPr>
          <w:rFonts w:eastAsiaTheme="minorEastAsia"/>
          <w:color w:val="000000" w:themeColor="text1"/>
          <w:szCs w:val="28"/>
          <w:lang w:val="en-US" w:eastAsia="zh-CN"/>
          <w14:textFill>
            <w14:solidFill>
              <w14:schemeClr w14:val="tx1"/>
            </w14:solidFill>
          </w14:textFill>
        </w:rPr>
        <w:t>修订原因：</w:t>
      </w:r>
      <w:r>
        <w:rPr>
          <w:rFonts w:hint="eastAsia" w:eastAsiaTheme="minorEastAsia"/>
          <w:color w:val="000000" w:themeColor="text1"/>
          <w:szCs w:val="28"/>
          <w:lang w:val="en-US" w:eastAsia="zh-CN"/>
          <w14:textFill>
            <w14:solidFill>
              <w14:schemeClr w14:val="tx1"/>
            </w14:solidFill>
          </w14:textFill>
        </w:rPr>
        <w:t>《压力容器安全技术监察规程》已废纸，GB/T 150.4中7.3条进行了相关规定。</w:t>
      </w:r>
    </w:p>
    <w:p w14:paraId="3D077CA6">
      <w:pPr>
        <w:pStyle w:val="10"/>
        <w:spacing w:before="326" w:beforeLines="100" w:after="326" w:afterLines="100"/>
        <w:rPr>
          <w:rFonts w:ascii="Times New Roman"/>
          <w:color w:val="000000" w:themeColor="text1"/>
          <w:sz w:val="28"/>
          <w:szCs w:val="28"/>
          <w14:textFill>
            <w14:solidFill>
              <w14:schemeClr w14:val="tx1"/>
            </w14:solidFill>
          </w14:textFill>
        </w:rPr>
      </w:pPr>
      <w:bookmarkStart w:id="14" w:name="_Toc26386"/>
      <w:r>
        <w:rPr>
          <w:rFonts w:hint="eastAsia" w:ascii="Times New Roman"/>
          <w:color w:val="000000" w:themeColor="text1"/>
          <w:sz w:val="28"/>
          <w:szCs w:val="28"/>
          <w:lang w:val="en-US" w:eastAsia="zh-CN"/>
          <w14:textFill>
            <w14:solidFill>
              <w14:schemeClr w14:val="tx1"/>
            </w14:solidFill>
          </w14:textFill>
        </w:rPr>
        <w:t>3</w:t>
      </w:r>
      <w:r>
        <w:rPr>
          <w:rFonts w:ascii="Times New Roman"/>
          <w:color w:val="000000" w:themeColor="text1"/>
          <w:sz w:val="28"/>
          <w:szCs w:val="28"/>
          <w14:textFill>
            <w14:solidFill>
              <w14:schemeClr w14:val="tx1"/>
            </w14:solidFill>
          </w14:textFill>
        </w:rPr>
        <w:t xml:space="preserve"> 标准中涉及专利</w:t>
      </w:r>
      <w:r>
        <w:rPr>
          <w:rFonts w:hint="eastAsia" w:ascii="Times New Roman"/>
          <w:color w:val="000000" w:themeColor="text1"/>
          <w:sz w:val="28"/>
          <w:szCs w:val="28"/>
          <w14:textFill>
            <w14:solidFill>
              <w14:schemeClr w14:val="tx1"/>
            </w14:solidFill>
          </w14:textFill>
        </w:rPr>
        <w:t>、知识产权</w:t>
      </w:r>
      <w:r>
        <w:rPr>
          <w:rFonts w:ascii="Times New Roman"/>
          <w:color w:val="000000" w:themeColor="text1"/>
          <w:sz w:val="28"/>
          <w:szCs w:val="28"/>
          <w14:textFill>
            <w14:solidFill>
              <w14:schemeClr w14:val="tx1"/>
            </w14:solidFill>
          </w14:textFill>
        </w:rPr>
        <w:t>情况说明</w:t>
      </w:r>
      <w:bookmarkEnd w:id="14"/>
    </w:p>
    <w:p w14:paraId="6345C7CA">
      <w:pPr>
        <w:spacing w:line="360" w:lineRule="auto"/>
        <w:ind w:firstLine="480"/>
        <w:jc w:val="both"/>
        <w:rPr>
          <w:rFonts w:eastAsiaTheme="minorEastAsia"/>
          <w:color w:val="000000" w:themeColor="text1"/>
          <w:szCs w:val="28"/>
          <w14:textFill>
            <w14:solidFill>
              <w14:schemeClr w14:val="tx1"/>
            </w14:solidFill>
          </w14:textFill>
        </w:rPr>
      </w:pPr>
      <w:r>
        <w:rPr>
          <w:rFonts w:eastAsiaTheme="minorEastAsia"/>
          <w:color w:val="000000" w:themeColor="text1"/>
          <w:szCs w:val="28"/>
          <w14:textFill>
            <w14:solidFill>
              <w14:schemeClr w14:val="tx1"/>
            </w14:solidFill>
          </w14:textFill>
        </w:rPr>
        <w:t>经检索，本标准所列技术内容没有涉及专利和知识产权的情况。</w:t>
      </w:r>
    </w:p>
    <w:p w14:paraId="04CAECBA">
      <w:pPr>
        <w:pStyle w:val="10"/>
        <w:spacing w:before="326" w:beforeLines="100" w:after="326" w:afterLines="100"/>
        <w:rPr>
          <w:rFonts w:ascii="Times New Roman"/>
          <w:color w:val="000000" w:themeColor="text1"/>
          <w:sz w:val="28"/>
          <w:szCs w:val="28"/>
          <w14:textFill>
            <w14:solidFill>
              <w14:schemeClr w14:val="tx1"/>
            </w14:solidFill>
          </w14:textFill>
        </w:rPr>
      </w:pPr>
      <w:bookmarkStart w:id="15" w:name="_Toc18297"/>
      <w:r>
        <w:rPr>
          <w:rFonts w:hint="eastAsia" w:ascii="Times New Roman"/>
          <w:color w:val="000000" w:themeColor="text1"/>
          <w:sz w:val="28"/>
          <w:szCs w:val="28"/>
          <w:lang w:val="en-US" w:eastAsia="zh-CN"/>
          <w14:textFill>
            <w14:solidFill>
              <w14:schemeClr w14:val="tx1"/>
            </w14:solidFill>
          </w14:textFill>
        </w:rPr>
        <w:t>4</w:t>
      </w:r>
      <w:r>
        <w:rPr>
          <w:rFonts w:ascii="Times New Roman"/>
          <w:color w:val="000000" w:themeColor="text1"/>
          <w:sz w:val="28"/>
          <w:szCs w:val="28"/>
          <w14:textFill>
            <w14:solidFill>
              <w14:schemeClr w14:val="tx1"/>
            </w14:solidFill>
          </w14:textFill>
        </w:rPr>
        <w:t xml:space="preserve"> </w:t>
      </w:r>
      <w:r>
        <w:rPr>
          <w:rFonts w:hint="eastAsia" w:ascii="Times New Roman"/>
          <w:color w:val="000000" w:themeColor="text1"/>
          <w:sz w:val="28"/>
          <w:szCs w:val="28"/>
          <w14:textFill>
            <w14:solidFill>
              <w14:schemeClr w14:val="tx1"/>
            </w14:solidFill>
          </w14:textFill>
        </w:rPr>
        <w:t>产业化情况、推广应用论证和预期达到的经济效果等情况；</w:t>
      </w:r>
      <w:bookmarkEnd w:id="15"/>
    </w:p>
    <w:p w14:paraId="2EC03C24">
      <w:pPr>
        <w:spacing w:line="360" w:lineRule="auto"/>
        <w:ind w:firstLine="495"/>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本标准的修订将对木材</w:t>
      </w:r>
      <w:r>
        <w:rPr>
          <w:rFonts w:hint="eastAsia"/>
          <w:color w:val="000000" w:themeColor="text1"/>
          <w:lang w:val="en-US" w:eastAsia="zh-CN"/>
          <w14:textFill>
            <w14:solidFill>
              <w14:schemeClr w14:val="tx1"/>
            </w14:solidFill>
          </w14:textFill>
        </w:rPr>
        <w:t>防腐及改性</w:t>
      </w:r>
      <w:r>
        <w:rPr>
          <w:rFonts w:hint="eastAsia"/>
          <w:color w:val="000000" w:themeColor="text1"/>
          <w14:textFill>
            <w14:solidFill>
              <w14:schemeClr w14:val="tx1"/>
            </w14:solidFill>
          </w14:textFill>
        </w:rPr>
        <w:t>行业产生积极影响：</w:t>
      </w:r>
    </w:p>
    <w:p w14:paraId="42B03687">
      <w:pPr>
        <w:spacing w:line="360" w:lineRule="auto"/>
        <w:ind w:firstLine="495"/>
        <w:jc w:val="both"/>
        <w:rPr>
          <w:rFonts w:hint="default" w:eastAsia="宋体"/>
          <w:color w:val="000000" w:themeColor="text1"/>
          <w:lang w:val="en-US" w:eastAsia="zh-CN"/>
          <w14:textFill>
            <w14:solidFill>
              <w14:schemeClr w14:val="tx1"/>
            </w14:solidFill>
          </w14:textFill>
        </w:rPr>
      </w:pPr>
      <w:r>
        <w:rPr>
          <w:rFonts w:hint="eastAsia"/>
          <w:color w:val="000000" w:themeColor="text1"/>
          <w14:textFill>
            <w14:solidFill>
              <w14:schemeClr w14:val="tx1"/>
            </w14:solidFill>
          </w14:textFill>
        </w:rPr>
        <w:t>提高产品质量：</w:t>
      </w:r>
      <w:r>
        <w:rPr>
          <w:rFonts w:hint="eastAsia"/>
          <w:color w:val="000000" w:themeColor="text1"/>
          <w:lang w:val="en-US" w:eastAsia="zh-CN"/>
          <w14:textFill>
            <w14:solidFill>
              <w14:schemeClr w14:val="tx1"/>
            </w14:solidFill>
          </w14:textFill>
        </w:rPr>
        <w:t>统一设备技术要求，确实防腐和改性工艺的可行性，保障产品质量</w:t>
      </w:r>
    </w:p>
    <w:p w14:paraId="31B61DBC">
      <w:pPr>
        <w:spacing w:line="360" w:lineRule="auto"/>
        <w:ind w:firstLine="495"/>
        <w:jc w:val="both"/>
        <w:rPr>
          <w:rFonts w:hint="eastAsia"/>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强化生产</w:t>
      </w:r>
      <w:r>
        <w:rPr>
          <w:rFonts w:hint="eastAsia"/>
          <w:color w:val="000000" w:themeColor="text1"/>
          <w14:textFill>
            <w14:solidFill>
              <w14:schemeClr w14:val="tx1"/>
            </w14:solidFill>
          </w14:textFill>
        </w:rPr>
        <w:t>安全：</w:t>
      </w:r>
      <w:r>
        <w:rPr>
          <w:rFonts w:hint="eastAsia"/>
          <w:color w:val="000000" w:themeColor="text1"/>
          <w:lang w:val="en-US" w:eastAsia="zh-CN"/>
          <w14:textFill>
            <w14:solidFill>
              <w14:schemeClr w14:val="tx1"/>
            </w14:solidFill>
          </w14:textFill>
        </w:rPr>
        <w:t>标准对压力容器设计、检验等进行规范，保障车间工人安全。</w:t>
      </w:r>
    </w:p>
    <w:p w14:paraId="5E0E9AF6">
      <w:pPr>
        <w:spacing w:line="360" w:lineRule="auto"/>
        <w:ind w:firstLine="495"/>
        <w:jc w:val="both"/>
        <w:rPr>
          <w:color w:val="000000" w:themeColor="text1"/>
          <w14:textFill>
            <w14:solidFill>
              <w14:schemeClr w14:val="tx1"/>
            </w14:solidFill>
          </w14:textFill>
        </w:rPr>
      </w:pPr>
      <w:r>
        <w:rPr>
          <w:rFonts w:hint="eastAsia"/>
          <w:color w:val="000000" w:themeColor="text1"/>
          <w14:textFill>
            <w14:solidFill>
              <w14:schemeClr w14:val="tx1"/>
            </w14:solidFill>
          </w14:textFill>
        </w:rPr>
        <w:t>促进行业发展：标准的修订将推动行业技术进步，提升行业整体水平，增强我国</w:t>
      </w:r>
      <w:r>
        <w:rPr>
          <w:rFonts w:hint="eastAsia"/>
          <w:color w:val="000000" w:themeColor="text1"/>
          <w:lang w:val="en-US" w:eastAsia="zh-CN"/>
          <w14:textFill>
            <w14:solidFill>
              <w14:schemeClr w14:val="tx1"/>
            </w14:solidFill>
          </w14:textFill>
        </w:rPr>
        <w:t>防腐及改性木制品</w:t>
      </w:r>
      <w:r>
        <w:rPr>
          <w:rFonts w:hint="eastAsia"/>
          <w:color w:val="000000" w:themeColor="text1"/>
          <w14:textFill>
            <w14:solidFill>
              <w14:schemeClr w14:val="tx1"/>
            </w14:solidFill>
          </w14:textFill>
        </w:rPr>
        <w:t>产品在市场上的竞争力。</w:t>
      </w:r>
    </w:p>
    <w:p w14:paraId="4D675133">
      <w:pPr>
        <w:pStyle w:val="10"/>
        <w:spacing w:before="326" w:beforeLines="100" w:after="326" w:afterLines="100"/>
        <w:rPr>
          <w:rFonts w:ascii="Times New Roman"/>
          <w:color w:val="000000" w:themeColor="text1"/>
          <w:sz w:val="28"/>
          <w:szCs w:val="28"/>
          <w14:textFill>
            <w14:solidFill>
              <w14:schemeClr w14:val="tx1"/>
            </w14:solidFill>
          </w14:textFill>
        </w:rPr>
      </w:pPr>
      <w:bookmarkStart w:id="16" w:name="_Toc26690"/>
      <w:r>
        <w:rPr>
          <w:rFonts w:hint="eastAsia" w:ascii="Times New Roman"/>
          <w:color w:val="000000" w:themeColor="text1"/>
          <w:sz w:val="28"/>
          <w:szCs w:val="28"/>
          <w:lang w:val="en-US" w:eastAsia="zh-CN"/>
          <w14:textFill>
            <w14:solidFill>
              <w14:schemeClr w14:val="tx1"/>
            </w14:solidFill>
          </w14:textFill>
        </w:rPr>
        <w:t>5</w:t>
      </w:r>
      <w:r>
        <w:rPr>
          <w:rFonts w:ascii="Times New Roman"/>
          <w:color w:val="000000" w:themeColor="text1"/>
          <w:sz w:val="28"/>
          <w:szCs w:val="28"/>
          <w14:textFill>
            <w14:solidFill>
              <w14:schemeClr w14:val="tx1"/>
            </w14:solidFill>
          </w14:textFill>
        </w:rPr>
        <w:t xml:space="preserve"> 采用国际标准</w:t>
      </w:r>
      <w:r>
        <w:rPr>
          <w:rFonts w:hint="eastAsia" w:ascii="Times New Roman"/>
          <w:color w:val="000000" w:themeColor="text1"/>
          <w:sz w:val="28"/>
          <w:szCs w:val="28"/>
          <w14:textFill>
            <w14:solidFill>
              <w14:schemeClr w14:val="tx1"/>
            </w14:solidFill>
          </w14:textFill>
        </w:rPr>
        <w:t>，与国际、国外同类标准水平的对比情况，国内外关键指标对比分析或与测试的国外样品、样机的相关数据对比情况；</w:t>
      </w:r>
      <w:bookmarkEnd w:id="16"/>
    </w:p>
    <w:p w14:paraId="4F8DF95A">
      <w:pPr>
        <w:spacing w:line="360" w:lineRule="auto"/>
        <w:ind w:firstLine="495"/>
        <w:jc w:val="both"/>
        <w:rPr>
          <w:rFonts w:hint="eastAsia"/>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在标准修订过程中对比了相关国际标准，未发现同类标准</w:t>
      </w:r>
      <w:r>
        <w:rPr>
          <w:rFonts w:hint="eastAsia"/>
          <w:color w:val="000000" w:themeColor="text1"/>
          <w14:textFill>
            <w14:solidFill>
              <w14:schemeClr w14:val="tx1"/>
            </w14:solidFill>
          </w14:textFill>
        </w:rPr>
        <w:t>。主要</w:t>
      </w:r>
      <w:r>
        <w:rPr>
          <w:rFonts w:hint="eastAsia"/>
          <w:color w:val="000000" w:themeColor="text1"/>
          <w:lang w:val="en-US" w:eastAsia="zh-CN"/>
          <w14:textFill>
            <w14:solidFill>
              <w14:schemeClr w14:val="tx1"/>
            </w14:solidFill>
          </w14:textFill>
        </w:rPr>
        <w:t>检索对比</w:t>
      </w:r>
      <w:r>
        <w:rPr>
          <w:rFonts w:hint="eastAsia"/>
          <w:color w:val="000000" w:themeColor="text1"/>
          <w14:textFill>
            <w14:solidFill>
              <w14:schemeClr w14:val="tx1"/>
            </w14:solidFill>
          </w14:textFill>
        </w:rPr>
        <w:t>标准如下：</w:t>
      </w:r>
    </w:p>
    <w:p w14:paraId="630ECBF1">
      <w:pPr>
        <w:keepNext w:val="0"/>
        <w:keepLines w:val="0"/>
        <w:widowControl/>
        <w:numPr>
          <w:ilvl w:val="0"/>
          <w:numId w:val="3"/>
        </w:numPr>
        <w:suppressLineNumbers w:val="0"/>
        <w:spacing w:line="360" w:lineRule="auto"/>
        <w:ind w:leftChars="0" w:firstLine="480" w:firstLineChars="200"/>
        <w:jc w:val="left"/>
        <w:rPr>
          <w:rFonts w:hint="eastAsia" w:cs="宋体"/>
          <w:kern w:val="0"/>
          <w:sz w:val="24"/>
          <w:szCs w:val="24"/>
          <w:lang w:val="en-US" w:eastAsia="zh-CN" w:bidi="ar"/>
        </w:rPr>
      </w:pPr>
      <w:r>
        <w:rPr>
          <w:rFonts w:hint="eastAsia" w:cs="宋体"/>
          <w:kern w:val="0"/>
          <w:sz w:val="24"/>
          <w:szCs w:val="24"/>
          <w:lang w:val="en-US" w:eastAsia="zh-CN" w:bidi="ar"/>
        </w:rPr>
        <w:t>EN 13445-1:2002/A1:2007《Unfired pressure vessels - Part 1: General》（非受火压力容器 - 第1部分：总则）</w:t>
      </w:r>
      <w:r>
        <w:rPr>
          <w:rFonts w:hint="eastAsia" w:cs="宋体"/>
          <w:kern w:val="0"/>
          <w:sz w:val="24"/>
          <w:szCs w:val="24"/>
          <w:lang w:val="en-US" w:eastAsia="zh-CN" w:bidi="ar"/>
        </w:rPr>
        <w:tab/>
      </w:r>
      <w:r>
        <w:rPr>
          <w:rFonts w:hint="eastAsia" w:cs="宋体"/>
          <w:kern w:val="0"/>
          <w:sz w:val="24"/>
          <w:szCs w:val="24"/>
          <w:lang w:val="en-US" w:eastAsia="zh-CN" w:bidi="ar"/>
        </w:rPr>
        <w:tab/>
      </w:r>
    </w:p>
    <w:p w14:paraId="6EDE9186">
      <w:pPr>
        <w:keepNext w:val="0"/>
        <w:keepLines w:val="0"/>
        <w:widowControl/>
        <w:numPr>
          <w:ilvl w:val="0"/>
          <w:numId w:val="3"/>
        </w:numPr>
        <w:suppressLineNumbers w:val="0"/>
        <w:spacing w:line="360" w:lineRule="auto"/>
        <w:ind w:leftChars="0" w:firstLine="480" w:firstLineChars="200"/>
        <w:jc w:val="left"/>
        <w:rPr>
          <w:rFonts w:hint="eastAsia" w:cs="宋体"/>
          <w:kern w:val="0"/>
          <w:sz w:val="24"/>
          <w:szCs w:val="24"/>
          <w:lang w:val="en-US" w:eastAsia="zh-CN" w:bidi="ar"/>
        </w:rPr>
      </w:pPr>
      <w:r>
        <w:rPr>
          <w:rFonts w:hint="eastAsia" w:cs="宋体"/>
          <w:kern w:val="0"/>
          <w:sz w:val="24"/>
          <w:szCs w:val="24"/>
          <w:lang w:val="en-US" w:eastAsia="zh-CN" w:bidi="ar"/>
        </w:rPr>
        <w:t>EN 13445-2:2002/A1:2007《Unfired pressure vessels - Part 2: Materials​EN 13445-5:2002/A1:2007》（非受火压力容器 - 第2部分：材料）</w:t>
      </w:r>
    </w:p>
    <w:p w14:paraId="05336EE7">
      <w:pPr>
        <w:keepNext w:val="0"/>
        <w:keepLines w:val="0"/>
        <w:widowControl/>
        <w:numPr>
          <w:ilvl w:val="0"/>
          <w:numId w:val="3"/>
        </w:numPr>
        <w:suppressLineNumbers w:val="0"/>
        <w:spacing w:line="360" w:lineRule="auto"/>
        <w:ind w:leftChars="0" w:firstLine="480" w:firstLineChars="200"/>
        <w:jc w:val="left"/>
        <w:rPr>
          <w:rFonts w:hint="eastAsia" w:cs="宋体"/>
          <w:kern w:val="0"/>
          <w:sz w:val="24"/>
          <w:szCs w:val="24"/>
          <w:lang w:val="en-US" w:eastAsia="zh-CN" w:bidi="ar"/>
        </w:rPr>
      </w:pPr>
      <w:r>
        <w:rPr>
          <w:rFonts w:hint="eastAsia" w:cs="宋体"/>
          <w:kern w:val="0"/>
          <w:sz w:val="24"/>
          <w:szCs w:val="24"/>
          <w:lang w:val="en-US" w:eastAsia="zh-CN" w:bidi="ar"/>
        </w:rPr>
        <w:t>EN 13445-2:2002/A1:2007《Unfired pressure vessels - Part 5: Inspection and testing》（非受火压力容器 - 第5部分：检测和试验）</w:t>
      </w:r>
    </w:p>
    <w:p w14:paraId="3C3946D1">
      <w:pPr>
        <w:keepNext w:val="0"/>
        <w:keepLines w:val="0"/>
        <w:pageBreakBefore w:val="0"/>
        <w:widowControl/>
        <w:numPr>
          <w:ilvl w:val="0"/>
          <w:numId w:val="3"/>
        </w:numPr>
        <w:suppressLineNumbers w:val="0"/>
        <w:kinsoku/>
        <w:wordWrap/>
        <w:overflowPunct/>
        <w:topLinePunct w:val="0"/>
        <w:autoSpaceDE/>
        <w:autoSpaceDN/>
        <w:bidi w:val="0"/>
        <w:adjustRightInd/>
        <w:snapToGrid/>
        <w:spacing w:line="360" w:lineRule="auto"/>
        <w:ind w:leftChars="0" w:firstLine="480" w:firstLineChars="200"/>
        <w:jc w:val="left"/>
        <w:textAlignment w:val="auto"/>
        <w:rPr>
          <w:rFonts w:hint="default" w:ascii="宋体" w:hAnsi="宋体" w:eastAsia="宋体" w:cs="宋体"/>
          <w:kern w:val="0"/>
          <w:sz w:val="24"/>
          <w:szCs w:val="24"/>
          <w:lang w:val="en-US" w:eastAsia="zh-CN" w:bidi="ar"/>
        </w:rPr>
      </w:pPr>
      <w:r>
        <w:rPr>
          <w:rFonts w:hint="eastAsia" w:cs="宋体"/>
          <w:kern w:val="0"/>
          <w:sz w:val="24"/>
          <w:szCs w:val="24"/>
          <w:lang w:val="en-US" w:eastAsia="zh-CN" w:bidi="ar"/>
        </w:rPr>
        <w:t>EN 13445-8:2006《Unfired pressure vessels - Part 8: Additional requirements for pressure vessels of aluminium and aluminium alloys》（非受火压力容器 - 第8部分：铝和铝合金压力容器附加要求）</w:t>
      </w:r>
    </w:p>
    <w:p w14:paraId="212455F8">
      <w:pPr>
        <w:keepNext w:val="0"/>
        <w:keepLines w:val="0"/>
        <w:widowControl/>
        <w:numPr>
          <w:ilvl w:val="0"/>
          <w:numId w:val="3"/>
        </w:numPr>
        <w:suppressLineNumbers w:val="0"/>
        <w:spacing w:line="360" w:lineRule="auto"/>
        <w:ind w:leftChars="0" w:firstLine="480" w:firstLineChars="200"/>
        <w:jc w:val="left"/>
        <w:rPr>
          <w:rFonts w:hint="default" w:ascii="宋体" w:hAnsi="宋体" w:eastAsia="宋体" w:cs="宋体"/>
          <w:kern w:val="0"/>
          <w:sz w:val="24"/>
          <w:szCs w:val="24"/>
          <w:lang w:val="en-US" w:eastAsia="zh-CN" w:bidi="ar"/>
        </w:rPr>
      </w:pPr>
      <w:r>
        <w:rPr>
          <w:rFonts w:hint="eastAsia" w:cs="宋体"/>
          <w:kern w:val="0"/>
          <w:sz w:val="24"/>
          <w:szCs w:val="24"/>
          <w:lang w:val="en-US" w:eastAsia="zh-CN" w:bidi="ar"/>
        </w:rPr>
        <w:t>PD CEN/TR 13445-9:2007《Unfired pressure vessels — Part 9: Conformance of the EN 13445 series to ISO 16528》（非受火压力容器 - 第9部分：EN 13445系列和ISO 16528的一致性）</w:t>
      </w:r>
      <w:r>
        <w:rPr>
          <w:rFonts w:hint="eastAsia" w:cs="宋体"/>
          <w:kern w:val="0"/>
          <w:sz w:val="24"/>
          <w:szCs w:val="24"/>
          <w:lang w:val="en-US" w:eastAsia="zh-CN" w:bidi="ar"/>
        </w:rPr>
        <w:tab/>
      </w:r>
    </w:p>
    <w:p w14:paraId="79A7B5BF">
      <w:pPr>
        <w:pStyle w:val="10"/>
        <w:spacing w:before="326" w:beforeLines="100" w:after="326" w:afterLines="100"/>
        <w:rPr>
          <w:rFonts w:ascii="Times New Roman"/>
          <w:color w:val="000000" w:themeColor="text1"/>
          <w:sz w:val="28"/>
          <w:szCs w:val="28"/>
          <w14:textFill>
            <w14:solidFill>
              <w14:schemeClr w14:val="tx1"/>
            </w14:solidFill>
          </w14:textFill>
        </w:rPr>
      </w:pPr>
      <w:bookmarkStart w:id="17" w:name="_Toc4955"/>
      <w:r>
        <w:rPr>
          <w:rFonts w:hint="eastAsia" w:ascii="Times New Roman"/>
          <w:color w:val="000000" w:themeColor="text1"/>
          <w:sz w:val="28"/>
          <w:szCs w:val="28"/>
          <w:lang w:val="en-US" w:eastAsia="zh-CN"/>
          <w14:textFill>
            <w14:solidFill>
              <w14:schemeClr w14:val="tx1"/>
            </w14:solidFill>
          </w14:textFill>
        </w:rPr>
        <w:t>6</w:t>
      </w:r>
      <w:r>
        <w:rPr>
          <w:rFonts w:ascii="Times New Roman"/>
          <w:color w:val="000000" w:themeColor="text1"/>
          <w:sz w:val="28"/>
          <w:szCs w:val="28"/>
          <w14:textFill>
            <w14:solidFill>
              <w14:schemeClr w14:val="tx1"/>
            </w14:solidFill>
          </w14:textFill>
        </w:rPr>
        <w:t xml:space="preserve"> 与现行相关法律、法规、规章及相关标准</w:t>
      </w:r>
      <w:r>
        <w:rPr>
          <w:rFonts w:hint="eastAsia" w:ascii="Times New Roman"/>
          <w:color w:val="000000" w:themeColor="text1"/>
          <w:sz w:val="28"/>
          <w:szCs w:val="28"/>
          <w14:textFill>
            <w14:solidFill>
              <w14:schemeClr w14:val="tx1"/>
            </w14:solidFill>
          </w14:textFill>
        </w:rPr>
        <w:t>，特别是强制性标准</w:t>
      </w:r>
      <w:r>
        <w:rPr>
          <w:rFonts w:ascii="Times New Roman"/>
          <w:color w:val="000000" w:themeColor="text1"/>
          <w:sz w:val="28"/>
          <w:szCs w:val="28"/>
          <w14:textFill>
            <w14:solidFill>
              <w14:schemeClr w14:val="tx1"/>
            </w14:solidFill>
          </w14:textFill>
        </w:rPr>
        <w:t>的协调</w:t>
      </w:r>
      <w:r>
        <w:rPr>
          <w:rFonts w:hint="eastAsia" w:ascii="Times New Roman"/>
          <w:color w:val="000000" w:themeColor="text1"/>
          <w:sz w:val="28"/>
          <w:szCs w:val="28"/>
          <w14:textFill>
            <w14:solidFill>
              <w14:schemeClr w14:val="tx1"/>
            </w14:solidFill>
          </w14:textFill>
        </w:rPr>
        <w:t>性</w:t>
      </w:r>
      <w:bookmarkEnd w:id="17"/>
    </w:p>
    <w:p w14:paraId="14C164E4">
      <w:pPr>
        <w:spacing w:line="360" w:lineRule="auto"/>
        <w:ind w:firstLine="495"/>
        <w:jc w:val="both"/>
        <w:rPr>
          <w:rFonts w:hint="eastAsia"/>
          <w:color w:val="000000" w:themeColor="text1"/>
          <w14:textFill>
            <w14:solidFill>
              <w14:schemeClr w14:val="tx1"/>
            </w14:solidFill>
          </w14:textFill>
        </w:rPr>
      </w:pPr>
      <w:r>
        <w:rPr>
          <w:color w:val="000000" w:themeColor="text1"/>
          <w14:textFill>
            <w14:solidFill>
              <w14:schemeClr w14:val="tx1"/>
            </w14:solidFill>
          </w14:textFill>
        </w:rPr>
        <w:t>目前</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我国</w:t>
      </w:r>
      <w:r>
        <w:rPr>
          <w:rFonts w:hint="eastAsia"/>
          <w:color w:val="000000" w:themeColor="text1"/>
          <w:lang w:val="en-US" w:eastAsia="zh-CN"/>
          <w14:textFill>
            <w14:solidFill>
              <w14:schemeClr w14:val="tx1"/>
            </w14:solidFill>
          </w14:textFill>
        </w:rPr>
        <w:t>标准对防腐木材</w:t>
      </w:r>
      <w:r>
        <w:rPr>
          <w:color w:val="000000" w:themeColor="text1"/>
          <w14:textFill>
            <w14:solidFill>
              <w14:schemeClr w14:val="tx1"/>
            </w14:solidFill>
          </w14:textFill>
        </w:rPr>
        <w:t>提出了相关要求</w:t>
      </w:r>
      <w:r>
        <w:rPr>
          <w:rFonts w:hint="eastAsia"/>
          <w:color w:val="000000" w:themeColor="text1"/>
          <w14:textFill>
            <w14:solidFill>
              <w14:schemeClr w14:val="tx1"/>
            </w14:solidFill>
          </w14:textFill>
        </w:rPr>
        <w:t>，</w:t>
      </w:r>
      <w:r>
        <w:rPr>
          <w:rFonts w:hint="eastAsia"/>
          <w:color w:val="000000" w:themeColor="text1"/>
          <w:lang w:val="en-US" w:eastAsia="zh-CN"/>
          <w14:textFill>
            <w14:solidFill>
              <w14:schemeClr w14:val="tx1"/>
            </w14:solidFill>
          </w14:textFill>
        </w:rPr>
        <w:t>但未对建筑用防腐木材提出明确的技术要求，有涉及强制性标准内容与其表达一致</w:t>
      </w:r>
      <w:r>
        <w:rPr>
          <w:rFonts w:hint="eastAsia"/>
          <w:color w:val="000000" w:themeColor="text1"/>
          <w14:textFill>
            <w14:solidFill>
              <w14:schemeClr w14:val="tx1"/>
            </w14:solidFill>
          </w14:textFill>
        </w:rPr>
        <w:t>。主要</w:t>
      </w:r>
      <w:r>
        <w:rPr>
          <w:rFonts w:hint="eastAsia"/>
          <w:color w:val="000000" w:themeColor="text1"/>
          <w:lang w:val="en-US" w:eastAsia="zh-CN"/>
          <w14:textFill>
            <w14:solidFill>
              <w14:schemeClr w14:val="tx1"/>
            </w14:solidFill>
          </w14:textFill>
        </w:rPr>
        <w:t>检索对比</w:t>
      </w:r>
      <w:r>
        <w:rPr>
          <w:rFonts w:hint="eastAsia"/>
          <w:color w:val="000000" w:themeColor="text1"/>
          <w14:textFill>
            <w14:solidFill>
              <w14:schemeClr w14:val="tx1"/>
            </w14:solidFill>
          </w14:textFill>
        </w:rPr>
        <w:t>标准如下：</w:t>
      </w:r>
    </w:p>
    <w:p w14:paraId="2E6C209C">
      <w:pPr>
        <w:keepNext w:val="0"/>
        <w:keepLines w:val="0"/>
        <w:widowControl/>
        <w:numPr>
          <w:ilvl w:val="0"/>
          <w:numId w:val="0"/>
        </w:numPr>
        <w:suppressLineNumbers w:val="0"/>
        <w:spacing w:line="360" w:lineRule="auto"/>
        <w:ind w:leftChars="0" w:firstLine="480" w:firstLineChars="200"/>
        <w:jc w:val="left"/>
        <w:rPr>
          <w:rFonts w:hint="default"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国内标准：</w:t>
      </w:r>
    </w:p>
    <w:p w14:paraId="11505639">
      <w:pPr>
        <w:keepNext w:val="0"/>
        <w:keepLines w:val="0"/>
        <w:widowControl/>
        <w:numPr>
          <w:ilvl w:val="0"/>
          <w:numId w:val="4"/>
        </w:numPr>
        <w:suppressLineNumbers w:val="0"/>
        <w:spacing w:line="360" w:lineRule="auto"/>
        <w:ind w:leftChars="0" w:firstLine="480" w:firstLineChars="200"/>
        <w:jc w:val="left"/>
        <w:rPr>
          <w:rFonts w:hint="default" w:ascii="宋体" w:hAnsi="宋体" w:eastAsia="宋体" w:cs="宋体"/>
          <w:kern w:val="0"/>
          <w:sz w:val="24"/>
          <w:szCs w:val="24"/>
          <w:lang w:val="en-US" w:eastAsia="zh-CN" w:bidi="ar"/>
        </w:rPr>
      </w:pPr>
      <w:r>
        <w:rPr>
          <w:rFonts w:hint="default" w:ascii="宋体" w:hAnsi="宋体" w:eastAsia="宋体" w:cs="宋体"/>
          <w:kern w:val="0"/>
          <w:sz w:val="24"/>
          <w:szCs w:val="24"/>
          <w:lang w:val="en-US" w:eastAsia="zh-CN" w:bidi="ar"/>
        </w:rPr>
        <w:t>GB/T 150.1～150.4-2011</w:t>
      </w:r>
      <w:r>
        <w:rPr>
          <w:rFonts w:hint="eastAsia" w:cs="宋体"/>
          <w:kern w:val="0"/>
          <w:sz w:val="24"/>
          <w:szCs w:val="24"/>
          <w:lang w:val="en-US" w:eastAsia="zh-CN" w:bidi="ar"/>
        </w:rPr>
        <w:t xml:space="preserve"> </w:t>
      </w:r>
      <w:r>
        <w:rPr>
          <w:rFonts w:hint="default" w:ascii="宋体" w:hAnsi="宋体" w:eastAsia="宋体" w:cs="宋体"/>
          <w:kern w:val="0"/>
          <w:sz w:val="24"/>
          <w:szCs w:val="24"/>
          <w:lang w:val="en-US" w:eastAsia="zh-CN" w:bidi="ar"/>
        </w:rPr>
        <w:t xml:space="preserve">压力容器（所有部分） </w:t>
      </w:r>
    </w:p>
    <w:p w14:paraId="6931ECC8">
      <w:pPr>
        <w:keepNext w:val="0"/>
        <w:keepLines w:val="0"/>
        <w:widowControl/>
        <w:numPr>
          <w:ilvl w:val="0"/>
          <w:numId w:val="4"/>
        </w:numPr>
        <w:suppressLineNumbers w:val="0"/>
        <w:spacing w:line="360" w:lineRule="auto"/>
        <w:ind w:leftChars="0" w:firstLine="480" w:firstLineChars="200"/>
        <w:jc w:val="left"/>
        <w:rPr>
          <w:rFonts w:hint="default" w:ascii="宋体" w:hAnsi="宋体" w:eastAsia="宋体" w:cs="宋体"/>
          <w:kern w:val="0"/>
          <w:sz w:val="24"/>
          <w:szCs w:val="24"/>
          <w:lang w:val="en-US" w:eastAsia="zh-CN" w:bidi="ar"/>
        </w:rPr>
      </w:pPr>
      <w:r>
        <w:rPr>
          <w:rFonts w:hint="eastAsia" w:cs="宋体"/>
          <w:kern w:val="0"/>
          <w:sz w:val="24"/>
          <w:szCs w:val="24"/>
          <w:lang w:val="en-US" w:eastAsia="zh-CN" w:bidi="ar"/>
        </w:rPr>
        <w:t xml:space="preserve">JB 4730 压力容器无损检测 </w:t>
      </w:r>
    </w:p>
    <w:p w14:paraId="06109F48">
      <w:pPr>
        <w:pStyle w:val="10"/>
        <w:spacing w:before="326" w:beforeLines="100" w:after="326" w:afterLines="100"/>
        <w:rPr>
          <w:rFonts w:ascii="Times New Roman"/>
          <w:color w:val="000000" w:themeColor="text1"/>
          <w:sz w:val="28"/>
          <w:szCs w:val="28"/>
          <w14:textFill>
            <w14:solidFill>
              <w14:schemeClr w14:val="tx1"/>
            </w14:solidFill>
          </w14:textFill>
        </w:rPr>
      </w:pPr>
      <w:bookmarkStart w:id="18" w:name="_Toc12128"/>
      <w:r>
        <w:rPr>
          <w:rFonts w:hint="eastAsia" w:ascii="Times New Roman"/>
          <w:color w:val="000000" w:themeColor="text1"/>
          <w:sz w:val="28"/>
          <w:szCs w:val="28"/>
          <w:lang w:val="en-US" w:eastAsia="zh-CN"/>
          <w14:textFill>
            <w14:solidFill>
              <w14:schemeClr w14:val="tx1"/>
            </w14:solidFill>
          </w14:textFill>
        </w:rPr>
        <w:t>7</w:t>
      </w:r>
      <w:r>
        <w:rPr>
          <w:rFonts w:ascii="Times New Roman"/>
          <w:color w:val="000000" w:themeColor="text1"/>
          <w:sz w:val="28"/>
          <w:szCs w:val="28"/>
          <w14:textFill>
            <w14:solidFill>
              <w14:schemeClr w14:val="tx1"/>
            </w14:solidFill>
          </w14:textFill>
        </w:rPr>
        <w:t xml:space="preserve"> 重大意见分歧的处理依据和结果</w:t>
      </w:r>
      <w:bookmarkEnd w:id="18"/>
    </w:p>
    <w:p w14:paraId="46BB3505">
      <w:pPr>
        <w:spacing w:line="360" w:lineRule="auto"/>
        <w:ind w:firstLine="480" w:firstLineChars="200"/>
        <w:jc w:val="both"/>
        <w:rPr>
          <w:rFonts w:eastAsiaTheme="minorEastAsia"/>
          <w:b/>
          <w:color w:val="000000" w:themeColor="text1"/>
          <w:szCs w:val="28"/>
          <w14:textFill>
            <w14:solidFill>
              <w14:schemeClr w14:val="tx1"/>
            </w14:solidFill>
          </w14:textFill>
        </w:rPr>
      </w:pPr>
      <w:r>
        <w:rPr>
          <w:rFonts w:eastAsiaTheme="minorEastAsia"/>
          <w:color w:val="000000" w:themeColor="text1"/>
          <w:szCs w:val="28"/>
          <w14:textFill>
            <w14:solidFill>
              <w14:schemeClr w14:val="tx1"/>
            </w14:solidFill>
          </w14:textFill>
        </w:rPr>
        <w:t>在标准的编制过程中，</w:t>
      </w:r>
      <w:r>
        <w:rPr>
          <w:rFonts w:hint="eastAsia" w:eastAsiaTheme="minorEastAsia"/>
          <w:color w:val="000000" w:themeColor="text1"/>
          <w:szCs w:val="28"/>
          <w14:textFill>
            <w14:solidFill>
              <w14:schemeClr w14:val="tx1"/>
            </w14:solidFill>
          </w14:textFill>
        </w:rPr>
        <w:t>标准编制组在学习相关法律法规的基础上，结合建材行业实际情况，开展了本标准的制定工作，并在研究过程中征求了</w:t>
      </w:r>
      <w:r>
        <w:rPr>
          <w:rFonts w:eastAsiaTheme="minorEastAsia"/>
          <w:color w:val="000000" w:themeColor="text1"/>
          <w:szCs w:val="28"/>
          <w14:textFill>
            <w14:solidFill>
              <w14:schemeClr w14:val="tx1"/>
            </w14:solidFill>
          </w14:textFill>
        </w:rPr>
        <w:t>行业相关单位和业内专家的意见和建议，主要针对标准</w:t>
      </w:r>
      <w:r>
        <w:rPr>
          <w:rFonts w:hint="eastAsia" w:eastAsiaTheme="minorEastAsia"/>
          <w:color w:val="000000" w:themeColor="text1"/>
          <w:szCs w:val="28"/>
          <w14:textFill>
            <w14:solidFill>
              <w14:schemeClr w14:val="tx1"/>
            </w14:solidFill>
          </w14:textFill>
        </w:rPr>
        <w:t>中</w:t>
      </w:r>
      <w:r>
        <w:rPr>
          <w:rFonts w:hint="eastAsia" w:eastAsiaTheme="minorEastAsia"/>
          <w:color w:val="000000" w:themeColor="text1"/>
          <w:szCs w:val="28"/>
          <w:lang w:val="en-US" w:eastAsia="zh-CN"/>
          <w14:textFill>
            <w14:solidFill>
              <w14:schemeClr w14:val="tx1"/>
            </w14:solidFill>
          </w14:textFill>
        </w:rPr>
        <w:t>对压力容器、真空系统、加压系统、吸排液系统、配液系统等技术指标</w:t>
      </w:r>
      <w:r>
        <w:rPr>
          <w:rFonts w:eastAsiaTheme="minorEastAsia"/>
          <w:color w:val="000000" w:themeColor="text1"/>
          <w:szCs w:val="28"/>
          <w14:textFill>
            <w14:solidFill>
              <w14:schemeClr w14:val="tx1"/>
            </w14:solidFill>
          </w14:textFill>
        </w:rPr>
        <w:t>做了深入研讨，各家单位和行业专家结合自身的工作经验和</w:t>
      </w:r>
      <w:r>
        <w:rPr>
          <w:rFonts w:hint="eastAsia" w:eastAsiaTheme="minorEastAsia"/>
          <w:color w:val="000000" w:themeColor="text1"/>
          <w:szCs w:val="28"/>
          <w14:textFill>
            <w14:solidFill>
              <w14:schemeClr w14:val="tx1"/>
            </w14:solidFill>
          </w14:textFill>
        </w:rPr>
        <w:t>实际调研</w:t>
      </w:r>
      <w:r>
        <w:rPr>
          <w:rFonts w:eastAsiaTheme="minorEastAsia"/>
          <w:color w:val="000000" w:themeColor="text1"/>
          <w:szCs w:val="28"/>
          <w14:textFill>
            <w14:solidFill>
              <w14:schemeClr w14:val="tx1"/>
            </w14:solidFill>
          </w14:textFill>
        </w:rPr>
        <w:t>作为</w:t>
      </w:r>
      <w:r>
        <w:rPr>
          <w:rFonts w:hint="eastAsia" w:eastAsiaTheme="minorEastAsia"/>
          <w:color w:val="000000" w:themeColor="text1"/>
          <w:szCs w:val="28"/>
          <w14:textFill>
            <w14:solidFill>
              <w14:schemeClr w14:val="tx1"/>
            </w14:solidFill>
          </w14:textFill>
        </w:rPr>
        <w:t>标准内容</w:t>
      </w:r>
      <w:r>
        <w:rPr>
          <w:rFonts w:eastAsiaTheme="minorEastAsia"/>
          <w:color w:val="000000" w:themeColor="text1"/>
          <w:szCs w:val="28"/>
          <w14:textFill>
            <w14:solidFill>
              <w14:schemeClr w14:val="tx1"/>
            </w14:solidFill>
          </w14:textFill>
        </w:rPr>
        <w:t>支撑的有力依据，最终对标准要求达成一致。编制过程中对标准的主要内容并未产生重大意见分歧。</w:t>
      </w:r>
    </w:p>
    <w:p w14:paraId="5A54F6B1">
      <w:pPr>
        <w:pStyle w:val="10"/>
        <w:spacing w:before="326" w:beforeLines="100" w:after="326" w:afterLines="100"/>
        <w:rPr>
          <w:rFonts w:ascii="Times New Roman"/>
          <w:color w:val="000000" w:themeColor="text1"/>
          <w:sz w:val="28"/>
          <w:szCs w:val="28"/>
          <w14:textFill>
            <w14:solidFill>
              <w14:schemeClr w14:val="tx1"/>
            </w14:solidFill>
          </w14:textFill>
        </w:rPr>
      </w:pPr>
      <w:bookmarkStart w:id="19" w:name="_Toc29268"/>
      <w:r>
        <w:rPr>
          <w:rFonts w:hint="eastAsia" w:ascii="Times New Roman"/>
          <w:color w:val="000000" w:themeColor="text1"/>
          <w:sz w:val="28"/>
          <w:szCs w:val="28"/>
          <w:lang w:val="en-US" w:eastAsia="zh-CN"/>
          <w14:textFill>
            <w14:solidFill>
              <w14:schemeClr w14:val="tx1"/>
            </w14:solidFill>
          </w14:textFill>
        </w:rPr>
        <w:t>8</w:t>
      </w:r>
      <w:r>
        <w:rPr>
          <w:rFonts w:ascii="Times New Roman"/>
          <w:color w:val="000000" w:themeColor="text1"/>
          <w:sz w:val="28"/>
          <w:szCs w:val="28"/>
          <w14:textFill>
            <w14:solidFill>
              <w14:schemeClr w14:val="tx1"/>
            </w14:solidFill>
          </w14:textFill>
        </w:rPr>
        <w:t xml:space="preserve"> </w:t>
      </w:r>
      <w:r>
        <w:rPr>
          <w:rFonts w:hint="eastAsia" w:ascii="Times New Roman"/>
          <w:color w:val="000000" w:themeColor="text1"/>
          <w:sz w:val="28"/>
          <w:szCs w:val="28"/>
          <w14:textFill>
            <w14:solidFill>
              <w14:schemeClr w14:val="tx1"/>
            </w14:solidFill>
          </w14:textFill>
        </w:rPr>
        <w:t>标准性质的建议说明</w:t>
      </w:r>
      <w:bookmarkEnd w:id="19"/>
    </w:p>
    <w:p w14:paraId="1C409677">
      <w:pPr>
        <w:spacing w:line="360" w:lineRule="auto"/>
        <w:ind w:firstLine="480" w:firstLineChars="200"/>
        <w:jc w:val="both"/>
        <w:rPr>
          <w:rFonts w:eastAsiaTheme="minorEastAsia"/>
          <w:color w:val="000000" w:themeColor="text1"/>
          <w:szCs w:val="28"/>
          <w14:textFill>
            <w14:solidFill>
              <w14:schemeClr w14:val="tx1"/>
            </w14:solidFill>
          </w14:textFill>
        </w:rPr>
      </w:pPr>
      <w:r>
        <w:rPr>
          <w:rFonts w:hint="eastAsia" w:eastAsiaTheme="minorEastAsia"/>
          <w:color w:val="000000" w:themeColor="text1"/>
          <w:szCs w:val="28"/>
          <w14:textFill>
            <w14:solidFill>
              <w14:schemeClr w14:val="tx1"/>
            </w14:solidFill>
          </w14:textFill>
        </w:rPr>
        <w:t>建议本标准为推荐性，发布后立即实施。</w:t>
      </w:r>
    </w:p>
    <w:p w14:paraId="60A57F55">
      <w:pPr>
        <w:pStyle w:val="10"/>
        <w:spacing w:before="326" w:beforeLines="100" w:after="326" w:afterLines="100"/>
        <w:rPr>
          <w:rFonts w:ascii="Times New Roman"/>
          <w:color w:val="000000" w:themeColor="text1"/>
          <w:sz w:val="28"/>
          <w:szCs w:val="28"/>
          <w14:textFill>
            <w14:solidFill>
              <w14:schemeClr w14:val="tx1"/>
            </w14:solidFill>
          </w14:textFill>
        </w:rPr>
      </w:pPr>
      <w:bookmarkStart w:id="20" w:name="_Toc22430"/>
      <w:r>
        <w:rPr>
          <w:rFonts w:hint="eastAsia" w:ascii="Times New Roman"/>
          <w:color w:val="000000" w:themeColor="text1"/>
          <w:sz w:val="28"/>
          <w:szCs w:val="28"/>
          <w:lang w:val="en-US" w:eastAsia="zh-CN"/>
          <w14:textFill>
            <w14:solidFill>
              <w14:schemeClr w14:val="tx1"/>
            </w14:solidFill>
          </w14:textFill>
        </w:rPr>
        <w:t>9</w:t>
      </w:r>
      <w:r>
        <w:rPr>
          <w:rFonts w:ascii="Times New Roman"/>
          <w:color w:val="000000" w:themeColor="text1"/>
          <w:sz w:val="28"/>
          <w:szCs w:val="28"/>
          <w14:textFill>
            <w14:solidFill>
              <w14:schemeClr w14:val="tx1"/>
            </w14:solidFill>
          </w14:textFill>
        </w:rPr>
        <w:t xml:space="preserve"> 贯彻标准的措施建议</w:t>
      </w:r>
      <w:bookmarkEnd w:id="20"/>
    </w:p>
    <w:p w14:paraId="165F407C">
      <w:pPr>
        <w:spacing w:line="360" w:lineRule="auto"/>
        <w:ind w:firstLine="480"/>
        <w:jc w:val="both"/>
        <w:rPr>
          <w:color w:val="000000" w:themeColor="text1"/>
          <w:szCs w:val="28"/>
          <w14:textFill>
            <w14:solidFill>
              <w14:schemeClr w14:val="tx1"/>
            </w14:solidFill>
          </w14:textFill>
        </w:rPr>
      </w:pPr>
      <w:r>
        <w:rPr>
          <w:rFonts w:eastAsiaTheme="minorEastAsia"/>
          <w:color w:val="000000" w:themeColor="text1"/>
          <w:szCs w:val="28"/>
          <w14:textFill>
            <w14:solidFill>
              <w14:schemeClr w14:val="tx1"/>
            </w14:solidFill>
          </w14:textFill>
        </w:rPr>
        <w:t>建议在本标准</w:t>
      </w:r>
      <w:r>
        <w:rPr>
          <w:rFonts w:hint="eastAsia" w:eastAsiaTheme="minorEastAsia"/>
          <w:color w:val="000000" w:themeColor="text1"/>
          <w:szCs w:val="28"/>
          <w:lang w:val="en-US" w:eastAsia="zh-CN"/>
          <w14:textFill>
            <w14:solidFill>
              <w14:schemeClr w14:val="tx1"/>
            </w14:solidFill>
          </w14:textFill>
        </w:rPr>
        <w:t>修订</w:t>
      </w:r>
      <w:r>
        <w:rPr>
          <w:rFonts w:eastAsiaTheme="minorEastAsia"/>
          <w:color w:val="000000" w:themeColor="text1"/>
          <w:szCs w:val="28"/>
          <w14:textFill>
            <w14:solidFill>
              <w14:schemeClr w14:val="tx1"/>
            </w14:solidFill>
          </w14:textFill>
        </w:rPr>
        <w:t>后，各</w:t>
      </w:r>
      <w:r>
        <w:rPr>
          <w:rFonts w:hint="eastAsia" w:eastAsiaTheme="minorEastAsia"/>
          <w:color w:val="000000" w:themeColor="text1"/>
          <w:szCs w:val="28"/>
          <w:lang w:val="en-US" w:eastAsia="zh-CN"/>
          <w14:textFill>
            <w14:solidFill>
              <w14:schemeClr w14:val="tx1"/>
            </w14:solidFill>
          </w14:textFill>
        </w:rPr>
        <w:t>防腐及改性设备</w:t>
      </w:r>
      <w:r>
        <w:rPr>
          <w:rFonts w:hint="eastAsia" w:eastAsiaTheme="minorEastAsia"/>
          <w:color w:val="000000" w:themeColor="text1"/>
          <w:szCs w:val="28"/>
          <w14:textFill>
            <w14:solidFill>
              <w14:schemeClr w14:val="tx1"/>
            </w14:solidFill>
          </w14:textFill>
        </w:rPr>
        <w:t>生产企业</w:t>
      </w:r>
      <w:r>
        <w:rPr>
          <w:rFonts w:hint="eastAsia" w:eastAsiaTheme="minorEastAsia"/>
          <w:color w:val="000000" w:themeColor="text1"/>
          <w:szCs w:val="28"/>
          <w:lang w:val="en-US" w:eastAsia="zh-CN"/>
          <w14:textFill>
            <w14:solidFill>
              <w14:schemeClr w14:val="tx1"/>
            </w14:solidFill>
          </w14:textFill>
        </w:rPr>
        <w:t>、</w:t>
      </w:r>
      <w:r>
        <w:rPr>
          <w:rFonts w:eastAsiaTheme="minorEastAsia"/>
          <w:color w:val="000000" w:themeColor="text1"/>
          <w:szCs w:val="28"/>
          <w14:textFill>
            <w14:solidFill>
              <w14:schemeClr w14:val="tx1"/>
            </w14:solidFill>
          </w14:textFill>
        </w:rPr>
        <w:t>科研单位以及地方管理部门能够依据本标准中的相关规定</w:t>
      </w:r>
      <w:r>
        <w:rPr>
          <w:rFonts w:hint="eastAsia" w:eastAsiaTheme="minorEastAsia"/>
          <w:color w:val="000000" w:themeColor="text1"/>
          <w:szCs w:val="28"/>
          <w:lang w:val="en-US" w:eastAsia="zh-CN"/>
          <w14:textFill>
            <w14:solidFill>
              <w14:schemeClr w14:val="tx1"/>
            </w14:solidFill>
          </w14:textFill>
        </w:rPr>
        <w:t>进行生产制造、研究及监督</w:t>
      </w:r>
      <w:r>
        <w:rPr>
          <w:rFonts w:eastAsiaTheme="minorEastAsia"/>
          <w:color w:val="000000" w:themeColor="text1"/>
          <w:szCs w:val="28"/>
          <w14:textFill>
            <w14:solidFill>
              <w14:schemeClr w14:val="tx1"/>
            </w14:solidFill>
          </w14:textFill>
        </w:rPr>
        <w:t>。</w:t>
      </w:r>
      <w:r>
        <w:rPr>
          <w:color w:val="000000" w:themeColor="text1"/>
          <w:szCs w:val="28"/>
          <w14:textFill>
            <w14:solidFill>
              <w14:schemeClr w14:val="tx1"/>
            </w14:solidFill>
          </w14:textFill>
        </w:rPr>
        <w:t>具体实施措施建议如下：</w:t>
      </w:r>
    </w:p>
    <w:p w14:paraId="40C0C59D">
      <w:pPr>
        <w:spacing w:line="360" w:lineRule="auto"/>
        <w:ind w:firstLine="480"/>
        <w:jc w:val="both"/>
        <w:rPr>
          <w:color w:val="000000" w:themeColor="text1"/>
          <w:szCs w:val="28"/>
          <w14:textFill>
            <w14:solidFill>
              <w14:schemeClr w14:val="tx1"/>
            </w14:solidFill>
          </w14:textFill>
        </w:rPr>
      </w:pPr>
      <w:r>
        <w:rPr>
          <w:color w:val="000000" w:themeColor="text1"/>
          <w:szCs w:val="28"/>
          <w14:textFill>
            <w14:solidFill>
              <w14:schemeClr w14:val="tx1"/>
            </w14:solidFill>
          </w14:textFill>
        </w:rPr>
        <w:t>（1）标准归口单位进行贯标指导，组织标准宣贯培训班，由标准制定人员主讲。设立专门的答疑或咨询部门或网站，为贯标企业排忧解难，组织有关人员积极参加行业协会组织的各项活动，培训班等。及时了解标准制、修订信息。</w:t>
      </w:r>
    </w:p>
    <w:p w14:paraId="3E69F7A5">
      <w:pPr>
        <w:spacing w:line="360" w:lineRule="auto"/>
        <w:ind w:firstLine="480"/>
        <w:jc w:val="both"/>
        <w:rPr>
          <w:color w:val="000000" w:themeColor="text1"/>
          <w:szCs w:val="28"/>
          <w14:textFill>
            <w14:solidFill>
              <w14:schemeClr w14:val="tx1"/>
            </w14:solidFill>
          </w14:textFill>
        </w:rPr>
      </w:pPr>
      <w:r>
        <w:rPr>
          <w:color w:val="000000" w:themeColor="text1"/>
          <w:szCs w:val="28"/>
          <w14:textFill>
            <w14:solidFill>
              <w14:schemeClr w14:val="tx1"/>
            </w14:solidFill>
          </w14:textFill>
        </w:rPr>
        <w:t>（</w:t>
      </w:r>
      <w:r>
        <w:rPr>
          <w:rFonts w:hint="eastAsia"/>
          <w:color w:val="000000" w:themeColor="text1"/>
          <w:szCs w:val="28"/>
          <w:lang w:val="en-US" w:eastAsia="zh-CN"/>
          <w14:textFill>
            <w14:solidFill>
              <w14:schemeClr w14:val="tx1"/>
            </w14:solidFill>
          </w14:textFill>
        </w:rPr>
        <w:t>2</w:t>
      </w:r>
      <w:r>
        <w:rPr>
          <w:color w:val="000000" w:themeColor="text1"/>
          <w:szCs w:val="28"/>
          <w14:textFill>
            <w14:solidFill>
              <w14:schemeClr w14:val="tx1"/>
            </w14:solidFill>
          </w14:textFill>
        </w:rPr>
        <w:t>）鼓励行业相关企业</w:t>
      </w:r>
      <w:r>
        <w:rPr>
          <w:rFonts w:hint="eastAsia"/>
          <w:color w:val="000000" w:themeColor="text1"/>
          <w:szCs w:val="28"/>
          <w:lang w:eastAsia="zh-CN"/>
          <w14:textFill>
            <w14:solidFill>
              <w14:schemeClr w14:val="tx1"/>
            </w14:solidFill>
          </w14:textFill>
        </w:rPr>
        <w:t>、</w:t>
      </w:r>
      <w:r>
        <w:rPr>
          <w:rFonts w:hint="eastAsia"/>
          <w:color w:val="000000" w:themeColor="text1"/>
          <w:szCs w:val="28"/>
          <w:lang w:val="en-US" w:eastAsia="zh-CN"/>
          <w14:textFill>
            <w14:solidFill>
              <w14:schemeClr w14:val="tx1"/>
            </w14:solidFill>
          </w14:textFill>
        </w:rPr>
        <w:t>科研单位</w:t>
      </w:r>
      <w:r>
        <w:rPr>
          <w:color w:val="000000" w:themeColor="text1"/>
          <w:szCs w:val="28"/>
          <w14:textFill>
            <w14:solidFill>
              <w14:schemeClr w14:val="tx1"/>
            </w14:solidFill>
          </w14:textFill>
        </w:rPr>
        <w:t>成立标准贯彻实施小组，组员由标准化技术人员、产品主管设计人员、工艺主管设计人员、车间技术人员等工作人员组成，进行明确的分工合作，适时组织标准宣贯会，使</w:t>
      </w:r>
      <w:r>
        <w:rPr>
          <w:rFonts w:hint="eastAsia"/>
          <w:color w:val="000000" w:themeColor="text1"/>
          <w:szCs w:val="28"/>
          <w14:textFill>
            <w14:solidFill>
              <w14:schemeClr w14:val="tx1"/>
            </w14:solidFill>
          </w14:textFill>
        </w:rPr>
        <w:t>企业能够顺利</w:t>
      </w:r>
      <w:r>
        <w:rPr>
          <w:color w:val="000000" w:themeColor="text1"/>
          <w:szCs w:val="28"/>
          <w14:textFill>
            <w14:solidFill>
              <w14:schemeClr w14:val="tx1"/>
            </w14:solidFill>
          </w14:textFill>
        </w:rPr>
        <w:t>执行标准</w:t>
      </w:r>
      <w:r>
        <w:rPr>
          <w:rFonts w:hint="eastAsia"/>
          <w:color w:val="000000" w:themeColor="text1"/>
          <w:szCs w:val="28"/>
          <w14:textFill>
            <w14:solidFill>
              <w14:schemeClr w14:val="tx1"/>
            </w14:solidFill>
          </w14:textFill>
        </w:rPr>
        <w:t>，科学开展</w:t>
      </w:r>
      <w:r>
        <w:rPr>
          <w:rFonts w:hint="eastAsia"/>
          <w:color w:val="000000" w:themeColor="text1"/>
          <w:szCs w:val="28"/>
          <w:lang w:val="en-US" w:eastAsia="zh-CN"/>
          <w14:textFill>
            <w14:solidFill>
              <w14:schemeClr w14:val="tx1"/>
            </w14:solidFill>
          </w14:textFill>
        </w:rPr>
        <w:t>产品质检前的取样工作</w:t>
      </w:r>
      <w:r>
        <w:rPr>
          <w:color w:val="000000" w:themeColor="text1"/>
          <w:szCs w:val="28"/>
          <w14:textFill>
            <w14:solidFill>
              <w14:schemeClr w14:val="tx1"/>
            </w14:solidFill>
          </w14:textFill>
        </w:rPr>
        <w:t>。</w:t>
      </w:r>
    </w:p>
    <w:p w14:paraId="55B4E6E7">
      <w:pPr>
        <w:spacing w:line="360" w:lineRule="auto"/>
        <w:ind w:firstLine="480"/>
        <w:jc w:val="both"/>
        <w:rPr>
          <w:rFonts w:hint="default" w:eastAsia="宋体"/>
          <w:color w:val="000000" w:themeColor="text1"/>
          <w:szCs w:val="28"/>
          <w:lang w:val="en-US" w:eastAsia="zh-CN"/>
          <w14:textFill>
            <w14:solidFill>
              <w14:schemeClr w14:val="tx1"/>
            </w14:solidFill>
          </w14:textFill>
        </w:rPr>
      </w:pPr>
      <w:r>
        <w:rPr>
          <w:color w:val="000000" w:themeColor="text1"/>
          <w:szCs w:val="28"/>
          <w14:textFill>
            <w14:solidFill>
              <w14:schemeClr w14:val="tx1"/>
            </w14:solidFill>
          </w14:textFill>
        </w:rPr>
        <w:t>（</w:t>
      </w:r>
      <w:r>
        <w:rPr>
          <w:rFonts w:hint="eastAsia"/>
          <w:color w:val="000000" w:themeColor="text1"/>
          <w:szCs w:val="28"/>
          <w:lang w:val="en-US" w:eastAsia="zh-CN"/>
          <w14:textFill>
            <w14:solidFill>
              <w14:schemeClr w14:val="tx1"/>
            </w14:solidFill>
          </w14:textFill>
        </w:rPr>
        <w:t>3</w:t>
      </w:r>
      <w:r>
        <w:rPr>
          <w:color w:val="000000" w:themeColor="text1"/>
          <w:szCs w:val="28"/>
          <w14:textFill>
            <w14:solidFill>
              <w14:schemeClr w14:val="tx1"/>
            </w14:solidFill>
          </w14:textFill>
        </w:rPr>
        <w:t>）标准化技术人员全面负责贯标实施工作，跟踪服务对贯标中出现的技术问题进行协调处理</w:t>
      </w:r>
      <w:r>
        <w:rPr>
          <w:rFonts w:hint="eastAsia"/>
          <w:color w:val="000000" w:themeColor="text1"/>
          <w:szCs w:val="28"/>
          <w14:textFill>
            <w14:solidFill>
              <w14:schemeClr w14:val="tx1"/>
            </w14:solidFill>
          </w14:textFill>
        </w:rPr>
        <w:t>并</w:t>
      </w:r>
      <w:r>
        <w:rPr>
          <w:color w:val="000000" w:themeColor="text1"/>
          <w:szCs w:val="28"/>
          <w14:textFill>
            <w14:solidFill>
              <w14:schemeClr w14:val="tx1"/>
            </w14:solidFill>
          </w14:textFill>
        </w:rPr>
        <w:t>作好贯标记录，并进行长期监督检查工作。</w:t>
      </w:r>
    </w:p>
    <w:p w14:paraId="0FE3AF55">
      <w:pPr>
        <w:pStyle w:val="10"/>
        <w:keepNext w:val="0"/>
        <w:keepLines w:val="0"/>
        <w:pageBreakBefore w:val="0"/>
        <w:widowControl/>
        <w:kinsoku/>
        <w:wordWrap/>
        <w:overflowPunct/>
        <w:topLinePunct w:val="0"/>
        <w:autoSpaceDE/>
        <w:autoSpaceDN/>
        <w:bidi w:val="0"/>
        <w:adjustRightInd/>
        <w:snapToGrid/>
        <w:spacing w:before="327" w:beforeLines="100" w:after="327" w:afterLines="100" w:line="240" w:lineRule="auto"/>
        <w:textAlignment w:val="auto"/>
        <w:rPr>
          <w:rFonts w:ascii="Times New Roman"/>
          <w:color w:val="000000" w:themeColor="text1"/>
          <w:sz w:val="28"/>
          <w:szCs w:val="28"/>
          <w14:textFill>
            <w14:solidFill>
              <w14:schemeClr w14:val="tx1"/>
            </w14:solidFill>
          </w14:textFill>
        </w:rPr>
      </w:pPr>
      <w:bookmarkStart w:id="21" w:name="_Toc956"/>
      <w:r>
        <w:rPr>
          <w:rFonts w:ascii="Times New Roman"/>
          <w:color w:val="000000" w:themeColor="text1"/>
          <w:sz w:val="28"/>
          <w:szCs w:val="28"/>
          <w14:textFill>
            <w14:solidFill>
              <w14:schemeClr w14:val="tx1"/>
            </w14:solidFill>
          </w14:textFill>
        </w:rPr>
        <w:t>1</w:t>
      </w:r>
      <w:r>
        <w:rPr>
          <w:rFonts w:hint="eastAsia" w:ascii="Times New Roman"/>
          <w:color w:val="000000" w:themeColor="text1"/>
          <w:sz w:val="28"/>
          <w:szCs w:val="28"/>
          <w:lang w:val="en-US" w:eastAsia="zh-CN"/>
          <w14:textFill>
            <w14:solidFill>
              <w14:schemeClr w14:val="tx1"/>
            </w14:solidFill>
          </w14:textFill>
        </w:rPr>
        <w:t>0</w:t>
      </w:r>
      <w:r>
        <w:rPr>
          <w:rFonts w:ascii="Times New Roman"/>
          <w:color w:val="000000" w:themeColor="text1"/>
          <w:sz w:val="28"/>
          <w:szCs w:val="28"/>
          <w14:textFill>
            <w14:solidFill>
              <w14:schemeClr w14:val="tx1"/>
            </w14:solidFill>
          </w14:textFill>
        </w:rPr>
        <w:t xml:space="preserve"> 废止现行有关标准的建议</w:t>
      </w:r>
      <w:bookmarkEnd w:id="21"/>
    </w:p>
    <w:p w14:paraId="2CCA1498">
      <w:pPr>
        <w:keepNext w:val="0"/>
        <w:keepLines w:val="0"/>
        <w:pageBreakBefore w:val="0"/>
        <w:widowControl/>
        <w:kinsoku/>
        <w:wordWrap/>
        <w:overflowPunct/>
        <w:topLinePunct w:val="0"/>
        <w:autoSpaceDE/>
        <w:autoSpaceDN/>
        <w:bidi w:val="0"/>
        <w:adjustRightInd/>
        <w:snapToGrid/>
        <w:spacing w:before="327" w:beforeLines="100" w:after="327" w:afterLines="100" w:line="240" w:lineRule="auto"/>
        <w:ind w:firstLine="480"/>
        <w:jc w:val="both"/>
        <w:textAlignment w:val="auto"/>
        <w:rPr>
          <w:rFonts w:eastAsiaTheme="minorEastAsia"/>
          <w:color w:val="000000" w:themeColor="text1"/>
          <w:szCs w:val="28"/>
          <w14:textFill>
            <w14:solidFill>
              <w14:schemeClr w14:val="tx1"/>
            </w14:solidFill>
          </w14:textFill>
        </w:rPr>
      </w:pPr>
      <w:r>
        <w:rPr>
          <w:rFonts w:eastAsiaTheme="minorEastAsia"/>
          <w:color w:val="000000" w:themeColor="text1"/>
          <w:szCs w:val="28"/>
          <w14:textFill>
            <w14:solidFill>
              <w14:schemeClr w14:val="tx1"/>
            </w14:solidFill>
          </w14:textFill>
        </w:rPr>
        <w:t>无。</w:t>
      </w:r>
    </w:p>
    <w:p w14:paraId="5F84C4FD">
      <w:pPr>
        <w:pStyle w:val="10"/>
        <w:keepNext w:val="0"/>
        <w:keepLines w:val="0"/>
        <w:pageBreakBefore w:val="0"/>
        <w:widowControl/>
        <w:kinsoku/>
        <w:wordWrap/>
        <w:overflowPunct/>
        <w:topLinePunct w:val="0"/>
        <w:autoSpaceDE/>
        <w:autoSpaceDN/>
        <w:bidi w:val="0"/>
        <w:adjustRightInd/>
        <w:snapToGrid/>
        <w:spacing w:before="327" w:beforeLines="100" w:after="327" w:afterLines="100" w:line="240" w:lineRule="auto"/>
        <w:textAlignment w:val="auto"/>
        <w:rPr>
          <w:rFonts w:ascii="Times New Roman"/>
          <w:color w:val="000000" w:themeColor="text1"/>
          <w:sz w:val="28"/>
          <w:szCs w:val="28"/>
          <w14:textFill>
            <w14:solidFill>
              <w14:schemeClr w14:val="tx1"/>
            </w14:solidFill>
          </w14:textFill>
        </w:rPr>
      </w:pPr>
      <w:bookmarkStart w:id="22" w:name="_Toc30754"/>
      <w:r>
        <w:rPr>
          <w:rFonts w:ascii="Times New Roman"/>
          <w:color w:val="000000" w:themeColor="text1"/>
          <w:sz w:val="28"/>
          <w:szCs w:val="28"/>
          <w14:textFill>
            <w14:solidFill>
              <w14:schemeClr w14:val="tx1"/>
            </w14:solidFill>
          </w14:textFill>
        </w:rPr>
        <w:t>1</w:t>
      </w:r>
      <w:r>
        <w:rPr>
          <w:rFonts w:hint="eastAsia" w:ascii="Times New Roman"/>
          <w:color w:val="000000" w:themeColor="text1"/>
          <w:sz w:val="28"/>
          <w:szCs w:val="28"/>
          <w:lang w:val="en-US" w:eastAsia="zh-CN"/>
          <w14:textFill>
            <w14:solidFill>
              <w14:schemeClr w14:val="tx1"/>
            </w14:solidFill>
          </w14:textFill>
        </w:rPr>
        <w:t>1</w:t>
      </w:r>
      <w:r>
        <w:rPr>
          <w:rFonts w:ascii="Times New Roman"/>
          <w:color w:val="000000" w:themeColor="text1"/>
          <w:sz w:val="28"/>
          <w:szCs w:val="28"/>
          <w14:textFill>
            <w14:solidFill>
              <w14:schemeClr w14:val="tx1"/>
            </w14:solidFill>
          </w14:textFill>
        </w:rPr>
        <w:t xml:space="preserve"> 其他应说明的事项</w:t>
      </w:r>
      <w:bookmarkEnd w:id="22"/>
      <w:bookmarkStart w:id="23" w:name="_GoBack"/>
      <w:bookmarkEnd w:id="23"/>
    </w:p>
    <w:p w14:paraId="71AED140">
      <w:pPr>
        <w:keepNext w:val="0"/>
        <w:keepLines w:val="0"/>
        <w:pageBreakBefore w:val="0"/>
        <w:widowControl/>
        <w:kinsoku/>
        <w:wordWrap/>
        <w:overflowPunct/>
        <w:topLinePunct w:val="0"/>
        <w:autoSpaceDE/>
        <w:autoSpaceDN/>
        <w:bidi w:val="0"/>
        <w:adjustRightInd/>
        <w:snapToGrid/>
        <w:spacing w:before="327" w:beforeLines="100" w:after="327" w:afterLines="100" w:line="240" w:lineRule="auto"/>
        <w:ind w:firstLine="495"/>
        <w:jc w:val="both"/>
        <w:textAlignment w:val="auto"/>
      </w:pPr>
      <w:r>
        <w:rPr>
          <w:rFonts w:eastAsiaTheme="minorEastAsia"/>
          <w:color w:val="000000" w:themeColor="text1"/>
          <w:szCs w:val="28"/>
          <w14:textFill>
            <w14:solidFill>
              <w14:schemeClr w14:val="tx1"/>
            </w14:solidFill>
          </w14:textFill>
        </w:rPr>
        <w:t>无。</w:t>
      </w:r>
    </w:p>
    <w:sectPr>
      <w:footerReference r:id="rId3" w:type="default"/>
      <w:pgSz w:w="11906" w:h="16838"/>
      <w:pgMar w:top="1134" w:right="1134" w:bottom="1134" w:left="1304" w:header="851"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Calibri Light">
    <w:altName w:val="Helvetica Neue"/>
    <w:panose1 w:val="020F0302020204030204"/>
    <w:charset w:val="00"/>
    <w:family w:val="auto"/>
    <w:pitch w:val="default"/>
    <w:sig w:usb0="00000000" w:usb1="00000000"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汉仪书宋二KW">
    <w:panose1 w:val="00020600040101010101"/>
    <w:charset w:val="86"/>
    <w:family w:val="auto"/>
    <w:pitch w:val="default"/>
    <w:sig w:usb0="A00002BF" w:usb1="18EF7CFA" w:usb2="00000016" w:usb3="00000000" w:csb0="00040000" w:csb1="00000000"/>
  </w:font>
  <w:font w:name="冬青黑体简体中文">
    <w:panose1 w:val="020B0300000000000000"/>
    <w:charset w:val="86"/>
    <w:family w:val="auto"/>
    <w:pitch w:val="default"/>
    <w:sig w:usb0="A00002BF" w:usb1="1ACF7CFA" w:usb2="00000016" w:usb3="00000000" w:csb0="00060007" w:csb1="00000000"/>
  </w:font>
  <w:font w:name="汉仪中黑KW">
    <w:panose1 w:val="00020600040101010101"/>
    <w:charset w:val="86"/>
    <w:family w:val="auto"/>
    <w:pitch w:val="default"/>
    <w:sig w:usb0="A00002BF" w:usb1="18EF7CFA" w:usb2="00000016" w:usb3="00000000" w:csb0="00040000" w:csb1="00000000"/>
  </w:font>
  <w:font w:name="儷宋 Pro">
    <w:panose1 w:val="02020300000000000000"/>
    <w:charset w:val="88"/>
    <w:family w:val="auto"/>
    <w:pitch w:val="default"/>
    <w:sig w:usb0="80000001" w:usb1="28091800" w:usb2="00000016" w:usb3="00000000" w:csb0="00100000"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C02AC2">
    <w:pPr>
      <w:pStyle w:val="3"/>
      <w:jc w:val="right"/>
    </w:pPr>
    <w:r>
      <w:fldChar w:fldCharType="begin"/>
    </w:r>
    <w:r>
      <w:instrText xml:space="preserve"> PAGE   \* MERGEFORMAT </w:instrText>
    </w:r>
    <w:r>
      <w:fldChar w:fldCharType="separate"/>
    </w:r>
    <w:r>
      <w:rPr>
        <w:lang w:val="zh-CN"/>
      </w:rPr>
      <w:t>29</w:t>
    </w:r>
    <w:r>
      <w:rPr>
        <w:lang w:val="zh-CN"/>
      </w:rPr>
      <w:fldChar w:fldCharType="end"/>
    </w:r>
  </w:p>
  <w:p w14:paraId="6335100B">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E0D809A"/>
    <w:multiLevelType w:val="singleLevel"/>
    <w:tmpl w:val="BE0D809A"/>
    <w:lvl w:ilvl="0" w:tentative="0">
      <w:start w:val="1"/>
      <w:numFmt w:val="decimal"/>
      <w:suff w:val="space"/>
      <w:lvlText w:val="%1."/>
      <w:lvlJc w:val="left"/>
    </w:lvl>
  </w:abstractNum>
  <w:abstractNum w:abstractNumId="1">
    <w:nsid w:val="1FC91163"/>
    <w:multiLevelType w:val="multilevel"/>
    <w:tmpl w:val="1FC91163"/>
    <w:lvl w:ilvl="0" w:tentative="0">
      <w:start w:val="1"/>
      <w:numFmt w:val="decimal"/>
      <w:suff w:val="nothing"/>
      <w:lvlText w:val="%1　"/>
      <w:lvlJc w:val="left"/>
      <w:pPr>
        <w:ind w:left="710" w:firstLine="0"/>
      </w:pPr>
      <w:rPr>
        <w:rFonts w:hint="eastAsia" w:ascii="黑体" w:hAnsi="Times New Roman" w:eastAsia="黑体"/>
        <w:b w:val="0"/>
        <w:i w:val="0"/>
        <w:sz w:val="21"/>
        <w:szCs w:val="21"/>
      </w:rPr>
    </w:lvl>
    <w:lvl w:ilvl="1" w:tentative="0">
      <w:start w:val="1"/>
      <w:numFmt w:val="decimal"/>
      <w:suff w:val="nothing"/>
      <w:lvlText w:val="%1.%2　"/>
      <w:lvlJc w:val="left"/>
      <w:pPr>
        <w:ind w:left="1135"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142"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
    <w:nsid w:val="67489FA5"/>
    <w:multiLevelType w:val="singleLevel"/>
    <w:tmpl w:val="67489FA5"/>
    <w:lvl w:ilvl="0" w:tentative="0">
      <w:start w:val="1"/>
      <w:numFmt w:val="decimal"/>
      <w:suff w:val="space"/>
      <w:lvlText w:val="%1."/>
      <w:lvlJc w:val="left"/>
    </w:lvl>
  </w:abstractNum>
  <w:abstractNum w:abstractNumId="3">
    <w:nsid w:val="7BFFE8D0"/>
    <w:multiLevelType w:val="singleLevel"/>
    <w:tmpl w:val="7BFFE8D0"/>
    <w:lvl w:ilvl="0" w:tentative="0">
      <w:start w:val="1"/>
      <w:numFmt w:val="decimal"/>
      <w:suff w:val="nothing"/>
      <w:lvlText w:val="（%1）"/>
      <w:lvlJc w:val="left"/>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23429A"/>
    <w:rsid w:val="0E040ECF"/>
    <w:rsid w:val="211B28E7"/>
    <w:rsid w:val="2BDE7972"/>
    <w:rsid w:val="2C23429A"/>
    <w:rsid w:val="432732EF"/>
    <w:rsid w:val="74365E2E"/>
    <w:rsid w:val="9FB6AB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sz w:val="24"/>
      <w:szCs w:val="24"/>
      <w:lang w:val="en-US" w:eastAsia="zh-CN" w:bidi="ar-SA"/>
    </w:rPr>
  </w:style>
  <w:style w:type="paragraph" w:styleId="2">
    <w:name w:val="heading 1"/>
    <w:basedOn w:val="1"/>
    <w:next w:val="1"/>
    <w:qFormat/>
    <w:uiPriority w:val="9"/>
    <w:pPr>
      <w:keepNext/>
      <w:keepLines/>
      <w:spacing w:line="360" w:lineRule="auto"/>
      <w:outlineLvl w:val="0"/>
    </w:pPr>
    <w:rPr>
      <w:b/>
      <w:bCs/>
      <w:kern w:val="44"/>
      <w:sz w:val="28"/>
      <w:szCs w:val="44"/>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footer"/>
    <w:basedOn w:val="1"/>
    <w:unhideWhenUsed/>
    <w:qFormat/>
    <w:uiPriority w:val="99"/>
    <w:pPr>
      <w:tabs>
        <w:tab w:val="center" w:pos="4153"/>
        <w:tab w:val="right" w:pos="8306"/>
      </w:tabs>
      <w:snapToGrid w:val="0"/>
    </w:pPr>
    <w:rPr>
      <w:sz w:val="18"/>
      <w:szCs w:val="18"/>
    </w:rPr>
  </w:style>
  <w:style w:type="paragraph" w:styleId="4">
    <w:name w:val="toc 1"/>
    <w:basedOn w:val="1"/>
    <w:next w:val="1"/>
    <w:unhideWhenUsed/>
    <w:qFormat/>
    <w:uiPriority w:val="39"/>
  </w:style>
  <w:style w:type="paragraph" w:styleId="5">
    <w:name w:val="toc 2"/>
    <w:basedOn w:val="1"/>
    <w:next w:val="1"/>
    <w:unhideWhenUsed/>
    <w:qFormat/>
    <w:uiPriority w:val="39"/>
    <w:pPr>
      <w:ind w:left="420" w:leftChars="200"/>
    </w:pPr>
  </w:style>
  <w:style w:type="paragraph" w:customStyle="1" w:styleId="8">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9">
    <w:name w:val="TOC 标题1"/>
    <w:basedOn w:val="2"/>
    <w:next w:val="1"/>
    <w:unhideWhenUsed/>
    <w:qFormat/>
    <w:uiPriority w:val="39"/>
    <w:pPr>
      <w:spacing w:before="240" w:line="259" w:lineRule="auto"/>
      <w:outlineLvl w:val="9"/>
    </w:pPr>
    <w:rPr>
      <w:rFonts w:asciiTheme="majorHAnsi" w:hAnsiTheme="majorHAnsi" w:eastAsiaTheme="majorEastAsia" w:cstheme="majorBidi"/>
      <w:b w:val="0"/>
      <w:bCs w:val="0"/>
      <w:color w:val="2E54A1" w:themeColor="accent1" w:themeShade="BF"/>
      <w:kern w:val="0"/>
      <w:sz w:val="32"/>
      <w:szCs w:val="32"/>
    </w:rPr>
  </w:style>
  <w:style w:type="paragraph" w:customStyle="1" w:styleId="10">
    <w:name w:val="章标题"/>
    <w:next w:val="1"/>
    <w:qFormat/>
    <w:uiPriority w:val="0"/>
    <w:pPr>
      <w:spacing w:beforeLines="50" w:afterLines="50"/>
      <w:jc w:val="both"/>
      <w:outlineLvl w:val="1"/>
    </w:pPr>
    <w:rPr>
      <w:rFonts w:ascii="黑体" w:hAnsi="Times New Roman" w:eastAsia="黑体" w:cs="Times New Roman"/>
      <w:sz w:val="21"/>
      <w:lang w:val="en-US" w:eastAsia="zh-CN" w:bidi="ar-SA"/>
    </w:rPr>
  </w:style>
  <w:style w:type="paragraph" w:customStyle="1" w:styleId="11">
    <w:name w:val="一级条标题"/>
    <w:next w:val="1"/>
    <w:qFormat/>
    <w:uiPriority w:val="0"/>
    <w:pPr>
      <w:outlineLvl w:val="2"/>
    </w:pPr>
    <w:rPr>
      <w:rFonts w:ascii="Times New Roman" w:hAnsi="Times New Roman" w:eastAsia="黑体" w:cs="Times New Roman"/>
      <w:sz w:val="21"/>
      <w:lang w:val="en-US" w:eastAsia="zh-CN" w:bidi="ar-SA"/>
    </w:rPr>
  </w:style>
  <w:style w:type="paragraph" w:customStyle="1" w:styleId="12">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4069</Words>
  <Characters>4667</Characters>
  <Lines>0</Lines>
  <Paragraphs>0</Paragraphs>
  <TotalTime>4</TotalTime>
  <ScaleCrop>false</ScaleCrop>
  <LinksUpToDate>false</LinksUpToDate>
  <CharactersWithSpaces>4804</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2025-09-15T17:12:00Z</dcterms:created>
  <dc:creator>沈杨</dc:creator>
  <cp:lastModifiedBy>白乙含</cp:lastModifiedBy>
  <dcterms:modified xsi:type="dcterms:W3CDTF">2025-09-16T16:41:14Z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D71AADA2DCF90CEDB116C96810283861_43</vt:lpwstr>
  </property>
  <property fmtid="{D5CDD505-2E9C-101B-9397-08002B2CF9AE}" pid="4" name="KSOTemplateDocerSaveRecord">
    <vt:lpwstr>eyJoZGlkIjoiMmNhNDRlNzNlNDJmMjYxMWZkNzBiNzQxZmVjYWQ2NGYiLCJ1c2VySWQiOiI0Njk4MjA5NzQifQ==</vt:lpwstr>
  </property>
</Properties>
</file>