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A7A57">
      <w:pPr>
        <w:rPr>
          <w:b/>
          <w:color w:val="000000" w:themeColor="text1"/>
          <w:sz w:val="36"/>
          <w:szCs w:val="36"/>
          <w14:textFill>
            <w14:solidFill>
              <w14:schemeClr w14:val="tx1"/>
            </w14:solidFill>
          </w14:textFill>
        </w:rPr>
      </w:pPr>
    </w:p>
    <w:p w14:paraId="0A742869">
      <w:pPr>
        <w:rPr>
          <w:b/>
          <w:color w:val="000000" w:themeColor="text1"/>
          <w:sz w:val="36"/>
          <w:szCs w:val="36"/>
          <w14:textFill>
            <w14:solidFill>
              <w14:schemeClr w14:val="tx1"/>
            </w14:solidFill>
          </w14:textFill>
        </w:rPr>
      </w:pPr>
    </w:p>
    <w:p w14:paraId="253EFE97">
      <w:pPr>
        <w:rPr>
          <w:b/>
          <w:color w:val="000000" w:themeColor="text1"/>
          <w:sz w:val="36"/>
          <w:szCs w:val="36"/>
          <w14:textFill>
            <w14:solidFill>
              <w14:schemeClr w14:val="tx1"/>
            </w14:solidFill>
          </w14:textFill>
        </w:rPr>
      </w:pPr>
    </w:p>
    <w:p w14:paraId="7CB9B467">
      <w:pPr>
        <w:rPr>
          <w:b/>
          <w:color w:val="000000" w:themeColor="text1"/>
          <w:sz w:val="52"/>
          <w:szCs w:val="52"/>
          <w14:textFill>
            <w14:solidFill>
              <w14:schemeClr w14:val="tx1"/>
            </w14:solidFill>
          </w14:textFill>
        </w:rPr>
      </w:pPr>
    </w:p>
    <w:p w14:paraId="2F839075">
      <w:pPr>
        <w:ind w:firstLine="260" w:firstLineChars="50"/>
        <w:jc w:val="center"/>
        <w:rPr>
          <w:rFonts w:ascii="方正小标宋简体" w:eastAsia="方正小标宋简体"/>
          <w:bCs/>
          <w:color w:val="000000" w:themeColor="text1"/>
          <w:sz w:val="52"/>
          <w:szCs w:val="52"/>
          <w14:textFill>
            <w14:solidFill>
              <w14:schemeClr w14:val="tx1"/>
            </w14:solidFill>
          </w14:textFill>
        </w:rPr>
      </w:pPr>
      <w:r>
        <w:rPr>
          <w:rFonts w:hint="eastAsia" w:ascii="方正小标宋简体" w:eastAsia="方正小标宋简体"/>
          <w:bCs/>
          <w:color w:val="000000" w:themeColor="text1"/>
          <w:sz w:val="52"/>
          <w:szCs w:val="52"/>
          <w14:textFill>
            <w14:solidFill>
              <w14:schemeClr w14:val="tx1"/>
            </w14:solidFill>
          </w14:textFill>
        </w:rPr>
        <w:t>《</w:t>
      </w:r>
      <w:r>
        <w:rPr>
          <w:rFonts w:hint="eastAsia" w:ascii="方正小标宋简体" w:eastAsia="方正小标宋简体"/>
          <w:bCs/>
          <w:color w:val="000000" w:themeColor="text1"/>
          <w:sz w:val="52"/>
          <w:szCs w:val="52"/>
          <w:lang w:eastAsia="zh-CN"/>
          <w14:textFill>
            <w14:solidFill>
              <w14:schemeClr w14:val="tx1"/>
            </w14:solidFill>
          </w14:textFill>
        </w:rPr>
        <w:t>户外木地板耐久性试验方法</w:t>
      </w:r>
      <w:r>
        <w:rPr>
          <w:rFonts w:hint="eastAsia" w:ascii="方正小标宋简体" w:eastAsia="方正小标宋简体"/>
          <w:bCs/>
          <w:color w:val="000000" w:themeColor="text1"/>
          <w:sz w:val="52"/>
          <w:szCs w:val="52"/>
          <w14:textFill>
            <w14:solidFill>
              <w14:schemeClr w14:val="tx1"/>
            </w14:solidFill>
          </w14:textFill>
        </w:rPr>
        <w:t>》</w:t>
      </w:r>
    </w:p>
    <w:p w14:paraId="00A26CB8">
      <w:pPr>
        <w:ind w:firstLine="260" w:firstLineChars="50"/>
        <w:jc w:val="center"/>
        <w:rPr>
          <w:rFonts w:ascii="方正小标宋简体" w:eastAsia="方正小标宋简体"/>
          <w:bCs/>
          <w:color w:val="000000" w:themeColor="text1"/>
          <w:sz w:val="52"/>
          <w:szCs w:val="52"/>
          <w14:textFill>
            <w14:solidFill>
              <w14:schemeClr w14:val="tx1"/>
            </w14:solidFill>
          </w14:textFill>
        </w:rPr>
      </w:pPr>
      <w:r>
        <w:rPr>
          <w:rFonts w:hint="eastAsia" w:ascii="方正小标宋简体" w:eastAsia="方正小标宋简体"/>
          <w:bCs/>
          <w:color w:val="000000" w:themeColor="text1"/>
          <w:sz w:val="52"/>
          <w:szCs w:val="52"/>
          <w14:textFill>
            <w14:solidFill>
              <w14:schemeClr w14:val="tx1"/>
            </w14:solidFill>
          </w14:textFill>
        </w:rPr>
        <w:t>行业标准编制说明</w:t>
      </w:r>
    </w:p>
    <w:p w14:paraId="72316DA3">
      <w:pPr>
        <w:jc w:val="center"/>
        <w:rPr>
          <w:b/>
          <w:color w:val="000000" w:themeColor="text1"/>
          <w:sz w:val="44"/>
          <w:szCs w:val="44"/>
          <w14:textFill>
            <w14:solidFill>
              <w14:schemeClr w14:val="tx1"/>
            </w14:solidFill>
          </w14:textFill>
        </w:rPr>
      </w:pPr>
    </w:p>
    <w:p w14:paraId="6D47F927">
      <w:pPr>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（征求意见稿）</w:t>
      </w:r>
    </w:p>
    <w:p w14:paraId="7D2E4AF8">
      <w:pPr>
        <w:jc w:val="center"/>
        <w:rPr>
          <w:b/>
          <w:color w:val="000000" w:themeColor="text1"/>
          <w:sz w:val="44"/>
          <w:szCs w:val="44"/>
          <w14:textFill>
            <w14:solidFill>
              <w14:schemeClr w14:val="tx1"/>
            </w14:solidFill>
          </w14:textFill>
        </w:rPr>
      </w:pPr>
    </w:p>
    <w:p w14:paraId="73FF0B65">
      <w:pPr>
        <w:jc w:val="center"/>
        <w:rPr>
          <w:b/>
          <w:color w:val="000000" w:themeColor="text1"/>
          <w:sz w:val="44"/>
          <w:szCs w:val="44"/>
          <w14:textFill>
            <w14:solidFill>
              <w14:schemeClr w14:val="tx1"/>
            </w14:solidFill>
          </w14:textFill>
        </w:rPr>
      </w:pPr>
    </w:p>
    <w:p w14:paraId="1A6512E9">
      <w:pPr>
        <w:rPr>
          <w:b/>
          <w:color w:val="000000" w:themeColor="text1"/>
          <w:sz w:val="44"/>
          <w:szCs w:val="44"/>
          <w14:textFill>
            <w14:solidFill>
              <w14:schemeClr w14:val="tx1"/>
            </w14:solidFill>
          </w14:textFill>
        </w:rPr>
      </w:pPr>
    </w:p>
    <w:p w14:paraId="329339CE">
      <w:pPr>
        <w:rPr>
          <w:b/>
          <w:color w:val="000000" w:themeColor="text1"/>
          <w:sz w:val="44"/>
          <w:szCs w:val="44"/>
          <w14:textFill>
            <w14:solidFill>
              <w14:schemeClr w14:val="tx1"/>
            </w14:solidFill>
          </w14:textFill>
        </w:rPr>
      </w:pPr>
    </w:p>
    <w:p w14:paraId="551D6069">
      <w:pPr>
        <w:rPr>
          <w:b/>
          <w:color w:val="000000" w:themeColor="text1"/>
          <w:sz w:val="44"/>
          <w:szCs w:val="44"/>
          <w14:textFill>
            <w14:solidFill>
              <w14:schemeClr w14:val="tx1"/>
            </w14:solidFill>
          </w14:textFill>
        </w:rPr>
      </w:pPr>
    </w:p>
    <w:p w14:paraId="63088E69">
      <w:pPr>
        <w:jc w:val="center"/>
        <w:rPr>
          <w:b/>
          <w:color w:val="000000" w:themeColor="text1"/>
          <w:sz w:val="44"/>
          <w:szCs w:val="44"/>
          <w14:textFill>
            <w14:solidFill>
              <w14:schemeClr w14:val="tx1"/>
            </w14:solidFill>
          </w14:textFill>
        </w:rPr>
      </w:pPr>
    </w:p>
    <w:p w14:paraId="5A4C2C0F">
      <w:pPr>
        <w:jc w:val="center"/>
        <w:rPr>
          <w:b/>
          <w:color w:val="000000" w:themeColor="text1"/>
          <w:sz w:val="44"/>
          <w:szCs w:val="44"/>
          <w14:textFill>
            <w14:solidFill>
              <w14:schemeClr w14:val="tx1"/>
            </w14:solidFill>
          </w14:textFill>
        </w:rPr>
      </w:pPr>
    </w:p>
    <w:p w14:paraId="37431417">
      <w:pPr>
        <w:jc w:val="center"/>
        <w:rPr>
          <w:b/>
          <w:color w:val="000000" w:themeColor="text1"/>
          <w:sz w:val="44"/>
          <w:szCs w:val="44"/>
          <w14:textFill>
            <w14:solidFill>
              <w14:schemeClr w14:val="tx1"/>
            </w14:solidFill>
          </w14:textFill>
        </w:rPr>
      </w:pPr>
    </w:p>
    <w:p w14:paraId="23668BA0">
      <w:pPr>
        <w:jc w:val="center"/>
        <w:rPr>
          <w:rFonts w:eastAsiaTheme="minorEastAsia"/>
          <w:b/>
          <w:color w:val="000000" w:themeColor="text1"/>
          <w:sz w:val="36"/>
          <w:szCs w:val="36"/>
          <w14:textFill>
            <w14:solidFill>
              <w14:schemeClr w14:val="tx1"/>
            </w14:solidFill>
          </w14:textFill>
        </w:rPr>
      </w:pPr>
      <w:r>
        <w:rPr>
          <w:rFonts w:hint="eastAsia" w:eastAsiaTheme="minorEastAsia"/>
          <w:b/>
          <w:color w:val="000000" w:themeColor="text1"/>
          <w:sz w:val="36"/>
          <w:szCs w:val="36"/>
          <w14:textFill>
            <w14:solidFill>
              <w14:schemeClr w14:val="tx1"/>
            </w14:solidFill>
          </w14:textFill>
        </w:rPr>
        <w:t>2</w:t>
      </w:r>
      <w:r>
        <w:rPr>
          <w:rFonts w:eastAsiaTheme="minorEastAsia"/>
          <w:b/>
          <w:color w:val="000000" w:themeColor="text1"/>
          <w:sz w:val="36"/>
          <w:szCs w:val="36"/>
          <w14:textFill>
            <w14:solidFill>
              <w14:schemeClr w14:val="tx1"/>
            </w14:solidFill>
          </w14:textFill>
        </w:rPr>
        <w:t>02</w:t>
      </w:r>
      <w:r>
        <w:rPr>
          <w:rFonts w:hint="eastAsia" w:eastAsiaTheme="minorEastAsia"/>
          <w:b/>
          <w:color w:val="000000" w:themeColor="text1"/>
          <w:sz w:val="36"/>
          <w:szCs w:val="36"/>
          <w:lang w:val="en-US" w:eastAsia="zh-CN"/>
          <w14:textFill>
            <w14:solidFill>
              <w14:schemeClr w14:val="tx1"/>
            </w14:solidFill>
          </w14:textFill>
        </w:rPr>
        <w:t>5</w:t>
      </w:r>
      <w:r>
        <w:rPr>
          <w:rFonts w:eastAsiaTheme="minorEastAsia"/>
          <w:b/>
          <w:color w:val="000000" w:themeColor="text1"/>
          <w:sz w:val="36"/>
          <w:szCs w:val="36"/>
          <w14:textFill>
            <w14:solidFill>
              <w14:schemeClr w14:val="tx1"/>
            </w14:solidFill>
          </w14:textFill>
        </w:rPr>
        <w:t>年</w:t>
      </w:r>
      <w:r>
        <w:rPr>
          <w:rFonts w:hint="eastAsia" w:eastAsiaTheme="minorEastAsia"/>
          <w:b/>
          <w:color w:val="000000" w:themeColor="text1"/>
          <w:sz w:val="36"/>
          <w:szCs w:val="36"/>
          <w:lang w:val="en-US" w:eastAsia="zh-CN"/>
          <w14:textFill>
            <w14:solidFill>
              <w14:schemeClr w14:val="tx1"/>
            </w14:solidFill>
          </w14:textFill>
        </w:rPr>
        <w:t>8</w:t>
      </w:r>
      <w:r>
        <w:rPr>
          <w:rFonts w:eastAsiaTheme="minorEastAsia"/>
          <w:b/>
          <w:color w:val="000000" w:themeColor="text1"/>
          <w:sz w:val="36"/>
          <w:szCs w:val="36"/>
          <w14:textFill>
            <w14:solidFill>
              <w14:schemeClr w14:val="tx1"/>
            </w14:solidFill>
          </w14:textFill>
        </w:rPr>
        <w:t>月</w:t>
      </w:r>
    </w:p>
    <w:p w14:paraId="300747BA">
      <w:pPr>
        <w:pStyle w:val="26"/>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r>
        <w:rPr>
          <w:rFonts w:ascii="Times New Roman" w:eastAsia="宋体"/>
          <w:color w:val="000000" w:themeColor="text1"/>
          <w:sz w:val="32"/>
          <w:szCs w:val="32"/>
          <w14:textFill>
            <w14:solidFill>
              <w14:schemeClr w14:val="tx1"/>
            </w14:solidFill>
          </w14:textFill>
        </w:rPr>
        <w:br w:type="page"/>
      </w:r>
    </w:p>
    <w:sdt>
      <w:sdtPr>
        <w:rPr>
          <w:rFonts w:ascii="Times New Roman" w:hAnsi="Times New Roman" w:eastAsia="宋体" w:cs="Times New Roman"/>
          <w:color w:val="000000" w:themeColor="text1"/>
          <w:kern w:val="2"/>
          <w:sz w:val="21"/>
          <w:szCs w:val="24"/>
          <w:lang w:val="zh-CN"/>
          <w14:textFill>
            <w14:solidFill>
              <w14:schemeClr w14:val="tx1"/>
            </w14:solidFill>
          </w14:textFill>
        </w:rPr>
        <w:id w:val="207385740"/>
        <w:docPartObj>
          <w:docPartGallery w:val="Table of Contents"/>
          <w:docPartUnique/>
        </w:docPartObj>
      </w:sdtPr>
      <w:sdtEndPr>
        <w:rPr>
          <w:rFonts w:ascii="宋体" w:hAnsi="宋体" w:eastAsia="宋体" w:cs="宋体"/>
          <w:b/>
          <w:bCs/>
          <w:color w:val="000000" w:themeColor="text1"/>
          <w:kern w:val="0"/>
          <w:sz w:val="24"/>
          <w:szCs w:val="24"/>
          <w:lang w:val="zh-CN"/>
          <w14:textFill>
            <w14:solidFill>
              <w14:schemeClr w14:val="tx1"/>
            </w14:solidFill>
          </w14:textFill>
        </w:rPr>
      </w:sdtEndPr>
      <w:sdtContent>
        <w:p w14:paraId="225772CE">
          <w:pPr>
            <w:pStyle w:val="60"/>
            <w:spacing w:before="0" w:line="360" w:lineRule="auto"/>
            <w:jc w:val="both"/>
            <w:rPr>
              <w:rFonts w:ascii="Times New Roman" w:hAnsi="Times New Roman" w:eastAsia="宋体" w:cs="Times New Roman"/>
              <w:color w:val="000000" w:themeColor="text1"/>
              <w:kern w:val="2"/>
              <w:sz w:val="21"/>
              <w:szCs w:val="24"/>
              <w:lang w:val="zh-CN"/>
              <w14:textFill>
                <w14:solidFill>
                  <w14:schemeClr w14:val="tx1"/>
                </w14:solidFill>
              </w14:textFill>
            </w:rPr>
          </w:pPr>
        </w:p>
        <w:p w14:paraId="0FDC0036">
          <w:pPr>
            <w:pStyle w:val="60"/>
            <w:spacing w:before="0" w:line="360" w:lineRule="auto"/>
            <w:jc w:val="center"/>
            <w:rPr>
              <w:rFonts w:ascii="Times New Roman" w:hAnsi="Times New Roman" w:eastAsia="黑体" w:cs="Times New Roman"/>
              <w:b/>
              <w:color w:val="000000" w:themeColor="text1"/>
              <w:lang w:val="zh-CN"/>
              <w14:textFill>
                <w14:solidFill>
                  <w14:schemeClr w14:val="tx1"/>
                </w14:solidFill>
              </w14:textFill>
            </w:rPr>
          </w:pPr>
          <w:r>
            <w:rPr>
              <w:rFonts w:ascii="Times New Roman" w:hAnsi="Times New Roman" w:eastAsia="黑体" w:cs="Times New Roman"/>
              <w:b/>
              <w:color w:val="000000" w:themeColor="text1"/>
              <w:lang w:val="zh-CN"/>
              <w14:textFill>
                <w14:solidFill>
                  <w14:schemeClr w14:val="tx1"/>
                </w14:solidFill>
              </w14:textFill>
            </w:rPr>
            <w:t>目  录</w:t>
          </w:r>
        </w:p>
        <w:p w14:paraId="0600D403">
          <w:pPr>
            <w:jc w:val="both"/>
            <w:rPr>
              <w:color w:val="000000" w:themeColor="text1"/>
              <w:lang w:val="zh-CN"/>
              <w14:textFill>
                <w14:solidFill>
                  <w14:schemeClr w14:val="tx1"/>
                </w14:solidFill>
              </w14:textFill>
            </w:rPr>
          </w:pPr>
        </w:p>
        <w:p w14:paraId="73245B23">
          <w:pPr>
            <w:pStyle w:val="15"/>
            <w:tabs>
              <w:tab w:val="right" w:leader="dot" w:pos="9468"/>
            </w:tabs>
            <w:rPr>
              <w:sz w:val="28"/>
              <w:szCs w:val="28"/>
            </w:rPr>
          </w:pPr>
          <w:r>
            <w:rPr>
              <w:rFonts w:asciiTheme="minorEastAsia" w:hAnsiTheme="minorEastAsia" w:eastAsiaTheme="minorEastAsia"/>
              <w:bCs/>
              <w:color w:val="000000" w:themeColor="text1"/>
              <w:sz w:val="28"/>
              <w14:textFill>
                <w14:solidFill>
                  <w14:schemeClr w14:val="tx1"/>
                </w14:solidFill>
              </w14:textFill>
            </w:rPr>
            <w:fldChar w:fldCharType="begin"/>
          </w:r>
          <w:r>
            <w:rPr>
              <w:rFonts w:asciiTheme="minorEastAsia" w:hAnsiTheme="minorEastAsia" w:eastAsiaTheme="minorEastAsia"/>
              <w:bCs/>
              <w:color w:val="000000" w:themeColor="text1"/>
              <w:sz w:val="28"/>
              <w14:textFill>
                <w14:solidFill>
                  <w14:schemeClr w14:val="tx1"/>
                </w14:solidFill>
              </w14:textFill>
            </w:rPr>
            <w:instrText xml:space="preserve"> TOC \o "1-3" \h \z \u </w:instrText>
          </w:r>
          <w:r>
            <w:rPr>
              <w:rFonts w:asciiTheme="minorEastAsia" w:hAnsiTheme="minorEastAsia" w:eastAsiaTheme="minorEastAsia"/>
              <w:bCs/>
              <w:color w:val="000000" w:themeColor="text1"/>
              <w:sz w:val="28"/>
              <w14:textFill>
                <w14:solidFill>
                  <w14:schemeClr w14:val="tx1"/>
                </w14:solidFill>
              </w14:textFill>
            </w:rPr>
            <w:fldChar w:fldCharType="separate"/>
          </w:r>
          <w:r>
            <w:rPr>
              <w:rFonts w:asciiTheme="minorEastAsia" w:hAnsiTheme="minorEastAsia" w:eastAsiaTheme="minorEastAsia"/>
              <w:bCs/>
              <w:color w:val="000000" w:themeColor="text1"/>
              <w:sz w:val="28"/>
              <w:szCs w:val="28"/>
              <w14:textFill>
                <w14:solidFill>
                  <w14:schemeClr w14:val="tx1"/>
                </w14:solidFill>
              </w14:textFill>
            </w:rPr>
            <w:fldChar w:fldCharType="begin"/>
          </w:r>
          <w:r>
            <w:rPr>
              <w:rFonts w:asciiTheme="minorEastAsia" w:hAnsiTheme="minorEastAsia" w:eastAsiaTheme="minorEastAsia"/>
              <w:bCs/>
              <w:sz w:val="28"/>
              <w:szCs w:val="28"/>
            </w:rPr>
            <w:instrText xml:space="preserve"> HYPERLINK \l _Toc30336 </w:instrText>
          </w:r>
          <w:r>
            <w:rPr>
              <w:rFonts w:asciiTheme="minorEastAsia" w:hAnsiTheme="minorEastAsia" w:eastAsiaTheme="minorEastAsia"/>
              <w:bCs/>
              <w:sz w:val="28"/>
              <w:szCs w:val="28"/>
            </w:rPr>
            <w:fldChar w:fldCharType="separate"/>
          </w:r>
          <w:r>
            <w:rPr>
              <w:rFonts w:ascii="Times New Roman"/>
              <w:sz w:val="28"/>
              <w:szCs w:val="32"/>
            </w:rPr>
            <w:t>1 标准编制工作简况</w:t>
          </w:r>
          <w:r>
            <w:rPr>
              <w:sz w:val="28"/>
              <w:szCs w:val="28"/>
            </w:rPr>
            <w:tab/>
          </w:r>
          <w:r>
            <w:rPr>
              <w:sz w:val="28"/>
              <w:szCs w:val="28"/>
            </w:rPr>
            <w:fldChar w:fldCharType="begin"/>
          </w:r>
          <w:r>
            <w:rPr>
              <w:sz w:val="28"/>
              <w:szCs w:val="28"/>
            </w:rPr>
            <w:instrText xml:space="preserve"> PAGEREF _Toc30336 \h </w:instrText>
          </w:r>
          <w:r>
            <w:rPr>
              <w:sz w:val="28"/>
              <w:szCs w:val="28"/>
            </w:rPr>
            <w:fldChar w:fldCharType="separate"/>
          </w:r>
          <w:r>
            <w:rPr>
              <w:sz w:val="28"/>
              <w:szCs w:val="28"/>
            </w:rPr>
            <w:t>3</w:t>
          </w:r>
          <w:r>
            <w:rPr>
              <w:sz w:val="28"/>
              <w:szCs w:val="28"/>
            </w:rPr>
            <w:fldChar w:fldCharType="end"/>
          </w:r>
          <w:r>
            <w:rPr>
              <w:rFonts w:asciiTheme="minorEastAsia" w:hAnsiTheme="minorEastAsia" w:eastAsiaTheme="minorEastAsia"/>
              <w:bCs/>
              <w:color w:val="000000" w:themeColor="text1"/>
              <w:sz w:val="28"/>
              <w:szCs w:val="28"/>
              <w14:textFill>
                <w14:solidFill>
                  <w14:schemeClr w14:val="tx1"/>
                </w14:solidFill>
              </w14:textFill>
            </w:rPr>
            <w:fldChar w:fldCharType="end"/>
          </w:r>
        </w:p>
        <w:p w14:paraId="18C90AA5">
          <w:pPr>
            <w:pStyle w:val="1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_Toc10897 </w:instrText>
          </w:r>
          <w:r>
            <w:rPr>
              <w:rFonts w:asciiTheme="minorEastAsia" w:hAnsiTheme="minorEastAsia" w:eastAsiaTheme="minorEastAsia"/>
              <w:bCs/>
              <w:sz w:val="28"/>
              <w:szCs w:val="28"/>
              <w:lang w:val="zh-CN"/>
            </w:rPr>
            <w:fldChar w:fldCharType="separate"/>
          </w:r>
          <w:r>
            <w:rPr>
              <w:rFonts w:ascii="Times New Roman"/>
              <w:sz w:val="28"/>
              <w:szCs w:val="32"/>
            </w:rPr>
            <w:t>2 标准</w:t>
          </w:r>
          <w:r>
            <w:rPr>
              <w:rFonts w:hint="eastAsia" w:ascii="Times New Roman"/>
              <w:sz w:val="28"/>
              <w:szCs w:val="32"/>
              <w:lang w:val="en-US" w:eastAsia="zh-CN"/>
            </w:rPr>
            <w:t>修订</w:t>
          </w:r>
          <w:r>
            <w:rPr>
              <w:rFonts w:ascii="Times New Roman"/>
              <w:sz w:val="28"/>
              <w:szCs w:val="32"/>
            </w:rPr>
            <w:t>的原则和主要内容</w:t>
          </w:r>
          <w:r>
            <w:rPr>
              <w:sz w:val="28"/>
              <w:szCs w:val="28"/>
            </w:rPr>
            <w:tab/>
          </w:r>
          <w:r>
            <w:rPr>
              <w:sz w:val="28"/>
              <w:szCs w:val="28"/>
            </w:rPr>
            <w:fldChar w:fldCharType="begin"/>
          </w:r>
          <w:r>
            <w:rPr>
              <w:sz w:val="28"/>
              <w:szCs w:val="28"/>
            </w:rPr>
            <w:instrText xml:space="preserve"> PAGEREF _Toc10897 \h </w:instrText>
          </w:r>
          <w:r>
            <w:rPr>
              <w:sz w:val="28"/>
              <w:szCs w:val="28"/>
            </w:rPr>
            <w:fldChar w:fldCharType="separate"/>
          </w:r>
          <w:r>
            <w:rPr>
              <w:sz w:val="28"/>
              <w:szCs w:val="28"/>
            </w:rPr>
            <w:t>4</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63A3E177">
          <w:pPr>
            <w:pStyle w:val="1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_Toc26386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3</w:t>
          </w:r>
          <w:r>
            <w:rPr>
              <w:rFonts w:ascii="Times New Roman"/>
              <w:sz w:val="28"/>
              <w:szCs w:val="32"/>
            </w:rPr>
            <w:t xml:space="preserve"> 标准中涉及专利</w:t>
          </w:r>
          <w:r>
            <w:rPr>
              <w:rFonts w:hint="eastAsia" w:ascii="Times New Roman"/>
              <w:sz w:val="28"/>
              <w:szCs w:val="32"/>
            </w:rPr>
            <w:t>、知识产权</w:t>
          </w:r>
          <w:r>
            <w:rPr>
              <w:rFonts w:ascii="Times New Roman"/>
              <w:sz w:val="28"/>
              <w:szCs w:val="32"/>
            </w:rPr>
            <w:t>情况说明</w:t>
          </w:r>
          <w:r>
            <w:rPr>
              <w:sz w:val="28"/>
              <w:szCs w:val="28"/>
            </w:rPr>
            <w:tab/>
          </w:r>
          <w:r>
            <w:rPr>
              <w:sz w:val="28"/>
              <w:szCs w:val="28"/>
            </w:rPr>
            <w:fldChar w:fldCharType="begin"/>
          </w:r>
          <w:r>
            <w:rPr>
              <w:sz w:val="28"/>
              <w:szCs w:val="28"/>
            </w:rPr>
            <w:instrText xml:space="preserve"> PAGEREF _Toc26386 \h </w:instrText>
          </w:r>
          <w:r>
            <w:rPr>
              <w:sz w:val="28"/>
              <w:szCs w:val="28"/>
            </w:rPr>
            <w:fldChar w:fldCharType="separate"/>
          </w:r>
          <w:r>
            <w:rPr>
              <w:sz w:val="28"/>
              <w:szCs w:val="28"/>
            </w:rPr>
            <w:t>6</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5BE26115">
          <w:pPr>
            <w:pStyle w:val="1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_Toc18297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4</w:t>
          </w:r>
          <w:r>
            <w:rPr>
              <w:rFonts w:ascii="Times New Roman"/>
              <w:sz w:val="28"/>
              <w:szCs w:val="32"/>
            </w:rPr>
            <w:t xml:space="preserve"> </w:t>
          </w:r>
          <w:r>
            <w:rPr>
              <w:rFonts w:hint="eastAsia" w:ascii="Times New Roman"/>
              <w:sz w:val="28"/>
              <w:szCs w:val="32"/>
            </w:rPr>
            <w:t>产业化情况、推广应用论证和预期达到的经济效果等情况；</w:t>
          </w:r>
          <w:r>
            <w:rPr>
              <w:sz w:val="28"/>
              <w:szCs w:val="28"/>
            </w:rPr>
            <w:tab/>
          </w:r>
          <w:r>
            <w:rPr>
              <w:sz w:val="28"/>
              <w:szCs w:val="28"/>
            </w:rPr>
            <w:fldChar w:fldCharType="begin"/>
          </w:r>
          <w:r>
            <w:rPr>
              <w:sz w:val="28"/>
              <w:szCs w:val="28"/>
            </w:rPr>
            <w:instrText xml:space="preserve"> PAGEREF _Toc18297 \h </w:instrText>
          </w:r>
          <w:r>
            <w:rPr>
              <w:sz w:val="28"/>
              <w:szCs w:val="28"/>
            </w:rPr>
            <w:fldChar w:fldCharType="separate"/>
          </w:r>
          <w:r>
            <w:rPr>
              <w:sz w:val="28"/>
              <w:szCs w:val="28"/>
            </w:rPr>
            <w:t>6</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5C0A665A">
          <w:pPr>
            <w:pStyle w:val="1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_Toc26690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5</w:t>
          </w:r>
          <w:r>
            <w:rPr>
              <w:rFonts w:ascii="Times New Roman"/>
              <w:sz w:val="28"/>
              <w:szCs w:val="32"/>
            </w:rPr>
            <w:t xml:space="preserve"> 采用国际标准</w:t>
          </w:r>
          <w:r>
            <w:rPr>
              <w:rFonts w:hint="eastAsia" w:ascii="Times New Roman"/>
              <w:sz w:val="28"/>
              <w:szCs w:val="32"/>
            </w:rPr>
            <w:t>，与国际、国外同类标准水平的对比情况，国内外关键指标对比分析或与测试的国外样品、样机的相关数据对比情况；</w:t>
          </w:r>
          <w:r>
            <w:rPr>
              <w:sz w:val="28"/>
              <w:szCs w:val="28"/>
            </w:rPr>
            <w:tab/>
          </w:r>
          <w:r>
            <w:rPr>
              <w:sz w:val="28"/>
              <w:szCs w:val="28"/>
            </w:rPr>
            <w:fldChar w:fldCharType="begin"/>
          </w:r>
          <w:r>
            <w:rPr>
              <w:sz w:val="28"/>
              <w:szCs w:val="28"/>
            </w:rPr>
            <w:instrText xml:space="preserve"> PAGEREF _Toc26690 \h </w:instrText>
          </w:r>
          <w:r>
            <w:rPr>
              <w:sz w:val="28"/>
              <w:szCs w:val="28"/>
            </w:rPr>
            <w:fldChar w:fldCharType="separate"/>
          </w:r>
          <w:r>
            <w:rPr>
              <w:sz w:val="28"/>
              <w:szCs w:val="28"/>
            </w:rPr>
            <w:t>6</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4DD8394">
          <w:pPr>
            <w:pStyle w:val="1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_Toc4955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6</w:t>
          </w:r>
          <w:r>
            <w:rPr>
              <w:rFonts w:ascii="Times New Roman"/>
              <w:sz w:val="28"/>
              <w:szCs w:val="32"/>
            </w:rPr>
            <w:t xml:space="preserve"> 与现行相关法律、法规、规章及相关标准</w:t>
          </w:r>
          <w:r>
            <w:rPr>
              <w:rFonts w:hint="eastAsia" w:ascii="Times New Roman"/>
              <w:sz w:val="28"/>
              <w:szCs w:val="32"/>
            </w:rPr>
            <w:t>，特别是强制性标准</w:t>
          </w:r>
          <w:r>
            <w:rPr>
              <w:rFonts w:ascii="Times New Roman"/>
              <w:sz w:val="28"/>
              <w:szCs w:val="32"/>
            </w:rPr>
            <w:t>的协调</w:t>
          </w:r>
          <w:r>
            <w:rPr>
              <w:rFonts w:hint="eastAsia" w:ascii="Times New Roman"/>
              <w:sz w:val="28"/>
              <w:szCs w:val="32"/>
            </w:rPr>
            <w:t>性</w:t>
          </w:r>
          <w:r>
            <w:rPr>
              <w:sz w:val="28"/>
              <w:szCs w:val="28"/>
            </w:rPr>
            <w:tab/>
          </w:r>
          <w:r>
            <w:rPr>
              <w:sz w:val="28"/>
              <w:szCs w:val="28"/>
            </w:rPr>
            <w:fldChar w:fldCharType="begin"/>
          </w:r>
          <w:r>
            <w:rPr>
              <w:sz w:val="28"/>
              <w:szCs w:val="28"/>
            </w:rPr>
            <w:instrText xml:space="preserve"> PAGEREF _Toc4955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558ED85D">
          <w:pPr>
            <w:pStyle w:val="1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_Toc12128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7</w:t>
          </w:r>
          <w:r>
            <w:rPr>
              <w:rFonts w:ascii="Times New Roman"/>
              <w:sz w:val="28"/>
              <w:szCs w:val="32"/>
            </w:rPr>
            <w:t xml:space="preserve"> 重大意见分歧的处理依据和结果</w:t>
          </w:r>
          <w:r>
            <w:rPr>
              <w:sz w:val="28"/>
              <w:szCs w:val="28"/>
            </w:rPr>
            <w:tab/>
          </w:r>
          <w:r>
            <w:rPr>
              <w:sz w:val="28"/>
              <w:szCs w:val="28"/>
            </w:rPr>
            <w:fldChar w:fldCharType="begin"/>
          </w:r>
          <w:r>
            <w:rPr>
              <w:sz w:val="28"/>
              <w:szCs w:val="28"/>
            </w:rPr>
            <w:instrText xml:space="preserve"> PAGEREF _Toc12128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88219D2">
          <w:pPr>
            <w:pStyle w:val="1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_Toc29268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8</w:t>
          </w:r>
          <w:r>
            <w:rPr>
              <w:rFonts w:ascii="Times New Roman"/>
              <w:sz w:val="28"/>
              <w:szCs w:val="32"/>
            </w:rPr>
            <w:t xml:space="preserve"> </w:t>
          </w:r>
          <w:r>
            <w:rPr>
              <w:rFonts w:hint="eastAsia" w:ascii="Times New Roman"/>
              <w:sz w:val="28"/>
              <w:szCs w:val="32"/>
            </w:rPr>
            <w:t>标准性质的建议说明</w:t>
          </w:r>
          <w:r>
            <w:rPr>
              <w:sz w:val="28"/>
              <w:szCs w:val="28"/>
            </w:rPr>
            <w:tab/>
          </w:r>
          <w:r>
            <w:rPr>
              <w:sz w:val="28"/>
              <w:szCs w:val="28"/>
            </w:rPr>
            <w:fldChar w:fldCharType="begin"/>
          </w:r>
          <w:r>
            <w:rPr>
              <w:sz w:val="28"/>
              <w:szCs w:val="28"/>
            </w:rPr>
            <w:instrText xml:space="preserve"> PAGEREF _Toc29268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2567C0FD">
          <w:pPr>
            <w:pStyle w:val="1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_Toc22430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9</w:t>
          </w:r>
          <w:r>
            <w:rPr>
              <w:rFonts w:ascii="Times New Roman"/>
              <w:sz w:val="28"/>
              <w:szCs w:val="32"/>
            </w:rPr>
            <w:t xml:space="preserve"> 贯彻标准的措施建议</w:t>
          </w:r>
          <w:r>
            <w:rPr>
              <w:sz w:val="28"/>
              <w:szCs w:val="28"/>
            </w:rPr>
            <w:tab/>
          </w:r>
          <w:r>
            <w:rPr>
              <w:sz w:val="28"/>
              <w:szCs w:val="28"/>
            </w:rPr>
            <w:fldChar w:fldCharType="begin"/>
          </w:r>
          <w:r>
            <w:rPr>
              <w:sz w:val="28"/>
              <w:szCs w:val="28"/>
            </w:rPr>
            <w:instrText xml:space="preserve"> PAGEREF _Toc22430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1D4426B">
          <w:pPr>
            <w:pStyle w:val="1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_Toc956 </w:instrText>
          </w:r>
          <w:r>
            <w:rPr>
              <w:rFonts w:asciiTheme="minorEastAsia" w:hAnsiTheme="minorEastAsia" w:eastAsiaTheme="minorEastAsia"/>
              <w:bCs/>
              <w:sz w:val="28"/>
              <w:szCs w:val="28"/>
              <w:lang w:val="zh-CN"/>
            </w:rPr>
            <w:fldChar w:fldCharType="separate"/>
          </w:r>
          <w:r>
            <w:rPr>
              <w:rFonts w:ascii="Times New Roman"/>
              <w:sz w:val="28"/>
              <w:szCs w:val="32"/>
            </w:rPr>
            <w:t>1</w:t>
          </w:r>
          <w:r>
            <w:rPr>
              <w:rFonts w:hint="eastAsia" w:ascii="Times New Roman"/>
              <w:sz w:val="28"/>
              <w:szCs w:val="32"/>
              <w:lang w:val="en-US" w:eastAsia="zh-CN"/>
            </w:rPr>
            <w:t>0</w:t>
          </w:r>
          <w:r>
            <w:rPr>
              <w:rFonts w:ascii="Times New Roman"/>
              <w:sz w:val="28"/>
              <w:szCs w:val="32"/>
            </w:rPr>
            <w:t xml:space="preserve"> 废止现行有关标准的建议</w:t>
          </w:r>
          <w:r>
            <w:rPr>
              <w:sz w:val="28"/>
              <w:szCs w:val="28"/>
            </w:rPr>
            <w:tab/>
          </w:r>
          <w:r>
            <w:rPr>
              <w:sz w:val="28"/>
              <w:szCs w:val="28"/>
            </w:rPr>
            <w:fldChar w:fldCharType="begin"/>
          </w:r>
          <w:r>
            <w:rPr>
              <w:sz w:val="28"/>
              <w:szCs w:val="28"/>
            </w:rPr>
            <w:instrText xml:space="preserve"> PAGEREF _Toc956 \h </w:instrText>
          </w:r>
          <w:r>
            <w:rPr>
              <w:sz w:val="28"/>
              <w:szCs w:val="28"/>
            </w:rPr>
            <w:fldChar w:fldCharType="separate"/>
          </w:r>
          <w:r>
            <w:rPr>
              <w:sz w:val="28"/>
              <w:szCs w:val="28"/>
            </w:rPr>
            <w:t>8</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1341B50D">
          <w:pPr>
            <w:pStyle w:val="15"/>
            <w:tabs>
              <w:tab w:val="right" w:leader="dot" w:pos="9468"/>
            </w:tabs>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_Toc30754 </w:instrText>
          </w:r>
          <w:r>
            <w:rPr>
              <w:rFonts w:asciiTheme="minorEastAsia" w:hAnsiTheme="minorEastAsia" w:eastAsiaTheme="minorEastAsia"/>
              <w:bCs/>
              <w:sz w:val="28"/>
              <w:szCs w:val="28"/>
              <w:lang w:val="zh-CN"/>
            </w:rPr>
            <w:fldChar w:fldCharType="separate"/>
          </w:r>
          <w:r>
            <w:rPr>
              <w:rFonts w:ascii="Times New Roman"/>
              <w:sz w:val="28"/>
              <w:szCs w:val="32"/>
            </w:rPr>
            <w:t>1</w:t>
          </w:r>
          <w:r>
            <w:rPr>
              <w:rFonts w:hint="eastAsia" w:ascii="Times New Roman"/>
              <w:sz w:val="28"/>
              <w:szCs w:val="32"/>
              <w:lang w:val="en-US" w:eastAsia="zh-CN"/>
            </w:rPr>
            <w:t>1</w:t>
          </w:r>
          <w:r>
            <w:rPr>
              <w:rFonts w:ascii="Times New Roman"/>
              <w:sz w:val="28"/>
              <w:szCs w:val="32"/>
            </w:rPr>
            <w:t xml:space="preserve"> 其他应说明的事项</w:t>
          </w:r>
          <w:r>
            <w:rPr>
              <w:sz w:val="28"/>
              <w:szCs w:val="28"/>
            </w:rPr>
            <w:tab/>
          </w:r>
          <w:r>
            <w:rPr>
              <w:sz w:val="28"/>
              <w:szCs w:val="28"/>
            </w:rPr>
            <w:fldChar w:fldCharType="begin"/>
          </w:r>
          <w:r>
            <w:rPr>
              <w:sz w:val="28"/>
              <w:szCs w:val="28"/>
            </w:rPr>
            <w:instrText xml:space="preserve"> PAGEREF _Toc30754 \h </w:instrText>
          </w:r>
          <w:r>
            <w:rPr>
              <w:sz w:val="28"/>
              <w:szCs w:val="28"/>
            </w:rPr>
            <w:fldChar w:fldCharType="separate"/>
          </w:r>
          <w:r>
            <w:rPr>
              <w:sz w:val="28"/>
              <w:szCs w:val="28"/>
            </w:rPr>
            <w:t>8</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6C6DCDB8">
          <w:pPr>
            <w:pStyle w:val="14"/>
            <w:tabs>
              <w:tab w:val="right" w:leader="dot" w:pos="9458"/>
            </w:tabs>
            <w:spacing w:line="360" w:lineRule="auto"/>
            <w:jc w:val="both"/>
            <w:rPr>
              <w:color w:val="000000" w:themeColor="text1"/>
              <w14:textFill>
                <w14:solidFill>
                  <w14:schemeClr w14:val="tx1"/>
                </w14:solidFill>
              </w14:textFill>
            </w:rPr>
          </w:pPr>
          <w:r>
            <w:rPr>
              <w:rFonts w:asciiTheme="minorEastAsia" w:hAnsiTheme="minorEastAsia" w:eastAsiaTheme="minorEastAsia"/>
              <w:bCs/>
              <w:color w:val="000000" w:themeColor="text1"/>
              <w:lang w:val="zh-CN"/>
              <w14:textFill>
                <w14:solidFill>
                  <w14:schemeClr w14:val="tx1"/>
                </w14:solidFill>
              </w14:textFill>
            </w:rPr>
            <w:fldChar w:fldCharType="end"/>
          </w:r>
        </w:p>
      </w:sdtContent>
    </w:sdt>
    <w:p w14:paraId="4B79F232">
      <w:pPr>
        <w:pStyle w:val="26"/>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p>
    <w:p w14:paraId="204D46CD">
      <w:pPr>
        <w:jc w:val="center"/>
        <w:rPr>
          <w:rFonts w:ascii="方正小标宋简体" w:eastAsia="方正小标宋简体"/>
          <w:bCs/>
          <w:color w:val="000000" w:themeColor="text1"/>
          <w:sz w:val="48"/>
          <w:szCs w:val="44"/>
          <w14:textFill>
            <w14:solidFill>
              <w14:schemeClr w14:val="tx1"/>
            </w14:solidFill>
          </w14:textFill>
        </w:rPr>
      </w:pPr>
      <w:r>
        <w:rPr>
          <w:color w:val="000000" w:themeColor="text1"/>
          <w:sz w:val="48"/>
          <w:szCs w:val="48"/>
          <w14:textFill>
            <w14:solidFill>
              <w14:schemeClr w14:val="tx1"/>
            </w14:solidFill>
          </w14:textFill>
        </w:rPr>
        <w:br w:type="page"/>
      </w:r>
      <w:r>
        <w:rPr>
          <w:rFonts w:hint="eastAsia" w:ascii="方正小标宋简体" w:eastAsia="方正小标宋简体"/>
          <w:bCs/>
          <w:color w:val="000000" w:themeColor="text1"/>
          <w:sz w:val="32"/>
          <w:szCs w:val="32"/>
          <w14:textFill>
            <w14:solidFill>
              <w14:schemeClr w14:val="tx1"/>
            </w14:solidFill>
          </w14:textFill>
        </w:rPr>
        <w:t>JC/T XXXX-20XX《</w:t>
      </w:r>
      <w:r>
        <w:rPr>
          <w:rFonts w:hint="eastAsia" w:ascii="方正小标宋简体" w:eastAsia="方正小标宋简体"/>
          <w:bCs/>
          <w:color w:val="000000" w:themeColor="text1"/>
          <w:sz w:val="32"/>
          <w:szCs w:val="32"/>
          <w:lang w:eastAsia="zh-CN"/>
          <w14:textFill>
            <w14:solidFill>
              <w14:schemeClr w14:val="tx1"/>
            </w14:solidFill>
          </w14:textFill>
        </w:rPr>
        <w:t>户外木地板耐久性试验方法</w:t>
      </w:r>
      <w:r>
        <w:rPr>
          <w:rFonts w:hint="eastAsia" w:ascii="方正小标宋简体" w:eastAsia="方正小标宋简体"/>
          <w:bCs/>
          <w:color w:val="000000" w:themeColor="text1"/>
          <w:sz w:val="32"/>
          <w:szCs w:val="32"/>
          <w14:textFill>
            <w14:solidFill>
              <w14:schemeClr w14:val="tx1"/>
            </w14:solidFill>
          </w14:textFill>
        </w:rPr>
        <w:t>》</w:t>
      </w:r>
    </w:p>
    <w:p w14:paraId="4FA1E9C2">
      <w:pPr>
        <w:jc w:val="center"/>
        <w:rPr>
          <w:rFonts w:ascii="方正小标宋简体" w:eastAsia="方正小标宋简体"/>
          <w:bCs/>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t>行业标准编制说明</w:t>
      </w:r>
    </w:p>
    <w:p w14:paraId="119195AA">
      <w:pPr>
        <w:pStyle w:val="28"/>
        <w:spacing w:before="326" w:beforeLines="100" w:after="326" w:afterLines="100"/>
        <w:rPr>
          <w:rFonts w:ascii="Times New Roman"/>
          <w:color w:val="000000" w:themeColor="text1"/>
          <w:sz w:val="28"/>
          <w:szCs w:val="28"/>
          <w14:textFill>
            <w14:solidFill>
              <w14:schemeClr w14:val="tx1"/>
            </w14:solidFill>
          </w14:textFill>
        </w:rPr>
      </w:pPr>
      <w:bookmarkStart w:id="0" w:name="_Toc30336"/>
      <w:r>
        <w:rPr>
          <w:rFonts w:ascii="Times New Roman"/>
          <w:color w:val="000000" w:themeColor="text1"/>
          <w:sz w:val="28"/>
          <w:szCs w:val="28"/>
          <w14:textFill>
            <w14:solidFill>
              <w14:schemeClr w14:val="tx1"/>
            </w14:solidFill>
          </w14:textFill>
        </w:rPr>
        <w:t>1 标准编制工作简况</w:t>
      </w:r>
      <w:bookmarkEnd w:id="0"/>
    </w:p>
    <w:p w14:paraId="19275A99">
      <w:pPr>
        <w:pStyle w:val="29"/>
        <w:numPr>
          <w:ilvl w:val="1"/>
          <w:numId w:val="6"/>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1" w:name="_Toc10933"/>
      <w:bookmarkStart w:id="2" w:name="_Toc31072"/>
      <w:r>
        <w:rPr>
          <w:color w:val="000000" w:themeColor="text1"/>
          <w:sz w:val="24"/>
          <w:szCs w:val="24"/>
          <w14:textFill>
            <w14:solidFill>
              <w14:schemeClr w14:val="tx1"/>
            </w14:solidFill>
          </w14:textFill>
        </w:rPr>
        <w:t>任务来源</w:t>
      </w:r>
      <w:bookmarkEnd w:id="1"/>
      <w:bookmarkEnd w:id="2"/>
    </w:p>
    <w:p w14:paraId="15CB7022">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color w:val="000000" w:themeColor="text1"/>
          <w14:textFill>
            <w14:solidFill>
              <w14:schemeClr w14:val="tx1"/>
            </w14:solidFill>
          </w14:textFill>
        </w:rPr>
        <w:t>根据《工业和信息化部办公厅关于印发2024年第一批行业标准制修订计划的通知》（工信厅科〔2024〕18号）</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户外木地板耐久性试验方法</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行业</w:t>
      </w:r>
      <w:r>
        <w:rPr>
          <w:color w:val="000000" w:themeColor="text1"/>
          <w14:textFill>
            <w14:solidFill>
              <w14:schemeClr w14:val="tx1"/>
            </w14:solidFill>
          </w14:textFill>
        </w:rPr>
        <w:t>标准已列入标准项目计划（计划编号：</w:t>
      </w:r>
      <w:r>
        <w:rPr>
          <w:rFonts w:hint="eastAsia"/>
          <w:color w:val="000000" w:themeColor="text1"/>
          <w14:textFill>
            <w14:solidFill>
              <w14:schemeClr w14:val="tx1"/>
            </w14:solidFill>
          </w14:textFill>
        </w:rPr>
        <w:t>2024-040</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T-JC</w:t>
      </w:r>
      <w:r>
        <w:rPr>
          <w:color w:val="000000" w:themeColor="text1"/>
          <w14:textFill>
            <w14:solidFill>
              <w14:schemeClr w14:val="tx1"/>
            </w14:solidFill>
          </w14:textFill>
        </w:rPr>
        <w:t>），标准技术归口单位为</w:t>
      </w:r>
      <w:r>
        <w:rPr>
          <w:rFonts w:hint="eastAsia"/>
          <w:color w:val="000000" w:themeColor="text1"/>
          <w14:textFill>
            <w14:solidFill>
              <w14:schemeClr w14:val="tx1"/>
            </w14:solidFill>
          </w14:textFill>
        </w:rPr>
        <w:t>建材工业综合标准化技术委员会</w:t>
      </w:r>
      <w:r>
        <w:rPr>
          <w:color w:val="000000" w:themeColor="text1"/>
          <w14:textFill>
            <w14:solidFill>
              <w14:schemeClr w14:val="tx1"/>
            </w14:solidFill>
          </w14:textFill>
        </w:rPr>
        <w:t>，该标准的起草工作由</w:t>
      </w:r>
      <w:r>
        <w:rPr>
          <w:rFonts w:hint="eastAsia"/>
          <w:color w:val="000000" w:themeColor="text1"/>
          <w14:textFill>
            <w14:solidFill>
              <w14:schemeClr w14:val="tx1"/>
            </w14:solidFill>
          </w14:textFill>
        </w:rPr>
        <w:t>木材节约发展中心，国家木材与木制品性能质量检验检测中心</w:t>
      </w:r>
      <w:r>
        <w:rPr>
          <w:color w:val="000000" w:themeColor="text1"/>
          <w14:textFill>
            <w14:solidFill>
              <w14:schemeClr w14:val="tx1"/>
            </w14:solidFill>
          </w14:textFill>
        </w:rPr>
        <w:t>等单位负责。</w:t>
      </w:r>
    </w:p>
    <w:p w14:paraId="74B4543A">
      <w:pPr>
        <w:pStyle w:val="29"/>
        <w:numPr>
          <w:ilvl w:val="1"/>
          <w:numId w:val="6"/>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3" w:name="_Toc17910"/>
      <w:bookmarkStart w:id="4" w:name="_Toc7396"/>
      <w:bookmarkStart w:id="5" w:name="_Toc44068192"/>
      <w:r>
        <w:rPr>
          <w:color w:val="000000" w:themeColor="text1"/>
          <w:sz w:val="24"/>
          <w:szCs w:val="24"/>
          <w14:textFill>
            <w14:solidFill>
              <w14:schemeClr w14:val="tx1"/>
            </w14:solidFill>
          </w14:textFill>
        </w:rPr>
        <w:t>起草单位</w:t>
      </w:r>
      <w:bookmarkEnd w:id="3"/>
      <w:bookmarkEnd w:id="4"/>
      <w:bookmarkEnd w:id="5"/>
    </w:p>
    <w:p w14:paraId="550EFC41">
      <w:pPr>
        <w:spacing w:line="360" w:lineRule="auto"/>
        <w:ind w:firstLine="480" w:firstLineChars="200"/>
        <w:jc w:val="both"/>
        <w:rPr>
          <w:rFonts w:eastAsiaTheme="majorEastAsia"/>
          <w:color w:val="000000" w:themeColor="text1"/>
          <w14:textFill>
            <w14:solidFill>
              <w14:schemeClr w14:val="tx1"/>
            </w14:solidFill>
          </w14:textFill>
        </w:rPr>
      </w:pPr>
      <w:r>
        <w:rPr>
          <w:rFonts w:hint="eastAsia" w:eastAsiaTheme="majorEastAsia"/>
          <w:color w:val="000000" w:themeColor="text1"/>
          <w14:textFill>
            <w14:solidFill>
              <w14:schemeClr w14:val="tx1"/>
            </w14:solidFill>
          </w14:textFill>
        </w:rPr>
        <w:t>本标准由</w:t>
      </w:r>
      <w:r>
        <w:rPr>
          <w:rFonts w:hint="eastAsia"/>
          <w:color w:val="000000" w:themeColor="text1"/>
          <w14:textFill>
            <w14:solidFill>
              <w14:schemeClr w14:val="tx1"/>
            </w14:solidFill>
          </w14:textFill>
        </w:rPr>
        <w:t>木材节约发展中心</w:t>
      </w:r>
      <w:r>
        <w:rPr>
          <w:rFonts w:hint="eastAsia"/>
          <w:color w:val="000000" w:themeColor="text1"/>
          <w:lang w:val="en-US" w:eastAsia="zh-CN"/>
          <w14:textFill>
            <w14:solidFill>
              <w14:schemeClr w14:val="tx1"/>
            </w14:solidFill>
          </w14:textFill>
        </w:rPr>
        <w:t>负责</w:t>
      </w:r>
      <w:r>
        <w:rPr>
          <w:rFonts w:hint="eastAsia" w:eastAsiaTheme="majorEastAsia"/>
          <w:color w:val="000000" w:themeColor="text1"/>
          <w14:textFill>
            <w14:solidFill>
              <w14:schemeClr w14:val="tx1"/>
            </w14:solidFill>
          </w14:textFill>
        </w:rPr>
        <w:t>起草，形成《</w:t>
      </w:r>
      <w:r>
        <w:rPr>
          <w:rFonts w:hint="eastAsia" w:eastAsiaTheme="majorEastAsia"/>
          <w:color w:val="000000" w:themeColor="text1"/>
          <w:lang w:eastAsia="zh-CN"/>
          <w14:textFill>
            <w14:solidFill>
              <w14:schemeClr w14:val="tx1"/>
            </w14:solidFill>
          </w14:textFill>
        </w:rPr>
        <w:t>户外木地板耐久性试验方法</w:t>
      </w:r>
      <w:r>
        <w:rPr>
          <w:rFonts w:hint="eastAsia" w:eastAsiaTheme="majorEastAsia"/>
          <w:color w:val="000000" w:themeColor="text1"/>
          <w14:textFill>
            <w14:solidFill>
              <w14:schemeClr w14:val="tx1"/>
            </w14:solidFill>
          </w14:textFill>
        </w:rPr>
        <w:t>》标准的编制组。标准编制组分工如下：</w:t>
      </w:r>
    </w:p>
    <w:p w14:paraId="1021872E">
      <w:pPr>
        <w:numPr>
          <w:ilvl w:val="0"/>
          <w:numId w:val="7"/>
        </w:numPr>
        <w:spacing w:line="360" w:lineRule="auto"/>
        <w:ind w:firstLine="480" w:firstLineChars="200"/>
        <w:jc w:val="both"/>
        <w:rPr>
          <w:rFonts w:hint="eastAsia" w:eastAsiaTheme="majorEastAsia"/>
          <w:color w:val="000000" w:themeColor="text1"/>
          <w:lang w:eastAsia="zh-CN"/>
          <w14:textFill>
            <w14:solidFill>
              <w14:schemeClr w14:val="tx1"/>
            </w14:solidFill>
          </w14:textFill>
        </w:rPr>
      </w:pPr>
      <w:r>
        <w:rPr>
          <w:rFonts w:hint="eastAsia" w:eastAsiaTheme="majorEastAsia"/>
          <w:color w:val="000000" w:themeColor="text1"/>
          <w14:textFill>
            <w14:solidFill>
              <w14:schemeClr w14:val="tx1"/>
            </w14:solidFill>
          </w14:textFill>
        </w:rPr>
        <w:t>木材节约发展中心：主要负责标准立项、标准讨论会组织及筹备。主要负责标准立项、标准讨论会组织及筹备、行业征求意见汇总等</w:t>
      </w:r>
      <w:r>
        <w:rPr>
          <w:rFonts w:hint="eastAsia" w:eastAsiaTheme="majorEastAsia"/>
          <w:color w:val="000000" w:themeColor="text1"/>
          <w:lang w:eastAsia="zh-CN"/>
          <w14:textFill>
            <w14:solidFill>
              <w14:schemeClr w14:val="tx1"/>
            </w14:solidFill>
          </w14:textFill>
        </w:rPr>
        <w:t>。</w:t>
      </w:r>
    </w:p>
    <w:p w14:paraId="5CE0B7F4">
      <w:pPr>
        <w:numPr>
          <w:ilvl w:val="0"/>
          <w:numId w:val="7"/>
        </w:numPr>
        <w:spacing w:line="360" w:lineRule="auto"/>
        <w:ind w:firstLine="480" w:firstLineChars="200"/>
        <w:jc w:val="both"/>
        <w:rPr>
          <w:rFonts w:hint="eastAsia" w:eastAsiaTheme="majorEastAsia"/>
          <w:color w:val="000000" w:themeColor="text1"/>
          <w14:textFill>
            <w14:solidFill>
              <w14:schemeClr w14:val="tx1"/>
            </w14:solidFill>
          </w14:textFill>
        </w:rPr>
      </w:pPr>
      <w:r>
        <w:rPr>
          <w:rFonts w:hint="eastAsia" w:eastAsiaTheme="majorEastAsia"/>
          <w:color w:val="000000" w:themeColor="text1"/>
          <w14:textFill>
            <w14:solidFill>
              <w14:schemeClr w14:val="tx1"/>
            </w14:solidFill>
          </w14:textFill>
        </w:rPr>
        <w:t>木材节约发展中心</w:t>
      </w:r>
      <w:r>
        <w:rPr>
          <w:rFonts w:hint="eastAsia" w:eastAsiaTheme="majorEastAsia"/>
          <w:color w:val="000000" w:themeColor="text1"/>
          <w:lang w:val="en-US" w:eastAsia="zh-CN"/>
          <w14:textFill>
            <w14:solidFill>
              <w14:schemeClr w14:val="tx1"/>
            </w14:solidFill>
          </w14:textFill>
        </w:rPr>
        <w:t>所属实验室（</w:t>
      </w:r>
      <w:r>
        <w:rPr>
          <w:rFonts w:hint="eastAsia" w:eastAsiaTheme="majorEastAsia"/>
          <w:color w:val="000000" w:themeColor="text1"/>
          <w14:textFill>
            <w14:solidFill>
              <w14:schemeClr w14:val="tx1"/>
            </w14:solidFill>
          </w14:textFill>
        </w:rPr>
        <w:t>国家木材与木制品性能质量检验检测中心</w:t>
      </w:r>
      <w:r>
        <w:rPr>
          <w:rFonts w:hint="eastAsia" w:eastAsiaTheme="majorEastAsia"/>
          <w:color w:val="000000" w:themeColor="text1"/>
          <w:lang w:eastAsia="zh-CN"/>
          <w14:textFill>
            <w14:solidFill>
              <w14:schemeClr w14:val="tx1"/>
            </w14:solidFill>
          </w14:textFill>
        </w:rPr>
        <w:t>）</w:t>
      </w:r>
      <w:r>
        <w:rPr>
          <w:rFonts w:hint="eastAsia" w:eastAsiaTheme="majorEastAsia"/>
          <w:color w:val="000000" w:themeColor="text1"/>
          <w14:textFill>
            <w14:solidFill>
              <w14:schemeClr w14:val="tx1"/>
            </w14:solidFill>
          </w14:textFill>
        </w:rPr>
        <w:t>：负责开展相关调研、验证工作，标准相关文献搜集，标准正文的编写及修改，为本标准修订提供技术支持。</w:t>
      </w:r>
    </w:p>
    <w:p w14:paraId="201185D8">
      <w:pPr>
        <w:numPr>
          <w:ilvl w:val="-1"/>
          <w:numId w:val="0"/>
        </w:numPr>
        <w:spacing w:line="360" w:lineRule="auto"/>
        <w:ind w:firstLine="0" w:firstLineChars="0"/>
        <w:jc w:val="both"/>
        <w:rPr>
          <w:rFonts w:hint="eastAsia" w:eastAsiaTheme="majorEastAsia"/>
          <w:color w:val="000000" w:themeColor="text1"/>
          <w14:textFill>
            <w14:solidFill>
              <w14:schemeClr w14:val="tx1"/>
            </w14:solidFill>
          </w14:textFill>
        </w:rPr>
      </w:pPr>
    </w:p>
    <w:p w14:paraId="1A3F163F">
      <w:pPr>
        <w:pStyle w:val="29"/>
        <w:numPr>
          <w:ilvl w:val="1"/>
          <w:numId w:val="6"/>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6" w:name="_Toc8376"/>
      <w:bookmarkStart w:id="7" w:name="_Toc44068193"/>
      <w:bookmarkStart w:id="8" w:name="_Toc24989"/>
      <w:r>
        <w:rPr>
          <w:rFonts w:hint="eastAsia"/>
          <w:color w:val="000000" w:themeColor="text1"/>
          <w:sz w:val="24"/>
          <w:szCs w:val="24"/>
          <w:lang w:val="en-US" w:eastAsia="zh-CN"/>
          <w14:textFill>
            <w14:solidFill>
              <w14:schemeClr w14:val="tx1"/>
            </w14:solidFill>
          </w14:textFill>
        </w:rPr>
        <w:t xml:space="preserve">1.3 </w:t>
      </w:r>
      <w:r>
        <w:rPr>
          <w:color w:val="000000" w:themeColor="text1"/>
          <w:sz w:val="24"/>
          <w:szCs w:val="24"/>
          <w14:textFill>
            <w14:solidFill>
              <w14:schemeClr w14:val="tx1"/>
            </w14:solidFill>
          </w14:textFill>
        </w:rPr>
        <w:t>标准编制背景及必要性</w:t>
      </w:r>
      <w:bookmarkEnd w:id="6"/>
      <w:bookmarkEnd w:id="7"/>
      <w:bookmarkEnd w:id="8"/>
    </w:p>
    <w:p w14:paraId="18BDB376">
      <w:pPr>
        <w:pStyle w:val="42"/>
        <w:spacing w:line="480" w:lineRule="auto"/>
        <w:ind w:firstLine="0" w:firstLineChars="0"/>
        <w:rPr>
          <w:rFonts w:ascii="Times New Roman" w:eastAsia="黑体"/>
          <w:color w:val="000000" w:themeColor="text1"/>
          <w:sz w:val="24"/>
          <w:szCs w:val="24"/>
          <w14:textFill>
            <w14:solidFill>
              <w14:schemeClr w14:val="tx1"/>
            </w14:solidFill>
          </w14:textFill>
        </w:rPr>
      </w:pPr>
      <w:r>
        <w:rPr>
          <w:rFonts w:ascii="Times New Roman" w:eastAsia="黑体"/>
          <w:color w:val="000000" w:themeColor="text1"/>
          <w:sz w:val="24"/>
          <w:szCs w:val="24"/>
          <w14:textFill>
            <w14:solidFill>
              <w14:schemeClr w14:val="tx1"/>
            </w14:solidFill>
          </w14:textFill>
        </w:rPr>
        <w:t>1.3.1 编制背景</w:t>
      </w:r>
    </w:p>
    <w:p w14:paraId="7E64DF2D">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随着木材防腐行业的快速发展，户外木地板的应用范围不断扩大，新材料（如木塑复合材料）也日益普及。原标准SB/T 10951-2012《户外木地板耐久性试验方法》在实际应用中逐渐暴露出一些不足，例如试件尺寸、对照样品要求、试验方法等方面已无法完全满足当前行业需求。为加快推进木材防腐行业的高质量发展，实现木材防腐产品的标准化、系列化，根据工业和信息化部办公厅关于印发2024年第一批行业标准制修订计划的通知（工信厅科〔2024〕18号）要求，由木材节约发展中心主编，对原标准进行修订。</w:t>
      </w:r>
    </w:p>
    <w:p w14:paraId="327E2505">
      <w:pPr>
        <w:pStyle w:val="42"/>
        <w:spacing w:line="480" w:lineRule="auto"/>
        <w:ind w:firstLine="0" w:firstLineChars="0"/>
        <w:rPr>
          <w:rFonts w:ascii="Times New Roman" w:eastAsia="黑体"/>
          <w:color w:val="000000" w:themeColor="text1"/>
          <w:sz w:val="24"/>
          <w:szCs w:val="24"/>
          <w14:textFill>
            <w14:solidFill>
              <w14:schemeClr w14:val="tx1"/>
            </w14:solidFill>
          </w14:textFill>
        </w:rPr>
      </w:pPr>
      <w:r>
        <w:rPr>
          <w:rFonts w:hint="eastAsia" w:ascii="Times New Roman" w:eastAsia="黑体"/>
          <w:color w:val="000000" w:themeColor="text1"/>
          <w:sz w:val="24"/>
          <w:szCs w:val="24"/>
          <w14:textFill>
            <w14:solidFill>
              <w14:schemeClr w14:val="tx1"/>
            </w14:solidFill>
          </w14:textFill>
        </w:rPr>
        <w:t>1.3.2</w:t>
      </w:r>
      <w:r>
        <w:rPr>
          <w:rFonts w:ascii="Times New Roman" w:eastAsia="黑体"/>
          <w:color w:val="000000" w:themeColor="text1"/>
          <w:sz w:val="24"/>
          <w:szCs w:val="24"/>
          <w14:textFill>
            <w14:solidFill>
              <w14:schemeClr w14:val="tx1"/>
            </w14:solidFill>
          </w14:textFill>
        </w:rPr>
        <w:t>主要工作过程</w:t>
      </w:r>
    </w:p>
    <w:p w14:paraId="23C48217">
      <w:pPr>
        <w:spacing w:line="360" w:lineRule="auto"/>
        <w:ind w:firstLine="480" w:firstLineChars="200"/>
        <w:jc w:val="both"/>
        <w:rPr>
          <w:rFonts w:hint="eastAsia" w:eastAsia="宋体"/>
          <w:color w:val="000000" w:themeColor="text1"/>
          <w:szCs w:val="28"/>
          <w:lang w:val="en-US" w:eastAsia="zh-CN"/>
          <w14:textFill>
            <w14:solidFill>
              <w14:schemeClr w14:val="tx1"/>
            </w14:solidFill>
          </w14:textFill>
        </w:rPr>
      </w:pPr>
      <w:r>
        <w:rPr>
          <w:rFonts w:hint="eastAsia" w:eastAsiaTheme="minorEastAsia"/>
          <w:color w:val="000000" w:themeColor="text1"/>
          <w:szCs w:val="28"/>
          <w14:textFill>
            <w14:solidFill>
              <w14:schemeClr w14:val="tx1"/>
            </w14:solidFill>
          </w14:textFill>
        </w:rPr>
        <w:t>为贯彻中央经济工作会议和全国工业和信息化工作会议精神，落实《关于促进制造业产品和服务质量提升的实施意见》要求，推进工业质量品牌建设工作，支持制造业高质量发展以《中共中央 国务院关于开展质量提升行动的指导意见》，</w:t>
      </w:r>
      <w:r>
        <w:rPr>
          <w:rFonts w:eastAsiaTheme="minorEastAsia"/>
          <w:color w:val="000000" w:themeColor="text1"/>
          <w:szCs w:val="28"/>
          <w14:textFill>
            <w14:solidFill>
              <w14:schemeClr w14:val="tx1"/>
            </w14:solidFill>
          </w14:textFill>
        </w:rPr>
        <w:t>开展本标准的制定工作</w:t>
      </w:r>
      <w:r>
        <w:rPr>
          <w:rFonts w:hint="eastAsia" w:eastAsiaTheme="minorEastAsia"/>
          <w:color w:val="000000" w:themeColor="text1"/>
          <w:szCs w:val="28"/>
          <w14:textFill>
            <w14:solidFill>
              <w14:schemeClr w14:val="tx1"/>
            </w14:solidFill>
          </w14:textFill>
        </w:rPr>
        <w:t>。标准起草组组织行业专家和企业代表对现行标准的实施情况进行广泛调研，收集各方意见和建议，并对国内外相关标准进行对比分析，为标准修订提供参考依据。</w:t>
      </w:r>
      <w:r>
        <w:rPr>
          <w:rFonts w:hint="eastAsia" w:eastAsiaTheme="minorEastAsia"/>
          <w:color w:val="000000" w:themeColor="text1"/>
          <w:szCs w:val="28"/>
          <w:lang w:val="en-US" w:eastAsia="zh-CN"/>
          <w14:textFill>
            <w14:solidFill>
              <w14:schemeClr w14:val="tx1"/>
            </w14:solidFill>
          </w14:textFill>
        </w:rPr>
        <w:t>该标准给出了</w:t>
      </w:r>
      <w:r>
        <w:rPr>
          <w:rFonts w:hint="default" w:ascii="Times New Roman" w:hAnsi="Times New Roman" w:cs="Times New Roman"/>
        </w:rPr>
        <w:t>户外</w:t>
      </w:r>
      <w:r>
        <w:rPr>
          <w:rFonts w:hint="default" w:ascii="Times New Roman" w:hAnsi="Times New Roman" w:cs="Times New Roman"/>
          <w:lang w:val="en-US" w:eastAsia="zh-CN"/>
        </w:rPr>
        <w:t>木</w:t>
      </w:r>
      <w:r>
        <w:rPr>
          <w:rFonts w:hint="default" w:ascii="Times New Roman" w:hAnsi="Times New Roman" w:cs="Times New Roman"/>
        </w:rPr>
        <w:t>地板耐久性的试验方法</w:t>
      </w:r>
      <w:r>
        <w:rPr>
          <w:rFonts w:hint="eastAsia" w:ascii="Times New Roman" w:hAnsi="Times New Roman" w:cs="Times New Roman"/>
          <w:lang w:eastAsia="zh-CN"/>
        </w:rPr>
        <w:t>，</w:t>
      </w:r>
    </w:p>
    <w:p w14:paraId="53151126">
      <w:pPr>
        <w:spacing w:line="360" w:lineRule="auto"/>
        <w:ind w:firstLine="480" w:firstLineChars="200"/>
        <w:jc w:val="both"/>
        <w:rPr>
          <w:color w:val="000000" w:themeColor="text1"/>
          <w14:textFill>
            <w14:solidFill>
              <w14:schemeClr w14:val="tx1"/>
            </w14:solidFill>
          </w14:textFill>
        </w:rPr>
      </w:pPr>
      <w:r>
        <w:rPr>
          <w:color w:val="000000" w:themeColor="text1"/>
          <w14:textFill>
            <w14:solidFill>
              <w14:schemeClr w14:val="tx1"/>
            </w14:solidFill>
          </w14:textFill>
        </w:rPr>
        <w:t>具体</w:t>
      </w:r>
      <w:r>
        <w:rPr>
          <w:rFonts w:hint="eastAsia"/>
          <w:color w:val="000000" w:themeColor="text1"/>
          <w14:textFill>
            <w14:solidFill>
              <w14:schemeClr w14:val="tx1"/>
            </w14:solidFill>
          </w14:textFill>
        </w:rPr>
        <w:t>编制</w:t>
      </w:r>
      <w:r>
        <w:rPr>
          <w:color w:val="000000" w:themeColor="text1"/>
          <w14:textFill>
            <w14:solidFill>
              <w14:schemeClr w14:val="tx1"/>
            </w14:solidFill>
          </w14:textFill>
        </w:rPr>
        <w:t>过程如下：</w:t>
      </w:r>
    </w:p>
    <w:p w14:paraId="6A3FB6B1">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202</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3</w:t>
      </w:r>
      <w:r>
        <w:rPr>
          <w:rFonts w:hint="eastAsia" w:eastAsiaTheme="minorEastAsia"/>
          <w:color w:val="000000" w:themeColor="text1"/>
          <w:szCs w:val="28"/>
          <w14:textFill>
            <w14:solidFill>
              <w14:schemeClr w14:val="tx1"/>
            </w14:solidFill>
          </w14:textFill>
        </w:rPr>
        <w:t>月，工业和信息化部下达</w:t>
      </w:r>
      <w:r>
        <w:rPr>
          <w:rFonts w:eastAsiaTheme="minorEastAsia"/>
          <w:color w:val="000000" w:themeColor="text1"/>
          <w:szCs w:val="28"/>
          <w14:textFill>
            <w14:solidFill>
              <w14:schemeClr w14:val="tx1"/>
            </w14:solidFill>
          </w14:textFill>
        </w:rPr>
        <w:t>了</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户外木地板耐久性试验方法</w:t>
      </w:r>
      <w:r>
        <w:rPr>
          <w:color w:val="000000" w:themeColor="text1"/>
          <w14:textFill>
            <w14:solidFill>
              <w14:schemeClr w14:val="tx1"/>
            </w14:solidFill>
          </w14:textFill>
        </w:rPr>
        <w:t>》</w:t>
      </w:r>
      <w:r>
        <w:rPr>
          <w:rFonts w:hint="eastAsia" w:eastAsiaTheme="minorEastAsia"/>
          <w:color w:val="000000" w:themeColor="text1"/>
          <w:szCs w:val="28"/>
          <w14:textFill>
            <w14:solidFill>
              <w14:schemeClr w14:val="tx1"/>
            </w14:solidFill>
          </w14:textFill>
        </w:rPr>
        <w:t>行业</w:t>
      </w:r>
      <w:r>
        <w:rPr>
          <w:rFonts w:eastAsiaTheme="minorEastAsia"/>
          <w:color w:val="000000" w:themeColor="text1"/>
          <w:szCs w:val="28"/>
          <w14:textFill>
            <w14:solidFill>
              <w14:schemeClr w14:val="tx1"/>
            </w14:solidFill>
          </w14:textFill>
        </w:rPr>
        <w:t>标准</w:t>
      </w:r>
      <w:r>
        <w:rPr>
          <w:rFonts w:hint="eastAsia"/>
          <w:color w:val="000000" w:themeColor="text1"/>
          <w14:textFill>
            <w14:solidFill>
              <w14:schemeClr w14:val="tx1"/>
            </w14:solidFill>
          </w14:textFill>
        </w:rPr>
        <w:t>项目计划</w:t>
      </w:r>
      <w:r>
        <w:rPr>
          <w:color w:val="000000" w:themeColor="text1"/>
          <w14:textFill>
            <w14:solidFill>
              <w14:schemeClr w14:val="tx1"/>
            </w14:solidFill>
          </w14:textFill>
        </w:rPr>
        <w:t>，计划编号</w:t>
      </w:r>
      <w:r>
        <w:rPr>
          <w:rFonts w:hint="eastAsia"/>
          <w:color w:val="000000" w:themeColor="text1"/>
          <w14:textFill>
            <w14:solidFill>
              <w14:schemeClr w14:val="tx1"/>
            </w14:solidFill>
          </w14:textFill>
        </w:rPr>
        <w:t>为2024-040</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T-JC</w:t>
      </w:r>
      <w:r>
        <w:rPr>
          <w:rFonts w:hint="eastAsia" w:eastAsiaTheme="minorEastAsia"/>
          <w:color w:val="000000" w:themeColor="text1"/>
          <w:szCs w:val="28"/>
          <w14:textFill>
            <w14:solidFill>
              <w14:schemeClr w14:val="tx1"/>
            </w14:solidFill>
          </w14:textFill>
        </w:rPr>
        <w:t>。</w:t>
      </w:r>
    </w:p>
    <w:p w14:paraId="1769569F">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202</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月-12月</w:t>
      </w:r>
      <w:r>
        <w:rPr>
          <w:rFonts w:eastAsiaTheme="minorEastAsia"/>
          <w:color w:val="000000" w:themeColor="text1"/>
          <w:szCs w:val="28"/>
          <w14:textFill>
            <w14:solidFill>
              <w14:schemeClr w14:val="tx1"/>
            </w14:solidFill>
          </w14:textFill>
        </w:rPr>
        <w:t>，</w:t>
      </w:r>
      <w:r>
        <w:rPr>
          <w:rFonts w:hint="eastAsia" w:eastAsiaTheme="minorEastAsia"/>
          <w:color w:val="000000" w:themeColor="text1"/>
          <w:szCs w:val="28"/>
          <w14:textFill>
            <w14:solidFill>
              <w14:schemeClr w14:val="tx1"/>
            </w14:solidFill>
          </w14:textFill>
        </w:rPr>
        <w:t>编制组</w:t>
      </w:r>
      <w:r>
        <w:rPr>
          <w:rFonts w:eastAsiaTheme="minorEastAsia"/>
          <w:color w:val="000000" w:themeColor="text1"/>
          <w:szCs w:val="28"/>
          <w14:textFill>
            <w14:solidFill>
              <w14:schemeClr w14:val="tx1"/>
            </w14:solidFill>
          </w14:textFill>
        </w:rPr>
        <w:t>对</w:t>
      </w:r>
      <w:r>
        <w:rPr>
          <w:rFonts w:hint="eastAsia" w:eastAsiaTheme="minorEastAsia"/>
          <w:color w:val="000000" w:themeColor="text1"/>
          <w:szCs w:val="28"/>
          <w14:textFill>
            <w14:solidFill>
              <w14:schemeClr w14:val="tx1"/>
            </w14:solidFill>
          </w14:textFill>
        </w:rPr>
        <w:t>建材</w:t>
      </w:r>
      <w:r>
        <w:rPr>
          <w:rFonts w:eastAsiaTheme="minorEastAsia"/>
          <w:color w:val="000000" w:themeColor="text1"/>
          <w:szCs w:val="28"/>
          <w14:textFill>
            <w14:solidFill>
              <w14:schemeClr w14:val="tx1"/>
            </w14:solidFill>
          </w14:textFill>
        </w:rPr>
        <w:t>企业进行</w:t>
      </w:r>
      <w:r>
        <w:rPr>
          <w:rFonts w:hint="eastAsia" w:eastAsiaTheme="minorEastAsia"/>
          <w:color w:val="000000" w:themeColor="text1"/>
          <w:szCs w:val="28"/>
          <w14:textFill>
            <w14:solidFill>
              <w14:schemeClr w14:val="tx1"/>
            </w14:solidFill>
          </w14:textFill>
        </w:rPr>
        <w:t>实地调研</w:t>
      </w:r>
      <w:r>
        <w:rPr>
          <w:rFonts w:eastAsiaTheme="minorEastAsia"/>
          <w:color w:val="000000" w:themeColor="text1"/>
          <w:szCs w:val="28"/>
          <w14:textFill>
            <w14:solidFill>
              <w14:schemeClr w14:val="tx1"/>
            </w14:solidFill>
          </w14:textFill>
        </w:rPr>
        <w:t>，</w:t>
      </w:r>
      <w:r>
        <w:rPr>
          <w:rFonts w:hint="eastAsia" w:eastAsiaTheme="minorEastAsia"/>
          <w:color w:val="000000" w:themeColor="text1"/>
          <w:szCs w:val="28"/>
          <w14:textFill>
            <w14:solidFill>
              <w14:schemeClr w14:val="tx1"/>
            </w14:solidFill>
          </w14:textFill>
        </w:rPr>
        <w:t>搜集并分析了相关信息，编制完成标准草案。</w:t>
      </w:r>
    </w:p>
    <w:p w14:paraId="14250029">
      <w:pPr>
        <w:spacing w:line="360" w:lineRule="auto"/>
        <w:ind w:firstLine="480" w:firstLineChars="200"/>
        <w:jc w:val="both"/>
        <w:rPr>
          <w:rFonts w:hint="eastAsia" w:eastAsiaTheme="minorEastAsia"/>
          <w:color w:val="000000" w:themeColor="text1"/>
          <w:szCs w:val="28"/>
          <w:highlight w:val="yellow"/>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2024年12月19日，编制组召开标准编制工作会议，根据我国户外装饰产品产业发展现状，针对标准细节进行研究讨论。</w:t>
      </w:r>
    </w:p>
    <w:p w14:paraId="72F6BF50">
      <w:pPr>
        <w:spacing w:line="360" w:lineRule="auto"/>
        <w:ind w:firstLine="480" w:firstLineChars="200"/>
        <w:jc w:val="both"/>
        <w:rPr>
          <w:rFonts w:hint="default" w:eastAsiaTheme="minorEastAsia"/>
          <w:color w:val="000000" w:themeColor="text1"/>
          <w:szCs w:val="28"/>
          <w:highlight w:val="yellow"/>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2025年8月，</w:t>
      </w:r>
      <w:r>
        <w:rPr>
          <w:rFonts w:hint="default" w:eastAsiaTheme="minorEastAsia"/>
          <w:color w:val="000000" w:themeColor="text1"/>
          <w:szCs w:val="28"/>
          <w14:textFill>
            <w14:solidFill>
              <w14:schemeClr w14:val="tx1"/>
            </w14:solidFill>
          </w14:textFill>
        </w:rPr>
        <w:t>编制组组织以线上视频会形式组织召开标准工作研讨会，编制组向与会专家和企业介绍了本标准的起草背景、过程和主要内容。会后，据与会代表的意见，标准编制组会后结合</w:t>
      </w:r>
      <w:r>
        <w:rPr>
          <w:rFonts w:hint="eastAsia" w:eastAsiaTheme="minorEastAsia"/>
          <w:color w:val="000000" w:themeColor="text1"/>
          <w:szCs w:val="28"/>
          <w:lang w:val="en-US" w:eastAsia="zh-CN"/>
          <w14:textFill>
            <w14:solidFill>
              <w14:schemeClr w14:val="tx1"/>
            </w14:solidFill>
          </w14:textFill>
        </w:rPr>
        <w:t>户外用产品的行业现状，</w:t>
      </w:r>
      <w:r>
        <w:rPr>
          <w:rFonts w:hint="default" w:eastAsiaTheme="minorEastAsia"/>
          <w:color w:val="000000" w:themeColor="text1"/>
          <w:szCs w:val="28"/>
          <w14:textFill>
            <w14:solidFill>
              <w14:schemeClr w14:val="tx1"/>
            </w14:solidFill>
          </w14:textFill>
        </w:rPr>
        <w:t>对标准草案中有关条文进行了修改和完善，完成了建材行业标准《</w:t>
      </w:r>
      <w:r>
        <w:rPr>
          <w:rFonts w:hint="eastAsia"/>
          <w:color w:val="000000" w:themeColor="text1"/>
          <w14:textFill>
            <w14:solidFill>
              <w14:schemeClr w14:val="tx1"/>
            </w14:solidFill>
          </w14:textFill>
        </w:rPr>
        <w:t>防腐木材及木材防腐剂取样方法</w:t>
      </w:r>
      <w:r>
        <w:rPr>
          <w:rFonts w:hint="default" w:eastAsiaTheme="minorEastAsia"/>
          <w:color w:val="000000" w:themeColor="text1"/>
          <w:szCs w:val="28"/>
          <w14:textFill>
            <w14:solidFill>
              <w14:schemeClr w14:val="tx1"/>
            </w14:solidFill>
          </w14:textFill>
        </w:rPr>
        <w:t>》征求意见稿，并向有关单位定向征求意见。</w:t>
      </w:r>
    </w:p>
    <w:p w14:paraId="2D191A60">
      <w:pPr>
        <w:pStyle w:val="28"/>
        <w:spacing w:before="326" w:beforeLines="100" w:after="326" w:afterLines="100"/>
        <w:rPr>
          <w:rFonts w:ascii="Times New Roman"/>
          <w:color w:val="000000" w:themeColor="text1"/>
          <w:sz w:val="28"/>
          <w:szCs w:val="28"/>
          <w14:textFill>
            <w14:solidFill>
              <w14:schemeClr w14:val="tx1"/>
            </w14:solidFill>
          </w14:textFill>
        </w:rPr>
      </w:pPr>
      <w:bookmarkStart w:id="9" w:name="_Toc10897"/>
      <w:r>
        <w:rPr>
          <w:rFonts w:ascii="Times New Roman"/>
          <w:color w:val="000000" w:themeColor="text1"/>
          <w:sz w:val="28"/>
          <w:szCs w:val="28"/>
          <w14:textFill>
            <w14:solidFill>
              <w14:schemeClr w14:val="tx1"/>
            </w14:solidFill>
          </w14:textFill>
        </w:rPr>
        <w:t>2 标准</w:t>
      </w:r>
      <w:r>
        <w:rPr>
          <w:rFonts w:hint="eastAsia" w:ascii="Times New Roman"/>
          <w:color w:val="000000" w:themeColor="text1"/>
          <w:sz w:val="28"/>
          <w:szCs w:val="28"/>
          <w:lang w:val="en-US" w:eastAsia="zh-CN"/>
          <w14:textFill>
            <w14:solidFill>
              <w14:schemeClr w14:val="tx1"/>
            </w14:solidFill>
          </w14:textFill>
        </w:rPr>
        <w:t>修订</w:t>
      </w:r>
      <w:r>
        <w:rPr>
          <w:rFonts w:ascii="Times New Roman"/>
          <w:color w:val="000000" w:themeColor="text1"/>
          <w:sz w:val="28"/>
          <w:szCs w:val="28"/>
          <w14:textFill>
            <w14:solidFill>
              <w14:schemeClr w14:val="tx1"/>
            </w14:solidFill>
          </w14:textFill>
        </w:rPr>
        <w:t>的原则和主要内容</w:t>
      </w:r>
      <w:bookmarkEnd w:id="9"/>
    </w:p>
    <w:p w14:paraId="3715AB58">
      <w:pPr>
        <w:pStyle w:val="29"/>
        <w:spacing w:before="163" w:beforeLines="50" w:after="163" w:afterLines="50" w:line="500" w:lineRule="exact"/>
        <w:rPr>
          <w:color w:val="000000" w:themeColor="text1"/>
          <w:sz w:val="24"/>
          <w:szCs w:val="24"/>
          <w14:textFill>
            <w14:solidFill>
              <w14:schemeClr w14:val="tx1"/>
            </w14:solidFill>
          </w14:textFill>
        </w:rPr>
      </w:pPr>
      <w:bookmarkStart w:id="10" w:name="_Toc3975"/>
      <w:bookmarkStart w:id="11" w:name="_Toc12672"/>
      <w:r>
        <w:rPr>
          <w:color w:val="000000" w:themeColor="text1"/>
          <w:sz w:val="24"/>
          <w:szCs w:val="24"/>
          <w14:textFill>
            <w14:solidFill>
              <w14:schemeClr w14:val="tx1"/>
            </w14:solidFill>
          </w14:textFill>
        </w:rPr>
        <w:t>2.1 标准</w:t>
      </w:r>
      <w:r>
        <w:rPr>
          <w:rFonts w:hint="eastAsia"/>
          <w:color w:val="000000" w:themeColor="text1"/>
          <w:sz w:val="24"/>
          <w:szCs w:val="24"/>
          <w:lang w:val="en-US" w:eastAsia="zh-CN"/>
          <w14:textFill>
            <w14:solidFill>
              <w14:schemeClr w14:val="tx1"/>
            </w14:solidFill>
          </w14:textFill>
        </w:rPr>
        <w:t>修订</w:t>
      </w:r>
      <w:r>
        <w:rPr>
          <w:color w:val="000000" w:themeColor="text1"/>
          <w:sz w:val="24"/>
          <w:szCs w:val="24"/>
          <w14:textFill>
            <w14:solidFill>
              <w14:schemeClr w14:val="tx1"/>
            </w14:solidFill>
          </w14:textFill>
        </w:rPr>
        <w:t>的原则</w:t>
      </w:r>
      <w:bookmarkEnd w:id="10"/>
      <w:bookmarkEnd w:id="11"/>
    </w:p>
    <w:p w14:paraId="3CD490FD">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w:t>
      </w:r>
      <w:r>
        <w:rPr>
          <w:color w:val="000000" w:themeColor="text1"/>
          <w14:textFill>
            <w14:solidFill>
              <w14:schemeClr w14:val="tx1"/>
            </w14:solidFill>
          </w14:textFill>
        </w:rPr>
        <w:t>标准</w:t>
      </w:r>
      <w:r>
        <w:rPr>
          <w:rFonts w:hint="eastAsia"/>
          <w:color w:val="000000" w:themeColor="text1"/>
          <w14:textFill>
            <w14:solidFill>
              <w14:schemeClr w14:val="tx1"/>
            </w14:solidFill>
          </w14:textFill>
        </w:rPr>
        <w:t>按GB</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T</w:t>
      </w:r>
      <w:r>
        <w:rPr>
          <w:color w:val="000000" w:themeColor="text1"/>
          <w14:textFill>
            <w14:solidFill>
              <w14:schemeClr w14:val="tx1"/>
            </w14:solidFill>
          </w14:textFill>
        </w:rPr>
        <w:t xml:space="preserve"> 1.1-2020</w:t>
      </w:r>
      <w:r>
        <w:rPr>
          <w:rFonts w:hint="eastAsia"/>
          <w:color w:val="000000" w:themeColor="text1"/>
          <w14:textFill>
            <w14:solidFill>
              <w14:schemeClr w14:val="tx1"/>
            </w14:solidFill>
          </w14:textFill>
        </w:rPr>
        <w:t>《标准化工作导则 第1部分：标准化文件的结构和起草规则》编制</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符合国家现行法律、法规政策文件要求。</w:t>
      </w:r>
    </w:p>
    <w:p w14:paraId="26D04F2F">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修订</w:t>
      </w:r>
      <w:r>
        <w:rPr>
          <w:rFonts w:hint="eastAsia"/>
          <w:color w:val="000000" w:themeColor="text1"/>
          <w14:textFill>
            <w14:solidFill>
              <w14:schemeClr w14:val="tx1"/>
            </w14:solidFill>
          </w14:textFill>
        </w:rPr>
        <w:t>过程中遵循以下原则：</w:t>
      </w:r>
    </w:p>
    <w:p w14:paraId="6DA51594">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科学性与先进性：结合当前木材防腐领域的最新研究成果和技术发展，对标准内容进行更新和完善，确保标准的技术水平处于行业领先地位。</w:t>
      </w:r>
    </w:p>
    <w:p w14:paraId="73B99D46">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实用性与可操作性：充分考虑行业实际应用需求，确保标准中的各项条款清晰明确、易于理解和执行，便于企业和检测机构在实际操作中应用。</w:t>
      </w:r>
    </w:p>
    <w:p w14:paraId="45C82AB5">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协调性与一致性：与相关国家标准和行业标准保持协调一致，避免出现冲突或重复，确保整个标准</w:t>
      </w:r>
      <w:r>
        <w:rPr>
          <w:rFonts w:hint="eastAsia" w:eastAsiaTheme="minorEastAsia"/>
          <w:color w:val="000000" w:themeColor="text1"/>
          <w:szCs w:val="28"/>
          <w14:textFill>
            <w14:solidFill>
              <w14:schemeClr w14:val="tx1"/>
            </w14:solidFill>
          </w14:textFill>
        </w:rPr>
        <w:t>体系</w:t>
      </w:r>
      <w:r>
        <w:rPr>
          <w:rFonts w:hint="eastAsia"/>
          <w:color w:val="000000" w:themeColor="text1"/>
          <w14:textFill>
            <w14:solidFill>
              <w14:schemeClr w14:val="tx1"/>
            </w14:solidFill>
          </w14:textFill>
        </w:rPr>
        <w:t>的完整性和统一性。</w:t>
      </w:r>
    </w:p>
    <w:p w14:paraId="2300387B">
      <w:pPr>
        <w:pStyle w:val="29"/>
        <w:spacing w:before="163" w:beforeLines="50" w:after="163" w:afterLines="50" w:line="500" w:lineRule="exact"/>
        <w:rPr>
          <w:rFonts w:hint="eastAsia"/>
          <w:color w:val="000000" w:themeColor="text1"/>
          <w:sz w:val="24"/>
          <w:szCs w:val="24"/>
          <w14:textFill>
            <w14:solidFill>
              <w14:schemeClr w14:val="tx1"/>
            </w14:solidFill>
          </w14:textFill>
        </w:rPr>
      </w:pPr>
      <w:bookmarkStart w:id="12" w:name="_Toc20896"/>
      <w:bookmarkStart w:id="13" w:name="_Toc21477"/>
      <w:r>
        <w:rPr>
          <w:rFonts w:hint="eastAsia"/>
          <w:color w:val="000000" w:themeColor="text1"/>
          <w:sz w:val="24"/>
          <w:szCs w:val="24"/>
          <w14:textFill>
            <w14:solidFill>
              <w14:schemeClr w14:val="tx1"/>
            </w14:solidFill>
          </w14:textFill>
        </w:rPr>
        <w:t>2.2 标准</w:t>
      </w:r>
      <w:r>
        <w:rPr>
          <w:rFonts w:hint="eastAsia"/>
          <w:color w:val="000000" w:themeColor="text1"/>
          <w:sz w:val="24"/>
          <w:szCs w:val="24"/>
          <w:lang w:val="en-US" w:eastAsia="zh-CN"/>
          <w14:textFill>
            <w14:solidFill>
              <w14:schemeClr w14:val="tx1"/>
            </w14:solidFill>
          </w14:textFill>
        </w:rPr>
        <w:t>修订</w:t>
      </w:r>
      <w:r>
        <w:rPr>
          <w:rFonts w:hint="eastAsia"/>
          <w:color w:val="000000" w:themeColor="text1"/>
          <w:sz w:val="24"/>
          <w:szCs w:val="24"/>
          <w14:textFill>
            <w14:solidFill>
              <w14:schemeClr w14:val="tx1"/>
            </w14:solidFill>
          </w14:textFill>
        </w:rPr>
        <w:t>的主要内容</w:t>
      </w:r>
      <w:bookmarkEnd w:id="12"/>
      <w:bookmarkEnd w:id="13"/>
    </w:p>
    <w:p w14:paraId="07EE083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（一）试件尺寸要求</w:t>
      </w:r>
    </w:p>
    <w:p w14:paraId="3F0F127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原标准：试件规格为600mm（长）×150mm（宽）×板厚。</w:t>
      </w:r>
    </w:p>
    <w:p w14:paraId="28CF4DD9">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修订后标准：试件尺寸为长度=20×板厚+50 mm，宽=50 mm，厚度=板厚，共6块。</w:t>
      </w:r>
    </w:p>
    <w:p w14:paraId="5826E5C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修订原因：调整试件尺寸以更好地适应不同厚度的地板材料，尤其是木塑复合地板的测试需求。</w:t>
      </w:r>
    </w:p>
    <w:p w14:paraId="0DE4AC53">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（二）对照样品要求</w:t>
      </w:r>
    </w:p>
    <w:p w14:paraId="642CA4B6">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原标准：对照试件为经过CCA或ACQ防腐处理的南方松或相近材种。</w:t>
      </w:r>
    </w:p>
    <w:p w14:paraId="17ABB399">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修订后标准：户外用木质地板和户外用竹地板的对照试件为经过防腐处理的南方松或相近材种；户外用木塑地板的对照试件为同批次产品。</w:t>
      </w:r>
    </w:p>
    <w:p w14:paraId="33ACE7C4">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修订原因：明确不同类型地板的对照样品要求，以提高试验结果的可比性和准确性。</w:t>
      </w:r>
    </w:p>
    <w:p w14:paraId="1C798A41">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（三）样品标识安装要求</w:t>
      </w:r>
    </w:p>
    <w:p w14:paraId="4F0F12DE">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原标准：未明确规定标识安装的具体要求。</w:t>
      </w:r>
    </w:p>
    <w:p w14:paraId="1EBF2E8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修订后标准：增加了样品标识安装要求，标识应位于下侧面，以降低标识老化的影响。</w:t>
      </w:r>
    </w:p>
    <w:p w14:paraId="7AF90B98">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修订原因：确保标识在整个试验周期内的可辨认性，避免因标识老化导致的试验误差。</w:t>
      </w:r>
    </w:p>
    <w:p w14:paraId="4799B0D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（四）表面状况评价要求</w:t>
      </w:r>
    </w:p>
    <w:p w14:paraId="154FB61C">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原标准：表面状况评价包括颜色变化、涂层老化、腐变、蓝变等。</w:t>
      </w:r>
    </w:p>
    <w:p w14:paraId="0A7CDDC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修订后标准：增加了胶层老化、霉变、虫蛀、裂纹等内容，并对评价方法进行了细化。</w:t>
      </w:r>
    </w:p>
    <w:p w14:paraId="232F907E">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修订原因：完善表面状况评价内容，使其更全面地反映地板在户外环境中的耐久性表现。</w:t>
      </w:r>
    </w:p>
    <w:p w14:paraId="53F05904">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（五）试验终止条件</w:t>
      </w:r>
    </w:p>
    <w:p w14:paraId="59BAF58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原标准：所有试件腐朽（蛀蚀）分级值低于6时，可终止试验。</w:t>
      </w:r>
    </w:p>
    <w:p w14:paraId="50938469">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修订后标准：增加了试验人员可根据预期目的提前终止试验的条件。</w:t>
      </w:r>
    </w:p>
    <w:p w14:paraId="5827C0D0">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修订原因：赋予试验人员更大的灵活性，使其能够根据实际需求调整试验周期。</w:t>
      </w:r>
    </w:p>
    <w:p w14:paraId="6BC969F4">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（六）试验结果处理</w:t>
      </w:r>
    </w:p>
    <w:p w14:paraId="49015D13">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原标准：试验结果以图表形式表示，仅计算平均值和标准偏差。</w:t>
      </w:r>
    </w:p>
    <w:p w14:paraId="00DB48B6">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修订后标准：增加了试验报告中应包含的信息内容，如气象记录、安装细节描述等，并要求对试验结果进行更详细的统计分析。</w:t>
      </w:r>
    </w:p>
    <w:p w14:paraId="093D17FE">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修订原因：提高试验报告的完整性和可追溯性，便于对试验结果进行深入分析和应用。</w:t>
      </w:r>
    </w:p>
    <w:p w14:paraId="3286CB0D">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（七）新增内容</w:t>
      </w:r>
    </w:p>
    <w:p w14:paraId="2ABD110E">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修订后标准：增加了实验室试验方法。</w:t>
      </w:r>
    </w:p>
    <w:p w14:paraId="6BFC13AE">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为了更快速、直接的获得耐久性测试结果，需要通过构建单一、高强度的特定环境（如微生物、白蚁、紫外照射等作用条件），对户外用木质地板耐久性进行测试</w:t>
      </w:r>
      <w:r>
        <w:rPr>
          <w:rFonts w:eastAsiaTheme="minorEastAsia"/>
          <w:color w:val="000000" w:themeColor="text1"/>
          <w:szCs w:val="28"/>
          <w:lang w:val="en-US" w:eastAsia="zh-CN"/>
          <w14:textFill>
            <w14:solidFill>
              <w14:schemeClr w14:val="tx1"/>
            </w14:solidFill>
          </w14:textFill>
        </w:rPr>
        <w:t>。</w:t>
      </w:r>
    </w:p>
    <w:p w14:paraId="3D077CA6">
      <w:pPr>
        <w:pStyle w:val="28"/>
        <w:spacing w:before="326" w:beforeLines="100" w:after="326" w:afterLines="100"/>
        <w:rPr>
          <w:rFonts w:ascii="Times New Roman"/>
          <w:color w:val="000000" w:themeColor="text1"/>
          <w:sz w:val="28"/>
          <w:szCs w:val="28"/>
          <w14:textFill>
            <w14:solidFill>
              <w14:schemeClr w14:val="tx1"/>
            </w14:solidFill>
          </w14:textFill>
        </w:rPr>
      </w:pPr>
      <w:bookmarkStart w:id="14" w:name="_Toc26386"/>
      <w:r>
        <w:rPr>
          <w:rFonts w:hint="eastAsia" w:ascii="Times New Roman"/>
          <w:color w:val="000000" w:themeColor="text1"/>
          <w:sz w:val="28"/>
          <w:szCs w:val="28"/>
          <w:lang w:val="en-US" w:eastAsia="zh-CN"/>
          <w14:textFill>
            <w14:solidFill>
              <w14:schemeClr w14:val="tx1"/>
            </w14:solidFill>
          </w14:textFill>
        </w:rPr>
        <w:t>3</w:t>
      </w:r>
      <w:r>
        <w:rPr>
          <w:rFonts w:ascii="Times New Roman"/>
          <w:color w:val="000000" w:themeColor="text1"/>
          <w:sz w:val="28"/>
          <w:szCs w:val="28"/>
          <w14:textFill>
            <w14:solidFill>
              <w14:schemeClr w14:val="tx1"/>
            </w14:solidFill>
          </w14:textFill>
        </w:rPr>
        <w:t xml:space="preserve"> 标准中涉及专利</w:t>
      </w:r>
      <w:r>
        <w:rPr>
          <w:rFonts w:hint="eastAsia" w:ascii="Times New Roman"/>
          <w:color w:val="000000" w:themeColor="text1"/>
          <w:sz w:val="28"/>
          <w:szCs w:val="28"/>
          <w14:textFill>
            <w14:solidFill>
              <w14:schemeClr w14:val="tx1"/>
            </w14:solidFill>
          </w14:textFill>
        </w:rPr>
        <w:t>、知识产权</w:t>
      </w:r>
      <w:r>
        <w:rPr>
          <w:rFonts w:ascii="Times New Roman"/>
          <w:color w:val="000000" w:themeColor="text1"/>
          <w:sz w:val="28"/>
          <w:szCs w:val="28"/>
          <w14:textFill>
            <w14:solidFill>
              <w14:schemeClr w14:val="tx1"/>
            </w14:solidFill>
          </w14:textFill>
        </w:rPr>
        <w:t>情况说明</w:t>
      </w:r>
      <w:bookmarkEnd w:id="14"/>
    </w:p>
    <w:p w14:paraId="6345C7CA">
      <w:pPr>
        <w:spacing w:line="360" w:lineRule="auto"/>
        <w:ind w:firstLine="480"/>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经检索，本标准所列技术内容没有涉及专利和知识产权的情况。</w:t>
      </w:r>
    </w:p>
    <w:p w14:paraId="04CAECBA">
      <w:pPr>
        <w:pStyle w:val="28"/>
        <w:spacing w:before="326" w:beforeLines="100" w:after="326" w:afterLines="100"/>
        <w:rPr>
          <w:rFonts w:ascii="Times New Roman"/>
          <w:color w:val="000000" w:themeColor="text1"/>
          <w:sz w:val="28"/>
          <w:szCs w:val="28"/>
          <w14:textFill>
            <w14:solidFill>
              <w14:schemeClr w14:val="tx1"/>
            </w14:solidFill>
          </w14:textFill>
        </w:rPr>
      </w:pPr>
      <w:bookmarkStart w:id="15" w:name="_Toc18297"/>
      <w:r>
        <w:rPr>
          <w:rFonts w:hint="eastAsia" w:ascii="Times New Roman"/>
          <w:color w:val="000000" w:themeColor="text1"/>
          <w:sz w:val="28"/>
          <w:szCs w:val="28"/>
          <w:lang w:val="en-US" w:eastAsia="zh-CN"/>
          <w14:textFill>
            <w14:solidFill>
              <w14:schemeClr w14:val="tx1"/>
            </w14:solidFill>
          </w14:textFill>
        </w:rPr>
        <w:t>4</w:t>
      </w:r>
      <w:r>
        <w:rPr>
          <w:rFonts w:ascii="Times New Roman"/>
          <w:color w:val="000000" w:themeColor="text1"/>
          <w:sz w:val="28"/>
          <w:szCs w:val="28"/>
          <w14:textFill>
            <w14:solidFill>
              <w14:schemeClr w14:val="tx1"/>
            </w14:solidFill>
          </w14:textFill>
        </w:rPr>
        <w:t xml:space="preserve"> </w:t>
      </w:r>
      <w:r>
        <w:rPr>
          <w:rFonts w:hint="eastAsia" w:ascii="Times New Roman"/>
          <w:color w:val="000000" w:themeColor="text1"/>
          <w:sz w:val="28"/>
          <w:szCs w:val="28"/>
          <w14:textFill>
            <w14:solidFill>
              <w14:schemeClr w14:val="tx1"/>
            </w14:solidFill>
          </w14:textFill>
        </w:rPr>
        <w:t>产业化情况、推广应用论证和预期达到的经济效果等情况；</w:t>
      </w:r>
      <w:bookmarkEnd w:id="15"/>
    </w:p>
    <w:p w14:paraId="2EC03C24">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本标准的修订将对防腐木材及木材防腐剂行业产生积极影响：</w:t>
      </w:r>
    </w:p>
    <w:p w14:paraId="42B03687">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提高产品质量：通过更加科学、</w:t>
      </w:r>
      <w:r>
        <w:rPr>
          <w:rFonts w:hint="eastAsia"/>
          <w:color w:val="000000" w:themeColor="text1"/>
          <w:lang w:val="en-US" w:eastAsia="zh-CN"/>
          <w14:textFill>
            <w14:solidFill>
              <w14:schemeClr w14:val="tx1"/>
            </w14:solidFill>
          </w14:textFill>
        </w:rPr>
        <w:t>高效的检测</w:t>
      </w:r>
      <w:r>
        <w:rPr>
          <w:rFonts w:hint="eastAsia"/>
          <w:color w:val="000000" w:themeColor="text1"/>
          <w14:textFill>
            <w14:solidFill>
              <w14:schemeClr w14:val="tx1"/>
            </w14:solidFill>
          </w14:textFill>
        </w:rPr>
        <w:t>方法，能够更准确地检测</w:t>
      </w:r>
      <w:r>
        <w:rPr>
          <w:rFonts w:hint="eastAsia"/>
          <w:color w:val="000000" w:themeColor="text1"/>
          <w:lang w:val="en-US" w:eastAsia="zh-CN"/>
          <w14:textFill>
            <w14:solidFill>
              <w14:schemeClr w14:val="tx1"/>
            </w14:solidFill>
          </w14:textFill>
        </w:rPr>
        <w:t>户外地板</w:t>
      </w:r>
      <w:r>
        <w:rPr>
          <w:rFonts w:hint="eastAsia"/>
          <w:color w:val="000000" w:themeColor="text1"/>
          <w14:textFill>
            <w14:solidFill>
              <w14:schemeClr w14:val="tx1"/>
            </w14:solidFill>
          </w14:textFill>
        </w:rPr>
        <w:t>的</w:t>
      </w:r>
      <w:r>
        <w:rPr>
          <w:rFonts w:hint="eastAsia"/>
          <w:color w:val="000000" w:themeColor="text1"/>
          <w:lang w:val="en-US" w:eastAsia="zh-CN"/>
          <w14:textFill>
            <w14:solidFill>
              <w14:schemeClr w14:val="tx1"/>
            </w14:solidFill>
          </w14:textFill>
        </w:rPr>
        <w:t>耐久性</w:t>
      </w:r>
      <w:r>
        <w:rPr>
          <w:rFonts w:hint="eastAsia"/>
          <w:color w:val="000000" w:themeColor="text1"/>
          <w14:textFill>
            <w14:solidFill>
              <w14:schemeClr w14:val="tx1"/>
            </w14:solidFill>
          </w14:textFill>
        </w:rPr>
        <w:t>，从而为产品质量控制提供有力保障。</w:t>
      </w:r>
    </w:p>
    <w:p w14:paraId="31B61DBC">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保障人身安全：</w:t>
      </w:r>
      <w:r>
        <w:rPr>
          <w:rFonts w:hint="eastAsia"/>
          <w:color w:val="000000" w:themeColor="text1"/>
          <w:lang w:val="en-US" w:eastAsia="zh-CN"/>
          <w14:textFill>
            <w14:solidFill>
              <w14:schemeClr w14:val="tx1"/>
            </w14:solidFill>
          </w14:textFill>
        </w:rPr>
        <w:t>提升户外产品的耐久性，保证户外用地板产品寿命，保障消费者人身安全</w:t>
      </w:r>
      <w:r>
        <w:rPr>
          <w:rFonts w:hint="eastAsia"/>
          <w:color w:val="000000" w:themeColor="text1"/>
          <w14:textFill>
            <w14:solidFill>
              <w14:schemeClr w14:val="tx1"/>
            </w14:solidFill>
          </w14:textFill>
        </w:rPr>
        <w:t>。</w:t>
      </w:r>
    </w:p>
    <w:p w14:paraId="5E0E9AF6">
      <w:pPr>
        <w:spacing w:line="360" w:lineRule="auto"/>
        <w:ind w:firstLine="495"/>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促进行业发展：标准的修订将推动行业技术进步，提升行业整体水平，增强我国</w:t>
      </w:r>
      <w:r>
        <w:rPr>
          <w:rFonts w:hint="eastAsia"/>
          <w:color w:val="000000" w:themeColor="text1"/>
          <w:lang w:val="en-US" w:eastAsia="zh-CN"/>
          <w14:textFill>
            <w14:solidFill>
              <w14:schemeClr w14:val="tx1"/>
            </w14:solidFill>
          </w14:textFill>
        </w:rPr>
        <w:t>户外地板</w:t>
      </w:r>
      <w:r>
        <w:rPr>
          <w:rFonts w:hint="eastAsia"/>
          <w:color w:val="000000" w:themeColor="text1"/>
          <w14:textFill>
            <w14:solidFill>
              <w14:schemeClr w14:val="tx1"/>
            </w14:solidFill>
          </w14:textFill>
        </w:rPr>
        <w:t>产品在国际市场上的竞争力。</w:t>
      </w:r>
    </w:p>
    <w:p w14:paraId="4D675133">
      <w:pPr>
        <w:pStyle w:val="28"/>
        <w:spacing w:before="326" w:beforeLines="100" w:after="326" w:afterLines="100"/>
        <w:rPr>
          <w:rFonts w:ascii="Times New Roman"/>
          <w:color w:val="000000" w:themeColor="text1"/>
          <w:sz w:val="28"/>
          <w:szCs w:val="28"/>
          <w14:textFill>
            <w14:solidFill>
              <w14:schemeClr w14:val="tx1"/>
            </w14:solidFill>
          </w14:textFill>
        </w:rPr>
      </w:pPr>
      <w:bookmarkStart w:id="16" w:name="_Toc26690"/>
      <w:r>
        <w:rPr>
          <w:rFonts w:hint="eastAsia" w:ascii="Times New Roman"/>
          <w:color w:val="000000" w:themeColor="text1"/>
          <w:sz w:val="28"/>
          <w:szCs w:val="28"/>
          <w:lang w:val="en-US" w:eastAsia="zh-CN"/>
          <w14:textFill>
            <w14:solidFill>
              <w14:schemeClr w14:val="tx1"/>
            </w14:solidFill>
          </w14:textFill>
        </w:rPr>
        <w:t>5</w:t>
      </w:r>
      <w:r>
        <w:rPr>
          <w:rFonts w:ascii="Times New Roman"/>
          <w:color w:val="000000" w:themeColor="text1"/>
          <w:sz w:val="28"/>
          <w:szCs w:val="28"/>
          <w14:textFill>
            <w14:solidFill>
              <w14:schemeClr w14:val="tx1"/>
            </w14:solidFill>
          </w14:textFill>
        </w:rPr>
        <w:t xml:space="preserve"> 采用国际标准</w:t>
      </w:r>
      <w:r>
        <w:rPr>
          <w:rFonts w:hint="eastAsia" w:ascii="Times New Roman"/>
          <w:color w:val="000000" w:themeColor="text1"/>
          <w:sz w:val="28"/>
          <w:szCs w:val="28"/>
          <w14:textFill>
            <w14:solidFill>
              <w14:schemeClr w14:val="tx1"/>
            </w14:solidFill>
          </w14:textFill>
        </w:rPr>
        <w:t>，与国际、国外同类标准水平的对比情况，国内外关键指标对比分析或与测试的国外样品、样机的相关数据对比情况；</w:t>
      </w:r>
      <w:bookmarkEnd w:id="16"/>
    </w:p>
    <w:p w14:paraId="4F8DF95A">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在标准修订过程中对比了相关国际标准，未发现同类标准</w:t>
      </w:r>
      <w:r>
        <w:rPr>
          <w:rFonts w:hint="eastAsia"/>
          <w:color w:val="000000" w:themeColor="text1"/>
          <w14:textFill>
            <w14:solidFill>
              <w14:schemeClr w14:val="tx1"/>
            </w14:solidFill>
          </w14:textFill>
        </w:rPr>
        <w:t>。主要</w:t>
      </w:r>
      <w:r>
        <w:rPr>
          <w:rFonts w:hint="eastAsia"/>
          <w:color w:val="000000" w:themeColor="text1"/>
          <w:lang w:val="en-US" w:eastAsia="zh-CN"/>
          <w14:textFill>
            <w14:solidFill>
              <w14:schemeClr w14:val="tx1"/>
            </w14:solidFill>
          </w14:textFill>
        </w:rPr>
        <w:t>检索对比</w:t>
      </w:r>
      <w:r>
        <w:rPr>
          <w:rFonts w:hint="eastAsia"/>
          <w:color w:val="000000" w:themeColor="text1"/>
          <w14:textFill>
            <w14:solidFill>
              <w14:schemeClr w14:val="tx1"/>
            </w14:solidFill>
          </w14:textFill>
        </w:rPr>
        <w:t>标准如下：</w:t>
      </w:r>
    </w:p>
    <w:p w14:paraId="5FB174AE">
      <w:pPr>
        <w:keepNext w:val="0"/>
        <w:keepLines w:val="0"/>
        <w:widowControl/>
        <w:numPr>
          <w:ilvl w:val="0"/>
          <w:numId w:val="8"/>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ISO 11507:2007</w:t>
      </w:r>
      <w:r>
        <w:rPr>
          <w:rFonts w:hint="eastAsia" w:ascii="宋体" w:hAnsi="宋体" w:eastAsia="宋体" w:cs="宋体"/>
          <w:kern w:val="0"/>
          <w:sz w:val="24"/>
          <w:szCs w:val="24"/>
          <w:lang w:val="en-US" w:eastAsia="zh-CN" w:bidi="ar"/>
        </w:rPr>
        <w:t xml:space="preserve"> </w:t>
      </w:r>
      <w:r>
        <w:rPr>
          <w:rFonts w:hint="default" w:ascii="宋体" w:hAnsi="宋体" w:eastAsia="宋体" w:cs="宋体"/>
          <w:kern w:val="0"/>
          <w:sz w:val="24"/>
          <w:szCs w:val="24"/>
          <w:lang w:val="en-US" w:eastAsia="zh-CN" w:bidi="ar"/>
        </w:rPr>
        <w:t>《Paints and varnishes – Exposure of coatings to artificial weathering》（色漆和清漆 – 涂层人工气候老化暴露试验）</w:t>
      </w:r>
    </w:p>
    <w:p w14:paraId="0EBBB3ED">
      <w:pPr>
        <w:keepNext w:val="0"/>
        <w:keepLines w:val="0"/>
        <w:widowControl/>
        <w:numPr>
          <w:ilvl w:val="0"/>
          <w:numId w:val="8"/>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ASTM D1037-12(2020)《Standard Test Methods for Evaluating Properties of Wood-Base Fiber and Particle Panel Materials》（评估木基纤维和刨花板材料性能的标准试验方法）</w:t>
      </w:r>
    </w:p>
    <w:p w14:paraId="78376AC9">
      <w:pPr>
        <w:keepNext w:val="0"/>
        <w:keepLines w:val="0"/>
        <w:widowControl/>
        <w:numPr>
          <w:ilvl w:val="0"/>
          <w:numId w:val="8"/>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EN 335:2013</w:t>
      </w:r>
      <w:r>
        <w:rPr>
          <w:rFonts w:hint="eastAsia" w:ascii="宋体" w:hAnsi="宋体" w:eastAsia="宋体" w:cs="宋体"/>
          <w:kern w:val="0"/>
          <w:sz w:val="24"/>
          <w:szCs w:val="24"/>
          <w:lang w:val="en-US" w:eastAsia="zh-CN" w:bidi="ar"/>
        </w:rPr>
        <w:t xml:space="preserve"> </w:t>
      </w:r>
      <w:r>
        <w:rPr>
          <w:rFonts w:hint="default" w:ascii="宋体" w:hAnsi="宋体" w:eastAsia="宋体" w:cs="宋体"/>
          <w:kern w:val="0"/>
          <w:sz w:val="24"/>
          <w:szCs w:val="24"/>
          <w:lang w:val="en-US" w:eastAsia="zh-CN" w:bidi="ar"/>
        </w:rPr>
        <w:t>《Durability of wood and wood-based products – Use classes: definitions, application to solid wood and wood-based products》（木材及木基产品的耐久性 – 使用类别：定义、实木及木基产品的应用）</w:t>
      </w:r>
    </w:p>
    <w:p w14:paraId="79A7B5BF">
      <w:pPr>
        <w:pStyle w:val="28"/>
        <w:spacing w:before="326" w:beforeLines="100" w:after="326" w:afterLines="100"/>
        <w:rPr>
          <w:rFonts w:ascii="Times New Roman"/>
          <w:color w:val="000000" w:themeColor="text1"/>
          <w:sz w:val="28"/>
          <w:szCs w:val="28"/>
          <w14:textFill>
            <w14:solidFill>
              <w14:schemeClr w14:val="tx1"/>
            </w14:solidFill>
          </w14:textFill>
        </w:rPr>
      </w:pPr>
      <w:bookmarkStart w:id="17" w:name="_Toc4955"/>
      <w:r>
        <w:rPr>
          <w:rFonts w:hint="eastAsia" w:ascii="Times New Roman"/>
          <w:color w:val="000000" w:themeColor="text1"/>
          <w:sz w:val="28"/>
          <w:szCs w:val="28"/>
          <w:lang w:val="en-US" w:eastAsia="zh-CN"/>
          <w14:textFill>
            <w14:solidFill>
              <w14:schemeClr w14:val="tx1"/>
            </w14:solidFill>
          </w14:textFill>
        </w:rPr>
        <w:t>6</w:t>
      </w:r>
      <w:r>
        <w:rPr>
          <w:rFonts w:ascii="Times New Roman"/>
          <w:color w:val="000000" w:themeColor="text1"/>
          <w:sz w:val="28"/>
          <w:szCs w:val="28"/>
          <w14:textFill>
            <w14:solidFill>
              <w14:schemeClr w14:val="tx1"/>
            </w14:solidFill>
          </w14:textFill>
        </w:rPr>
        <w:t xml:space="preserve"> 与现行相关法律、法规、规章及相关标准</w:t>
      </w:r>
      <w:r>
        <w:rPr>
          <w:rFonts w:hint="eastAsia" w:ascii="Times New Roman"/>
          <w:color w:val="000000" w:themeColor="text1"/>
          <w:sz w:val="28"/>
          <w:szCs w:val="28"/>
          <w14:textFill>
            <w14:solidFill>
              <w14:schemeClr w14:val="tx1"/>
            </w14:solidFill>
          </w14:textFill>
        </w:rPr>
        <w:t>，特别是强制性标准</w:t>
      </w:r>
      <w:r>
        <w:rPr>
          <w:rFonts w:ascii="Times New Roman"/>
          <w:color w:val="000000" w:themeColor="text1"/>
          <w:sz w:val="28"/>
          <w:szCs w:val="28"/>
          <w14:textFill>
            <w14:solidFill>
              <w14:schemeClr w14:val="tx1"/>
            </w14:solidFill>
          </w14:textFill>
        </w:rPr>
        <w:t>的协调</w:t>
      </w:r>
      <w:r>
        <w:rPr>
          <w:rFonts w:hint="eastAsia" w:ascii="Times New Roman"/>
          <w:color w:val="000000" w:themeColor="text1"/>
          <w:sz w:val="28"/>
          <w:szCs w:val="28"/>
          <w14:textFill>
            <w14:solidFill>
              <w14:schemeClr w14:val="tx1"/>
            </w14:solidFill>
          </w14:textFill>
        </w:rPr>
        <w:t>性</w:t>
      </w:r>
      <w:bookmarkEnd w:id="17"/>
    </w:p>
    <w:p w14:paraId="14C164E4">
      <w:pPr>
        <w:spacing w:line="360" w:lineRule="auto"/>
        <w:ind w:firstLine="495"/>
        <w:jc w:val="both"/>
        <w:rPr>
          <w:rFonts w:hint="eastAsia"/>
          <w:color w:val="000000" w:themeColor="text1"/>
          <w14:textFill>
            <w14:solidFill>
              <w14:schemeClr w14:val="tx1"/>
            </w14:solidFill>
          </w14:textFill>
        </w:rPr>
      </w:pPr>
      <w:r>
        <w:rPr>
          <w:color w:val="000000" w:themeColor="text1"/>
          <w14:textFill>
            <w14:solidFill>
              <w14:schemeClr w14:val="tx1"/>
            </w14:solidFill>
          </w14:textFill>
        </w:rPr>
        <w:t>目前</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我国</w:t>
      </w:r>
      <w:r>
        <w:rPr>
          <w:rFonts w:hint="eastAsia"/>
          <w:color w:val="000000" w:themeColor="text1"/>
          <w:lang w:val="en-US" w:eastAsia="zh-CN"/>
          <w14:textFill>
            <w14:solidFill>
              <w14:schemeClr w14:val="tx1"/>
            </w14:solidFill>
          </w14:textFill>
        </w:rPr>
        <w:t>标准对户外用地板</w:t>
      </w:r>
      <w:r>
        <w:rPr>
          <w:color w:val="000000" w:themeColor="text1"/>
          <w14:textFill>
            <w14:solidFill>
              <w14:schemeClr w14:val="tx1"/>
            </w14:solidFill>
          </w14:textFill>
        </w:rPr>
        <w:t>提出了相关要求</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但未对耐久性提出明确的测试方法</w:t>
      </w:r>
      <w:r>
        <w:rPr>
          <w:rFonts w:hint="eastAsia"/>
          <w:color w:val="000000" w:themeColor="text1"/>
          <w14:textFill>
            <w14:solidFill>
              <w14:schemeClr w14:val="tx1"/>
            </w14:solidFill>
          </w14:textFill>
        </w:rPr>
        <w:t>。主要</w:t>
      </w:r>
      <w:r>
        <w:rPr>
          <w:rFonts w:hint="eastAsia"/>
          <w:color w:val="000000" w:themeColor="text1"/>
          <w:lang w:val="en-US" w:eastAsia="zh-CN"/>
          <w14:textFill>
            <w14:solidFill>
              <w14:schemeClr w14:val="tx1"/>
            </w14:solidFill>
          </w14:textFill>
        </w:rPr>
        <w:t>检索对比</w:t>
      </w:r>
      <w:r>
        <w:rPr>
          <w:rFonts w:hint="eastAsia"/>
          <w:color w:val="000000" w:themeColor="text1"/>
          <w14:textFill>
            <w14:solidFill>
              <w14:schemeClr w14:val="tx1"/>
            </w14:solidFill>
          </w14:textFill>
        </w:rPr>
        <w:t>标准如下：</w:t>
      </w:r>
    </w:p>
    <w:p w14:paraId="2E6C209C">
      <w:pPr>
        <w:keepNext w:val="0"/>
        <w:keepLines w:val="0"/>
        <w:widowControl/>
        <w:numPr>
          <w:ilvl w:val="0"/>
          <w:numId w:val="0"/>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国内标准：</w:t>
      </w:r>
    </w:p>
    <w:p w14:paraId="79945A7B">
      <w:pPr>
        <w:keepNext w:val="0"/>
        <w:keepLines w:val="0"/>
        <w:widowControl/>
        <w:numPr>
          <w:ilvl w:val="0"/>
          <w:numId w:val="9"/>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GB/T 24508-2020《木塑地板》</w:t>
      </w:r>
    </w:p>
    <w:p w14:paraId="2D135824">
      <w:pPr>
        <w:keepNext w:val="0"/>
        <w:keepLines w:val="0"/>
        <w:widowControl/>
        <w:numPr>
          <w:ilvl w:val="0"/>
          <w:numId w:val="9"/>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GB/T 15036-2018《实木地板》</w:t>
      </w:r>
    </w:p>
    <w:p w14:paraId="77045025">
      <w:pPr>
        <w:keepNext w:val="0"/>
        <w:keepLines w:val="0"/>
        <w:widowControl/>
        <w:numPr>
          <w:ilvl w:val="0"/>
          <w:numId w:val="9"/>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eastAsia" w:cs="宋体"/>
          <w:kern w:val="0"/>
          <w:sz w:val="24"/>
          <w:szCs w:val="24"/>
          <w:lang w:val="en-US" w:eastAsia="zh-CN" w:bidi="ar"/>
        </w:rPr>
        <w:t>GB/T 30364-2024 《重组竹地板》</w:t>
      </w:r>
    </w:p>
    <w:p w14:paraId="6F3E35A8">
      <w:pPr>
        <w:keepNext w:val="0"/>
        <w:keepLines w:val="0"/>
        <w:widowControl/>
        <w:numPr>
          <w:ilvl w:val="0"/>
          <w:numId w:val="9"/>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SB/T 10741-2021</w:t>
      </w:r>
      <w:r>
        <w:rPr>
          <w:rFonts w:hint="eastAsia" w:ascii="宋体" w:hAnsi="宋体" w:eastAsia="宋体" w:cs="宋体"/>
          <w:kern w:val="0"/>
          <w:sz w:val="24"/>
          <w:szCs w:val="24"/>
          <w:lang w:val="en-US" w:eastAsia="zh-CN" w:bidi="ar"/>
        </w:rPr>
        <w:t xml:space="preserve"> </w:t>
      </w:r>
      <w:r>
        <w:rPr>
          <w:rFonts w:hint="default" w:ascii="宋体" w:hAnsi="宋体" w:eastAsia="宋体" w:cs="宋体"/>
          <w:kern w:val="0"/>
          <w:sz w:val="24"/>
          <w:szCs w:val="24"/>
          <w:lang w:val="en-US" w:eastAsia="zh-CN" w:bidi="ar"/>
        </w:rPr>
        <w:t>《户外用木质地板》</w:t>
      </w:r>
    </w:p>
    <w:p w14:paraId="068323D2">
      <w:pPr>
        <w:keepNext w:val="0"/>
        <w:keepLines w:val="0"/>
        <w:widowControl/>
        <w:numPr>
          <w:ilvl w:val="0"/>
          <w:numId w:val="9"/>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JC/T 2221-2014</w:t>
      </w:r>
      <w:r>
        <w:rPr>
          <w:rFonts w:hint="eastAsia" w:ascii="宋体" w:hAnsi="宋体" w:eastAsia="宋体" w:cs="宋体"/>
          <w:kern w:val="0"/>
          <w:sz w:val="24"/>
          <w:szCs w:val="24"/>
          <w:lang w:val="en-US" w:eastAsia="zh-CN" w:bidi="ar"/>
        </w:rPr>
        <w:t xml:space="preserve"> </w:t>
      </w:r>
      <w:r>
        <w:rPr>
          <w:rFonts w:hint="default" w:ascii="宋体" w:hAnsi="宋体" w:eastAsia="宋体" w:cs="宋体"/>
          <w:kern w:val="0"/>
          <w:sz w:val="24"/>
          <w:szCs w:val="24"/>
          <w:lang w:val="en-US" w:eastAsia="zh-CN" w:bidi="ar"/>
        </w:rPr>
        <w:t>《木塑装饰板》</w:t>
      </w:r>
    </w:p>
    <w:p w14:paraId="06109F48">
      <w:pPr>
        <w:pStyle w:val="28"/>
        <w:spacing w:before="326" w:beforeLines="100" w:after="326" w:afterLines="100"/>
        <w:rPr>
          <w:rFonts w:ascii="Times New Roman"/>
          <w:color w:val="000000" w:themeColor="text1"/>
          <w:sz w:val="28"/>
          <w:szCs w:val="28"/>
          <w14:textFill>
            <w14:solidFill>
              <w14:schemeClr w14:val="tx1"/>
            </w14:solidFill>
          </w14:textFill>
        </w:rPr>
      </w:pPr>
      <w:bookmarkStart w:id="18" w:name="_Toc12128"/>
      <w:r>
        <w:rPr>
          <w:rFonts w:hint="eastAsia" w:ascii="Times New Roman"/>
          <w:color w:val="000000" w:themeColor="text1"/>
          <w:sz w:val="28"/>
          <w:szCs w:val="28"/>
          <w:lang w:val="en-US" w:eastAsia="zh-CN"/>
          <w14:textFill>
            <w14:solidFill>
              <w14:schemeClr w14:val="tx1"/>
            </w14:solidFill>
          </w14:textFill>
        </w:rPr>
        <w:t>7</w:t>
      </w:r>
      <w:r>
        <w:rPr>
          <w:rFonts w:ascii="Times New Roman"/>
          <w:color w:val="000000" w:themeColor="text1"/>
          <w:sz w:val="28"/>
          <w:szCs w:val="28"/>
          <w14:textFill>
            <w14:solidFill>
              <w14:schemeClr w14:val="tx1"/>
            </w14:solidFill>
          </w14:textFill>
        </w:rPr>
        <w:t xml:space="preserve"> 重大意见分歧的处理依据和结果</w:t>
      </w:r>
      <w:bookmarkEnd w:id="18"/>
    </w:p>
    <w:p w14:paraId="46BB3505">
      <w:pPr>
        <w:spacing w:line="360" w:lineRule="auto"/>
        <w:ind w:firstLine="480" w:firstLineChars="200"/>
        <w:jc w:val="both"/>
        <w:rPr>
          <w:rFonts w:eastAsiaTheme="minorEastAsia"/>
          <w:b/>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在标准的编制过程中，</w:t>
      </w:r>
      <w:r>
        <w:rPr>
          <w:rFonts w:hint="eastAsia" w:eastAsiaTheme="minorEastAsia"/>
          <w:color w:val="000000" w:themeColor="text1"/>
          <w:szCs w:val="28"/>
          <w14:textFill>
            <w14:solidFill>
              <w14:schemeClr w14:val="tx1"/>
            </w14:solidFill>
          </w14:textFill>
        </w:rPr>
        <w:t>标准编制组在学习相关法律法规的基础上，结合建材行业实际情况，开展了本标准的制定工作，并在研究过程中征求了</w:t>
      </w:r>
      <w:r>
        <w:rPr>
          <w:rFonts w:eastAsiaTheme="minorEastAsia"/>
          <w:color w:val="000000" w:themeColor="text1"/>
          <w:szCs w:val="28"/>
          <w14:textFill>
            <w14:solidFill>
              <w14:schemeClr w14:val="tx1"/>
            </w14:solidFill>
          </w14:textFill>
        </w:rPr>
        <w:t>行业相关单位和业内专家的意见和建议，主要针对标准</w:t>
      </w:r>
      <w:r>
        <w:rPr>
          <w:rFonts w:hint="eastAsia" w:eastAsiaTheme="minorEastAsia"/>
          <w:color w:val="000000" w:themeColor="text1"/>
          <w:szCs w:val="28"/>
          <w14:textFill>
            <w14:solidFill>
              <w14:schemeClr w14:val="tx1"/>
            </w14:solidFill>
          </w14:textFill>
        </w:rPr>
        <w:t>中对产品使用说明书的内容和适用</w:t>
      </w:r>
      <w:r>
        <w:rPr>
          <w:rFonts w:eastAsiaTheme="minorEastAsia"/>
          <w:color w:val="000000" w:themeColor="text1"/>
          <w:szCs w:val="28"/>
          <w14:textFill>
            <w14:solidFill>
              <w14:schemeClr w14:val="tx1"/>
            </w14:solidFill>
          </w14:textFill>
        </w:rPr>
        <w:t>范围做了深入研讨，各家单位和行业专家结合自身的工作经验和</w:t>
      </w:r>
      <w:r>
        <w:rPr>
          <w:rFonts w:hint="eastAsia" w:eastAsiaTheme="minorEastAsia"/>
          <w:color w:val="000000" w:themeColor="text1"/>
          <w:szCs w:val="28"/>
          <w14:textFill>
            <w14:solidFill>
              <w14:schemeClr w14:val="tx1"/>
            </w14:solidFill>
          </w14:textFill>
        </w:rPr>
        <w:t>实际调研</w:t>
      </w:r>
      <w:r>
        <w:rPr>
          <w:rFonts w:eastAsiaTheme="minorEastAsia"/>
          <w:color w:val="000000" w:themeColor="text1"/>
          <w:szCs w:val="28"/>
          <w14:textFill>
            <w14:solidFill>
              <w14:schemeClr w14:val="tx1"/>
            </w14:solidFill>
          </w14:textFill>
        </w:rPr>
        <w:t>作为</w:t>
      </w:r>
      <w:r>
        <w:rPr>
          <w:rFonts w:hint="eastAsia" w:eastAsiaTheme="minorEastAsia"/>
          <w:color w:val="000000" w:themeColor="text1"/>
          <w:szCs w:val="28"/>
          <w14:textFill>
            <w14:solidFill>
              <w14:schemeClr w14:val="tx1"/>
            </w14:solidFill>
          </w14:textFill>
        </w:rPr>
        <w:t>标准内容</w:t>
      </w:r>
      <w:r>
        <w:rPr>
          <w:rFonts w:eastAsiaTheme="minorEastAsia"/>
          <w:color w:val="000000" w:themeColor="text1"/>
          <w:szCs w:val="28"/>
          <w14:textFill>
            <w14:solidFill>
              <w14:schemeClr w14:val="tx1"/>
            </w14:solidFill>
          </w14:textFill>
        </w:rPr>
        <w:t>支撑的有力依据，最终对标准要求达成一致。编制过程中对标准的主要内容并未产生重大意见分歧。</w:t>
      </w:r>
    </w:p>
    <w:p w14:paraId="5A54F6B1">
      <w:pPr>
        <w:pStyle w:val="28"/>
        <w:spacing w:before="326" w:beforeLines="100" w:after="326" w:afterLines="100"/>
        <w:rPr>
          <w:rFonts w:ascii="Times New Roman"/>
          <w:color w:val="000000" w:themeColor="text1"/>
          <w:sz w:val="28"/>
          <w:szCs w:val="28"/>
          <w14:textFill>
            <w14:solidFill>
              <w14:schemeClr w14:val="tx1"/>
            </w14:solidFill>
          </w14:textFill>
        </w:rPr>
      </w:pPr>
      <w:bookmarkStart w:id="19" w:name="_Toc29268"/>
      <w:r>
        <w:rPr>
          <w:rFonts w:hint="eastAsia" w:ascii="Times New Roman"/>
          <w:color w:val="000000" w:themeColor="text1"/>
          <w:sz w:val="28"/>
          <w:szCs w:val="28"/>
          <w:lang w:val="en-US" w:eastAsia="zh-CN"/>
          <w14:textFill>
            <w14:solidFill>
              <w14:schemeClr w14:val="tx1"/>
            </w14:solidFill>
          </w14:textFill>
        </w:rPr>
        <w:t>8</w:t>
      </w:r>
      <w:r>
        <w:rPr>
          <w:rFonts w:ascii="Times New Roman"/>
          <w:color w:val="000000" w:themeColor="text1"/>
          <w:sz w:val="28"/>
          <w:szCs w:val="28"/>
          <w14:textFill>
            <w14:solidFill>
              <w14:schemeClr w14:val="tx1"/>
            </w14:solidFill>
          </w14:textFill>
        </w:rPr>
        <w:t xml:space="preserve"> </w:t>
      </w:r>
      <w:r>
        <w:rPr>
          <w:rFonts w:hint="eastAsia" w:ascii="Times New Roman"/>
          <w:color w:val="000000" w:themeColor="text1"/>
          <w:sz w:val="28"/>
          <w:szCs w:val="28"/>
          <w14:textFill>
            <w14:solidFill>
              <w14:schemeClr w14:val="tx1"/>
            </w14:solidFill>
          </w14:textFill>
        </w:rPr>
        <w:t>标准性质的建议说明</w:t>
      </w:r>
      <w:bookmarkEnd w:id="19"/>
    </w:p>
    <w:p w14:paraId="1C409677">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建议本标准为推荐性，发布后立即实施。</w:t>
      </w:r>
    </w:p>
    <w:p w14:paraId="60A57F55">
      <w:pPr>
        <w:pStyle w:val="28"/>
        <w:spacing w:before="326" w:beforeLines="100" w:after="326" w:afterLines="100"/>
        <w:rPr>
          <w:rFonts w:ascii="Times New Roman"/>
          <w:color w:val="000000" w:themeColor="text1"/>
          <w:sz w:val="28"/>
          <w:szCs w:val="28"/>
          <w14:textFill>
            <w14:solidFill>
              <w14:schemeClr w14:val="tx1"/>
            </w14:solidFill>
          </w14:textFill>
        </w:rPr>
      </w:pPr>
      <w:bookmarkStart w:id="20" w:name="_Toc22430"/>
      <w:r>
        <w:rPr>
          <w:rFonts w:hint="eastAsia" w:ascii="Times New Roman"/>
          <w:color w:val="000000" w:themeColor="text1"/>
          <w:sz w:val="28"/>
          <w:szCs w:val="28"/>
          <w:lang w:val="en-US" w:eastAsia="zh-CN"/>
          <w14:textFill>
            <w14:solidFill>
              <w14:schemeClr w14:val="tx1"/>
            </w14:solidFill>
          </w14:textFill>
        </w:rPr>
        <w:t>9</w:t>
      </w:r>
      <w:r>
        <w:rPr>
          <w:rFonts w:ascii="Times New Roman"/>
          <w:color w:val="000000" w:themeColor="text1"/>
          <w:sz w:val="28"/>
          <w:szCs w:val="28"/>
          <w14:textFill>
            <w14:solidFill>
              <w14:schemeClr w14:val="tx1"/>
            </w14:solidFill>
          </w14:textFill>
        </w:rPr>
        <w:t xml:space="preserve"> 贯彻标准的措施建议</w:t>
      </w:r>
      <w:bookmarkEnd w:id="20"/>
    </w:p>
    <w:p w14:paraId="165F407C">
      <w:pPr>
        <w:spacing w:line="360" w:lineRule="auto"/>
        <w:ind w:firstLine="480"/>
        <w:jc w:val="both"/>
        <w:rPr>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建议在本标准</w:t>
      </w:r>
      <w:r>
        <w:rPr>
          <w:rFonts w:hint="eastAsia" w:eastAsiaTheme="minorEastAsia"/>
          <w:color w:val="000000" w:themeColor="text1"/>
          <w:szCs w:val="28"/>
          <w:lang w:val="en-US" w:eastAsia="zh-CN"/>
          <w14:textFill>
            <w14:solidFill>
              <w14:schemeClr w14:val="tx1"/>
            </w14:solidFill>
          </w14:textFill>
        </w:rPr>
        <w:t>修订</w:t>
      </w:r>
      <w:r>
        <w:rPr>
          <w:rFonts w:eastAsiaTheme="minorEastAsia"/>
          <w:color w:val="000000" w:themeColor="text1"/>
          <w:szCs w:val="28"/>
          <w14:textFill>
            <w14:solidFill>
              <w14:schemeClr w14:val="tx1"/>
            </w14:solidFill>
          </w14:textFill>
        </w:rPr>
        <w:t>后，各</w:t>
      </w:r>
      <w:r>
        <w:rPr>
          <w:rFonts w:hint="eastAsia" w:eastAsiaTheme="minorEastAsia"/>
          <w:color w:val="000000" w:themeColor="text1"/>
          <w:szCs w:val="28"/>
          <w:lang w:val="en-US" w:eastAsia="zh-CN"/>
          <w14:textFill>
            <w14:solidFill>
              <w14:schemeClr w14:val="tx1"/>
            </w14:solidFill>
          </w14:textFill>
        </w:rPr>
        <w:t>户外地板、木竹地板、木塑地板等</w:t>
      </w:r>
      <w:r>
        <w:rPr>
          <w:rFonts w:hint="eastAsia" w:eastAsiaTheme="minorEastAsia"/>
          <w:color w:val="000000" w:themeColor="text1"/>
          <w:szCs w:val="28"/>
          <w14:textFill>
            <w14:solidFill>
              <w14:schemeClr w14:val="tx1"/>
            </w14:solidFill>
          </w14:textFill>
        </w:rPr>
        <w:t>生产企业</w:t>
      </w:r>
      <w:r>
        <w:rPr>
          <w:rFonts w:hint="eastAsia" w:eastAsiaTheme="minorEastAsia"/>
          <w:color w:val="000000" w:themeColor="text1"/>
          <w:szCs w:val="28"/>
          <w:lang w:eastAsia="zh-CN"/>
          <w14:textFill>
            <w14:solidFill>
              <w14:schemeClr w14:val="tx1"/>
            </w14:solidFill>
          </w14:textFill>
        </w:rPr>
        <w:t>、</w:t>
      </w:r>
      <w:r>
        <w:rPr>
          <w:rFonts w:eastAsiaTheme="minorEastAsia"/>
          <w:color w:val="000000" w:themeColor="text1"/>
          <w:szCs w:val="28"/>
          <w14:textFill>
            <w14:solidFill>
              <w14:schemeClr w14:val="tx1"/>
            </w14:solidFill>
          </w14:textFill>
        </w:rPr>
        <w:t>科研单位、检测机构以及地方管理部门能够依据本标准中的相关规定</w:t>
      </w:r>
      <w:r>
        <w:rPr>
          <w:rFonts w:hint="eastAsia" w:eastAsiaTheme="minorEastAsia"/>
          <w:color w:val="000000" w:themeColor="text1"/>
          <w:szCs w:val="28"/>
          <w:lang w:val="en-US" w:eastAsia="zh-CN"/>
          <w14:textFill>
            <w14:solidFill>
              <w14:schemeClr w14:val="tx1"/>
            </w14:solidFill>
          </w14:textFill>
        </w:rPr>
        <w:t>开展户外地板耐久性测试</w:t>
      </w:r>
      <w:r>
        <w:rPr>
          <w:rFonts w:eastAsiaTheme="minorEastAsia"/>
          <w:color w:val="000000" w:themeColor="text1"/>
          <w:szCs w:val="28"/>
          <w14:textFill>
            <w14:solidFill>
              <w14:schemeClr w14:val="tx1"/>
            </w14:solidFill>
          </w14:textFill>
        </w:rPr>
        <w:t>。</w:t>
      </w:r>
      <w:r>
        <w:rPr>
          <w:color w:val="000000" w:themeColor="text1"/>
          <w:szCs w:val="28"/>
          <w14:textFill>
            <w14:solidFill>
              <w14:schemeClr w14:val="tx1"/>
            </w14:solidFill>
          </w14:textFill>
        </w:rPr>
        <w:t>具体实施措施建议如下：</w:t>
      </w:r>
    </w:p>
    <w:p w14:paraId="40C0C59D">
      <w:pPr>
        <w:spacing w:line="360" w:lineRule="auto"/>
        <w:ind w:firstLine="48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1）标准归口单位进行贯标指导，组织标准宣贯培训班，由标准制定人员主讲。设立专门的答疑或咨询部门或网站，为贯标企业排忧解难，组织有关人员积极参加行业协会组织的各项活动，培训班等。及时了解标准制、修订信息。</w:t>
      </w:r>
    </w:p>
    <w:p w14:paraId="3E69F7A5">
      <w:pPr>
        <w:spacing w:line="360" w:lineRule="auto"/>
        <w:ind w:firstLine="48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w:t>
      </w:r>
      <w:r>
        <w:rPr>
          <w:rFonts w:hint="eastAsia"/>
          <w:color w:val="000000" w:themeColor="text1"/>
          <w:szCs w:val="28"/>
          <w:lang w:val="en-US" w:eastAsia="zh-CN"/>
          <w14:textFill>
            <w14:solidFill>
              <w14:schemeClr w14:val="tx1"/>
            </w14:solidFill>
          </w14:textFill>
        </w:rPr>
        <w:t>2</w:t>
      </w:r>
      <w:r>
        <w:rPr>
          <w:color w:val="000000" w:themeColor="text1"/>
          <w:szCs w:val="28"/>
          <w14:textFill>
            <w14:solidFill>
              <w14:schemeClr w14:val="tx1"/>
            </w14:solidFill>
          </w14:textFill>
        </w:rPr>
        <w:t>）鼓励行业相关企业</w:t>
      </w:r>
      <w:r>
        <w:rPr>
          <w:rFonts w:hint="eastAsia"/>
          <w:color w:val="000000" w:themeColor="text1"/>
          <w:szCs w:val="28"/>
          <w:lang w:eastAsia="zh-CN"/>
          <w14:textFill>
            <w14:solidFill>
              <w14:schemeClr w14:val="tx1"/>
            </w14:solidFill>
          </w14:textFill>
        </w:rPr>
        <w:t>、</w:t>
      </w:r>
      <w:r>
        <w:rPr>
          <w:rFonts w:hint="eastAsia"/>
          <w:color w:val="000000" w:themeColor="text1"/>
          <w:szCs w:val="28"/>
          <w:lang w:val="en-US" w:eastAsia="zh-CN"/>
          <w14:textFill>
            <w14:solidFill>
              <w14:schemeClr w14:val="tx1"/>
            </w14:solidFill>
          </w14:textFill>
        </w:rPr>
        <w:t>科研单位和检测机构</w:t>
      </w:r>
      <w:r>
        <w:rPr>
          <w:color w:val="000000" w:themeColor="text1"/>
          <w:szCs w:val="28"/>
          <w14:textFill>
            <w14:solidFill>
              <w14:schemeClr w14:val="tx1"/>
            </w14:solidFill>
          </w14:textFill>
        </w:rPr>
        <w:t>成立标准贯彻实施小组，组员由标准化技术人员、产品主管设计人员、工艺主管设计人员、检验人员、车间技术人员等工作人员组成，进行明确的分工合作，适时组织标准宣贯会，使</w:t>
      </w:r>
      <w:r>
        <w:rPr>
          <w:rFonts w:hint="eastAsia"/>
          <w:color w:val="000000" w:themeColor="text1"/>
          <w:szCs w:val="28"/>
          <w14:textFill>
            <w14:solidFill>
              <w14:schemeClr w14:val="tx1"/>
            </w14:solidFill>
          </w14:textFill>
        </w:rPr>
        <w:t>企业能够顺利</w:t>
      </w:r>
      <w:r>
        <w:rPr>
          <w:color w:val="000000" w:themeColor="text1"/>
          <w:szCs w:val="28"/>
          <w14:textFill>
            <w14:solidFill>
              <w14:schemeClr w14:val="tx1"/>
            </w14:solidFill>
          </w14:textFill>
        </w:rPr>
        <w:t>执行标准</w:t>
      </w:r>
      <w:r>
        <w:rPr>
          <w:rFonts w:hint="eastAsia"/>
          <w:color w:val="000000" w:themeColor="text1"/>
          <w:szCs w:val="28"/>
          <w14:textFill>
            <w14:solidFill>
              <w14:schemeClr w14:val="tx1"/>
            </w14:solidFill>
          </w14:textFill>
        </w:rPr>
        <w:t>，科学开展</w:t>
      </w:r>
      <w:r>
        <w:rPr>
          <w:rFonts w:hint="eastAsia"/>
          <w:color w:val="000000" w:themeColor="text1"/>
          <w:szCs w:val="28"/>
          <w:lang w:val="en-US" w:eastAsia="zh-CN"/>
          <w14:textFill>
            <w14:solidFill>
              <w14:schemeClr w14:val="tx1"/>
            </w14:solidFill>
          </w14:textFill>
        </w:rPr>
        <w:t>产品质检前的取样工作</w:t>
      </w:r>
      <w:r>
        <w:rPr>
          <w:color w:val="000000" w:themeColor="text1"/>
          <w:szCs w:val="28"/>
          <w14:textFill>
            <w14:solidFill>
              <w14:schemeClr w14:val="tx1"/>
            </w14:solidFill>
          </w14:textFill>
        </w:rPr>
        <w:t>。</w:t>
      </w:r>
    </w:p>
    <w:p w14:paraId="55B4E6E7">
      <w:pPr>
        <w:spacing w:line="360" w:lineRule="auto"/>
        <w:ind w:firstLine="480"/>
        <w:jc w:val="both"/>
        <w:rPr>
          <w:rFonts w:hint="default" w:eastAsia="宋体"/>
          <w:color w:val="000000" w:themeColor="text1"/>
          <w:szCs w:val="28"/>
          <w:lang w:val="en-US" w:eastAsia="zh-CN"/>
          <w14:textFill>
            <w14:solidFill>
              <w14:schemeClr w14:val="tx1"/>
            </w14:solidFill>
          </w14:textFill>
        </w:rPr>
      </w:pPr>
      <w:r>
        <w:rPr>
          <w:color w:val="000000" w:themeColor="text1"/>
          <w:szCs w:val="28"/>
          <w14:textFill>
            <w14:solidFill>
              <w14:schemeClr w14:val="tx1"/>
            </w14:solidFill>
          </w14:textFill>
        </w:rPr>
        <w:t>（</w:t>
      </w:r>
      <w:r>
        <w:rPr>
          <w:rFonts w:hint="eastAsia"/>
          <w:color w:val="000000" w:themeColor="text1"/>
          <w:szCs w:val="28"/>
          <w:lang w:val="en-US" w:eastAsia="zh-CN"/>
          <w14:textFill>
            <w14:solidFill>
              <w14:schemeClr w14:val="tx1"/>
            </w14:solidFill>
          </w14:textFill>
        </w:rPr>
        <w:t>3</w:t>
      </w:r>
      <w:r>
        <w:rPr>
          <w:color w:val="000000" w:themeColor="text1"/>
          <w:szCs w:val="28"/>
          <w14:textFill>
            <w14:solidFill>
              <w14:schemeClr w14:val="tx1"/>
            </w14:solidFill>
          </w14:textFill>
        </w:rPr>
        <w:t>）标准化技术人员全面负责贯标实施工作，跟踪服务对贯标中出现的技术问题进行协调处理</w:t>
      </w:r>
      <w:r>
        <w:rPr>
          <w:rFonts w:hint="eastAsia"/>
          <w:color w:val="000000" w:themeColor="text1"/>
          <w:szCs w:val="28"/>
          <w14:textFill>
            <w14:solidFill>
              <w14:schemeClr w14:val="tx1"/>
            </w14:solidFill>
          </w14:textFill>
        </w:rPr>
        <w:t>并</w:t>
      </w:r>
      <w:r>
        <w:rPr>
          <w:color w:val="000000" w:themeColor="text1"/>
          <w:szCs w:val="28"/>
          <w14:textFill>
            <w14:solidFill>
              <w14:schemeClr w14:val="tx1"/>
            </w14:solidFill>
          </w14:textFill>
        </w:rPr>
        <w:t>作好贯标记录，并进行长期监督检查工作。</w:t>
      </w:r>
    </w:p>
    <w:p w14:paraId="0FE3AF55">
      <w:pPr>
        <w:pStyle w:val="28"/>
        <w:spacing w:before="326" w:beforeLines="100" w:after="326" w:afterLines="100"/>
        <w:rPr>
          <w:rFonts w:ascii="Times New Roman"/>
          <w:color w:val="000000" w:themeColor="text1"/>
          <w:sz w:val="28"/>
          <w:szCs w:val="28"/>
          <w14:textFill>
            <w14:solidFill>
              <w14:schemeClr w14:val="tx1"/>
            </w14:solidFill>
          </w14:textFill>
        </w:rPr>
      </w:pPr>
      <w:bookmarkStart w:id="21" w:name="_Toc956"/>
      <w:r>
        <w:rPr>
          <w:rFonts w:ascii="Times New Roman"/>
          <w:color w:val="000000" w:themeColor="text1"/>
          <w:sz w:val="28"/>
          <w:szCs w:val="28"/>
          <w14:textFill>
            <w14:solidFill>
              <w14:schemeClr w14:val="tx1"/>
            </w14:solidFill>
          </w14:textFill>
        </w:rPr>
        <w:t>1</w:t>
      </w:r>
      <w:r>
        <w:rPr>
          <w:rFonts w:hint="eastAsia" w:ascii="Times New Roman"/>
          <w:color w:val="000000" w:themeColor="text1"/>
          <w:sz w:val="28"/>
          <w:szCs w:val="28"/>
          <w:lang w:val="en-US" w:eastAsia="zh-CN"/>
          <w14:textFill>
            <w14:solidFill>
              <w14:schemeClr w14:val="tx1"/>
            </w14:solidFill>
          </w14:textFill>
        </w:rPr>
        <w:t>0</w:t>
      </w:r>
      <w:r>
        <w:rPr>
          <w:rFonts w:ascii="Times New Roman"/>
          <w:color w:val="000000" w:themeColor="text1"/>
          <w:sz w:val="28"/>
          <w:szCs w:val="28"/>
          <w14:textFill>
            <w14:solidFill>
              <w14:schemeClr w14:val="tx1"/>
            </w14:solidFill>
          </w14:textFill>
        </w:rPr>
        <w:t xml:space="preserve"> 废止现行有关标准的建议</w:t>
      </w:r>
      <w:bookmarkEnd w:id="21"/>
    </w:p>
    <w:p w14:paraId="2CCA1498">
      <w:pPr>
        <w:spacing w:line="360" w:lineRule="auto"/>
        <w:ind w:firstLine="480"/>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无。</w:t>
      </w:r>
    </w:p>
    <w:p w14:paraId="5F84C4FD">
      <w:pPr>
        <w:pStyle w:val="28"/>
        <w:spacing w:before="326" w:beforeLines="100" w:after="326" w:afterLines="100"/>
        <w:rPr>
          <w:rFonts w:ascii="Times New Roman"/>
          <w:color w:val="000000" w:themeColor="text1"/>
          <w:sz w:val="28"/>
          <w:szCs w:val="28"/>
          <w14:textFill>
            <w14:solidFill>
              <w14:schemeClr w14:val="tx1"/>
            </w14:solidFill>
          </w14:textFill>
        </w:rPr>
      </w:pPr>
      <w:bookmarkStart w:id="22" w:name="_Toc30754"/>
      <w:r>
        <w:rPr>
          <w:rFonts w:ascii="Times New Roman"/>
          <w:color w:val="000000" w:themeColor="text1"/>
          <w:sz w:val="28"/>
          <w:szCs w:val="28"/>
          <w14:textFill>
            <w14:solidFill>
              <w14:schemeClr w14:val="tx1"/>
            </w14:solidFill>
          </w14:textFill>
        </w:rPr>
        <w:t>1</w:t>
      </w:r>
      <w:r>
        <w:rPr>
          <w:rFonts w:hint="eastAsia" w:ascii="Times New Roman"/>
          <w:color w:val="000000" w:themeColor="text1"/>
          <w:sz w:val="28"/>
          <w:szCs w:val="28"/>
          <w:lang w:val="en-US" w:eastAsia="zh-CN"/>
          <w14:textFill>
            <w14:solidFill>
              <w14:schemeClr w14:val="tx1"/>
            </w14:solidFill>
          </w14:textFill>
        </w:rPr>
        <w:t>1</w:t>
      </w:r>
      <w:r>
        <w:rPr>
          <w:rFonts w:ascii="Times New Roman"/>
          <w:color w:val="000000" w:themeColor="text1"/>
          <w:sz w:val="28"/>
          <w:szCs w:val="28"/>
          <w14:textFill>
            <w14:solidFill>
              <w14:schemeClr w14:val="tx1"/>
            </w14:solidFill>
          </w14:textFill>
        </w:rPr>
        <w:t xml:space="preserve"> 其他应说明的事项</w:t>
      </w:r>
      <w:bookmarkEnd w:id="22"/>
    </w:p>
    <w:p w14:paraId="0385F97A">
      <w:pPr>
        <w:spacing w:line="360" w:lineRule="auto"/>
        <w:ind w:firstLine="495"/>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无。</w:t>
      </w:r>
      <w:bookmarkStart w:id="23" w:name="_GoBack"/>
      <w:bookmarkEnd w:id="23"/>
    </w:p>
    <w:sectPr>
      <w:footerReference r:id="rId3" w:type="default"/>
      <w:pgSz w:w="11906" w:h="16838"/>
      <w:pgMar w:top="1134" w:right="1134" w:bottom="1134" w:left="1304"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2000019F" w:csb1="00000000"/>
  </w:font>
  <w:font w:name="Verdana">
    <w:panose1 w:val="020B0804030504040204"/>
    <w:charset w:val="00"/>
    <w:family w:val="swiss"/>
    <w:pitch w:val="default"/>
    <w:sig w:usb0="A10006FF" w:usb1="4000205B" w:usb2="00000010" w:usb3="00000000" w:csb0="2000019F"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02AC2">
    <w:pPr>
      <w:pStyle w:val="12"/>
      <w:jc w:val="right"/>
    </w:pPr>
    <w:r>
      <w:fldChar w:fldCharType="begin"/>
    </w:r>
    <w:r>
      <w:instrText xml:space="preserve"> PAGE   \* MERGEFORMAT </w:instrText>
    </w:r>
    <w:r>
      <w:fldChar w:fldCharType="separate"/>
    </w:r>
    <w:r>
      <w:rPr>
        <w:lang w:val="zh-CN"/>
      </w:rPr>
      <w:t>29</w:t>
    </w:r>
    <w:r>
      <w:rPr>
        <w:lang w:val="zh-CN"/>
      </w:rPr>
      <w:fldChar w:fldCharType="end"/>
    </w:r>
  </w:p>
  <w:p w14:paraId="6335100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D809A"/>
    <w:multiLevelType w:val="singleLevel"/>
    <w:tmpl w:val="BE0D809A"/>
    <w:lvl w:ilvl="0" w:tentative="0">
      <w:start w:val="1"/>
      <w:numFmt w:val="decimal"/>
      <w:suff w:val="space"/>
      <w:lvlText w:val="%1."/>
      <w:lvlJc w:val="left"/>
    </w:lvl>
  </w:abstractNum>
  <w:abstractNum w:abstractNumId="1">
    <w:nsid w:val="0AE367E9"/>
    <w:multiLevelType w:val="multilevel"/>
    <w:tmpl w:val="0AE367E9"/>
    <w:lvl w:ilvl="0" w:tentative="0">
      <w:start w:val="1"/>
      <w:numFmt w:val="none"/>
      <w:pStyle w:val="4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
    <w:nsid w:val="1DCB3BFD"/>
    <w:multiLevelType w:val="multilevel"/>
    <w:tmpl w:val="1DCB3BFD"/>
    <w:lvl w:ilvl="0" w:tentative="0">
      <w:start w:val="1"/>
      <w:numFmt w:val="lowerLetter"/>
      <w:pStyle w:val="10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6"/>
      <w:lvlText w:val="%2)"/>
      <w:lvlJc w:val="left"/>
      <w:pPr>
        <w:tabs>
          <w:tab w:val="left" w:pos="1260"/>
        </w:tabs>
        <w:ind w:left="1259" w:hanging="419"/>
      </w:pPr>
      <w:rPr>
        <w:rFonts w:hint="eastAsia"/>
      </w:rPr>
    </w:lvl>
    <w:lvl w:ilvl="2" w:tentative="0">
      <w:start w:val="1"/>
      <w:numFmt w:val="decimal"/>
      <w:pStyle w:val="10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1FC91163"/>
    <w:multiLevelType w:val="multilevel"/>
    <w:tmpl w:val="1FC91163"/>
    <w:lvl w:ilvl="0" w:tentative="0">
      <w:start w:val="1"/>
      <w:numFmt w:val="decimal"/>
      <w:suff w:val="nothing"/>
      <w:lvlText w:val="%1　"/>
      <w:lvlJc w:val="left"/>
      <w:pPr>
        <w:ind w:left="710" w:firstLine="0"/>
      </w:pPr>
      <w:rPr>
        <w:rFonts w:hint="eastAsia" w:ascii="黑体" w:hAnsi="Times New Roman" w:eastAsia="黑体"/>
        <w:b w:val="0"/>
        <w:i w:val="0"/>
        <w:sz w:val="21"/>
        <w:szCs w:val="21"/>
      </w:rPr>
    </w:lvl>
    <w:lvl w:ilvl="1" w:tentative="0">
      <w:start w:val="1"/>
      <w:numFmt w:val="decimal"/>
      <w:suff w:val="nothing"/>
      <w:lvlText w:val="%1.%2　"/>
      <w:lvlJc w:val="left"/>
      <w:pPr>
        <w:ind w:left="113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14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57C2AF5"/>
    <w:multiLevelType w:val="multilevel"/>
    <w:tmpl w:val="557C2AF5"/>
    <w:lvl w:ilvl="0" w:tentative="0">
      <w:start w:val="1"/>
      <w:numFmt w:val="decimal"/>
      <w:pStyle w:val="4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4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tentative="0">
      <w:start w:val="1"/>
      <w:numFmt w:val="upperLetter"/>
      <w:pStyle w:val="109"/>
      <w:suff w:val="nothing"/>
      <w:lvlText w:val="附录%1"/>
      <w:lvlJc w:val="left"/>
      <w:pPr>
        <w:ind w:left="0" w:firstLine="0"/>
      </w:pPr>
      <w:rPr>
        <w:rFonts w:hint="eastAsia"/>
        <w:spacing w:val="100"/>
      </w:rPr>
    </w:lvl>
    <w:lvl w:ilvl="1" w:tentative="0">
      <w:start w:val="1"/>
      <w:numFmt w:val="decimal"/>
      <w:pStyle w:val="110"/>
      <w:suff w:val="nothing"/>
      <w:lvlText w:val="%1.%2　"/>
      <w:lvlJc w:val="left"/>
      <w:pPr>
        <w:ind w:left="0" w:firstLine="0"/>
      </w:pPr>
      <w:rPr>
        <w:rFonts w:hint="eastAsia" w:ascii="黑体" w:eastAsia="黑体"/>
        <w:b w:val="0"/>
        <w:i w:val="0"/>
        <w:sz w:val="21"/>
      </w:rPr>
    </w:lvl>
    <w:lvl w:ilvl="2" w:tentative="0">
      <w:start w:val="1"/>
      <w:numFmt w:val="decimal"/>
      <w:pStyle w:val="111"/>
      <w:suff w:val="nothing"/>
      <w:lvlText w:val="%1.%2.%3　"/>
      <w:lvlJc w:val="left"/>
      <w:pPr>
        <w:ind w:left="0" w:firstLine="0"/>
      </w:pPr>
      <w:rPr>
        <w:rFonts w:hint="eastAsia" w:ascii="黑体" w:eastAsia="黑体"/>
        <w:b w:val="0"/>
        <w:i w:val="0"/>
        <w:sz w:val="21"/>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pStyle w:val="113"/>
      <w:suff w:val="nothing"/>
      <w:lvlText w:val="%1.%2.%3.%4.%5　"/>
      <w:lvlJc w:val="left"/>
      <w:pPr>
        <w:ind w:left="0" w:firstLine="0"/>
      </w:pPr>
      <w:rPr>
        <w:rFonts w:hint="eastAsia" w:ascii="黑体" w:eastAsia="黑体"/>
        <w:b w:val="0"/>
        <w:i w:val="0"/>
        <w:sz w:val="21"/>
      </w:rPr>
    </w:lvl>
    <w:lvl w:ilvl="5" w:tentative="0">
      <w:start w:val="1"/>
      <w:numFmt w:val="decimal"/>
      <w:pStyle w:val="11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7489FA5"/>
    <w:multiLevelType w:val="singleLevel"/>
    <w:tmpl w:val="67489FA5"/>
    <w:lvl w:ilvl="0" w:tentative="0">
      <w:start w:val="1"/>
      <w:numFmt w:val="decimal"/>
      <w:suff w:val="space"/>
      <w:lvlText w:val="%1."/>
      <w:lvlJc w:val="left"/>
    </w:lvl>
  </w:abstractNum>
  <w:abstractNum w:abstractNumId="8">
    <w:nsid w:val="7BFFE8D0"/>
    <w:multiLevelType w:val="singleLevel"/>
    <w:tmpl w:val="7BFFE8D0"/>
    <w:lvl w:ilvl="0" w:tentative="0">
      <w:start w:val="1"/>
      <w:numFmt w:val="decimal"/>
      <w:suff w:val="nothing"/>
      <w:lvlText w:val="（%1）"/>
      <w:lvlJc w:val="left"/>
    </w:lvl>
  </w:abstractNum>
  <w:num w:numId="1">
    <w:abstractNumId w:val="1"/>
  </w:num>
  <w:num w:numId="2">
    <w:abstractNumId w:val="5"/>
  </w:num>
  <w:num w:numId="3">
    <w:abstractNumId w:val="4"/>
  </w:num>
  <w:num w:numId="4">
    <w:abstractNumId w:val="2"/>
  </w:num>
  <w:num w:numId="5">
    <w:abstractNumId w:val="6"/>
  </w:num>
  <w:num w:numId="6">
    <w:abstractNumId w:val="3"/>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Nzg1OTE0YTY4N2E5ZGU5OWVjZWE5YTdkMDI3ODIifQ=="/>
  </w:docVars>
  <w:rsids>
    <w:rsidRoot w:val="00172A27"/>
    <w:rsid w:val="000001E5"/>
    <w:rsid w:val="000007AC"/>
    <w:rsid w:val="00000A35"/>
    <w:rsid w:val="0000141D"/>
    <w:rsid w:val="000022B1"/>
    <w:rsid w:val="00003AFF"/>
    <w:rsid w:val="0001042F"/>
    <w:rsid w:val="00010A8B"/>
    <w:rsid w:val="000129F4"/>
    <w:rsid w:val="00013B79"/>
    <w:rsid w:val="00015A6C"/>
    <w:rsid w:val="000166C4"/>
    <w:rsid w:val="00017084"/>
    <w:rsid w:val="00017C80"/>
    <w:rsid w:val="00020415"/>
    <w:rsid w:val="00024525"/>
    <w:rsid w:val="00025B48"/>
    <w:rsid w:val="000269F6"/>
    <w:rsid w:val="00027763"/>
    <w:rsid w:val="00030247"/>
    <w:rsid w:val="0003190D"/>
    <w:rsid w:val="00031DAF"/>
    <w:rsid w:val="00033768"/>
    <w:rsid w:val="00033ECC"/>
    <w:rsid w:val="00034BDB"/>
    <w:rsid w:val="000354EE"/>
    <w:rsid w:val="00037C38"/>
    <w:rsid w:val="0004092A"/>
    <w:rsid w:val="00040A03"/>
    <w:rsid w:val="000434B8"/>
    <w:rsid w:val="000455BE"/>
    <w:rsid w:val="00045870"/>
    <w:rsid w:val="00045E4A"/>
    <w:rsid w:val="0005158F"/>
    <w:rsid w:val="0005301A"/>
    <w:rsid w:val="00056209"/>
    <w:rsid w:val="00056E5B"/>
    <w:rsid w:val="00056E94"/>
    <w:rsid w:val="000618F5"/>
    <w:rsid w:val="00062D78"/>
    <w:rsid w:val="00062F18"/>
    <w:rsid w:val="00063AB8"/>
    <w:rsid w:val="000658C5"/>
    <w:rsid w:val="00071468"/>
    <w:rsid w:val="00071497"/>
    <w:rsid w:val="00072999"/>
    <w:rsid w:val="00076334"/>
    <w:rsid w:val="00076DC9"/>
    <w:rsid w:val="00076E00"/>
    <w:rsid w:val="00077386"/>
    <w:rsid w:val="0008016C"/>
    <w:rsid w:val="000819C0"/>
    <w:rsid w:val="00081DC3"/>
    <w:rsid w:val="000821A1"/>
    <w:rsid w:val="00082BD1"/>
    <w:rsid w:val="00083D72"/>
    <w:rsid w:val="000844C5"/>
    <w:rsid w:val="00084FF3"/>
    <w:rsid w:val="00085FD8"/>
    <w:rsid w:val="0008622A"/>
    <w:rsid w:val="00090AAF"/>
    <w:rsid w:val="00090BB7"/>
    <w:rsid w:val="00091EC0"/>
    <w:rsid w:val="00092504"/>
    <w:rsid w:val="00092B00"/>
    <w:rsid w:val="00092C34"/>
    <w:rsid w:val="000973F8"/>
    <w:rsid w:val="000A2A34"/>
    <w:rsid w:val="000A3998"/>
    <w:rsid w:val="000A4C17"/>
    <w:rsid w:val="000A61FC"/>
    <w:rsid w:val="000A61FE"/>
    <w:rsid w:val="000A7210"/>
    <w:rsid w:val="000B051F"/>
    <w:rsid w:val="000B0A70"/>
    <w:rsid w:val="000B1507"/>
    <w:rsid w:val="000B226A"/>
    <w:rsid w:val="000B4363"/>
    <w:rsid w:val="000B593F"/>
    <w:rsid w:val="000B5D25"/>
    <w:rsid w:val="000C3198"/>
    <w:rsid w:val="000C32D4"/>
    <w:rsid w:val="000C35B5"/>
    <w:rsid w:val="000C53E0"/>
    <w:rsid w:val="000C5E7B"/>
    <w:rsid w:val="000C7B3C"/>
    <w:rsid w:val="000D29F4"/>
    <w:rsid w:val="000D6CF5"/>
    <w:rsid w:val="000E023D"/>
    <w:rsid w:val="000E0AB2"/>
    <w:rsid w:val="000E1B6C"/>
    <w:rsid w:val="000E4AE2"/>
    <w:rsid w:val="000E577F"/>
    <w:rsid w:val="000E6630"/>
    <w:rsid w:val="000F19D8"/>
    <w:rsid w:val="000F1B97"/>
    <w:rsid w:val="000F3C33"/>
    <w:rsid w:val="000F4A3B"/>
    <w:rsid w:val="000F4CE8"/>
    <w:rsid w:val="001018E2"/>
    <w:rsid w:val="0010305D"/>
    <w:rsid w:val="001036AD"/>
    <w:rsid w:val="001040D5"/>
    <w:rsid w:val="001050DA"/>
    <w:rsid w:val="001064D7"/>
    <w:rsid w:val="00111084"/>
    <w:rsid w:val="001117AF"/>
    <w:rsid w:val="00113794"/>
    <w:rsid w:val="00115B5E"/>
    <w:rsid w:val="00117C75"/>
    <w:rsid w:val="00122E38"/>
    <w:rsid w:val="00123381"/>
    <w:rsid w:val="00124C46"/>
    <w:rsid w:val="0012660A"/>
    <w:rsid w:val="00126D94"/>
    <w:rsid w:val="00131914"/>
    <w:rsid w:val="0013245B"/>
    <w:rsid w:val="00134A81"/>
    <w:rsid w:val="00135688"/>
    <w:rsid w:val="00136191"/>
    <w:rsid w:val="00141391"/>
    <w:rsid w:val="00142FAD"/>
    <w:rsid w:val="0014686E"/>
    <w:rsid w:val="00147B81"/>
    <w:rsid w:val="00150ABB"/>
    <w:rsid w:val="001532ED"/>
    <w:rsid w:val="001602C5"/>
    <w:rsid w:val="0016215B"/>
    <w:rsid w:val="001622C0"/>
    <w:rsid w:val="00162784"/>
    <w:rsid w:val="001647BB"/>
    <w:rsid w:val="0016491D"/>
    <w:rsid w:val="00167CE9"/>
    <w:rsid w:val="00173530"/>
    <w:rsid w:val="0017400A"/>
    <w:rsid w:val="00176EFD"/>
    <w:rsid w:val="00177FA6"/>
    <w:rsid w:val="001809AD"/>
    <w:rsid w:val="001818CE"/>
    <w:rsid w:val="00181DCA"/>
    <w:rsid w:val="00182654"/>
    <w:rsid w:val="00182FBA"/>
    <w:rsid w:val="001844FC"/>
    <w:rsid w:val="00184AF2"/>
    <w:rsid w:val="00190A45"/>
    <w:rsid w:val="001922C3"/>
    <w:rsid w:val="00192A5B"/>
    <w:rsid w:val="001966BA"/>
    <w:rsid w:val="001A05C7"/>
    <w:rsid w:val="001A1D91"/>
    <w:rsid w:val="001A344D"/>
    <w:rsid w:val="001A36A9"/>
    <w:rsid w:val="001A7E28"/>
    <w:rsid w:val="001B03ED"/>
    <w:rsid w:val="001B0B72"/>
    <w:rsid w:val="001B145A"/>
    <w:rsid w:val="001B2B09"/>
    <w:rsid w:val="001B3029"/>
    <w:rsid w:val="001B47CF"/>
    <w:rsid w:val="001B6249"/>
    <w:rsid w:val="001B7FB5"/>
    <w:rsid w:val="001C19B4"/>
    <w:rsid w:val="001C209D"/>
    <w:rsid w:val="001C49C9"/>
    <w:rsid w:val="001C5350"/>
    <w:rsid w:val="001C7E50"/>
    <w:rsid w:val="001D0624"/>
    <w:rsid w:val="001D2C4D"/>
    <w:rsid w:val="001D3388"/>
    <w:rsid w:val="001D421B"/>
    <w:rsid w:val="001D466C"/>
    <w:rsid w:val="001D5FEA"/>
    <w:rsid w:val="001D7791"/>
    <w:rsid w:val="001E216C"/>
    <w:rsid w:val="001E2A4B"/>
    <w:rsid w:val="001E2D15"/>
    <w:rsid w:val="001E3871"/>
    <w:rsid w:val="001E56A7"/>
    <w:rsid w:val="001E7665"/>
    <w:rsid w:val="001E7CEE"/>
    <w:rsid w:val="001F0376"/>
    <w:rsid w:val="001F4B34"/>
    <w:rsid w:val="001F7A32"/>
    <w:rsid w:val="00201456"/>
    <w:rsid w:val="00201C5F"/>
    <w:rsid w:val="00205CEE"/>
    <w:rsid w:val="00210503"/>
    <w:rsid w:val="002118AB"/>
    <w:rsid w:val="002126D9"/>
    <w:rsid w:val="00213E30"/>
    <w:rsid w:val="0021604E"/>
    <w:rsid w:val="00217B16"/>
    <w:rsid w:val="002211F8"/>
    <w:rsid w:val="002306B0"/>
    <w:rsid w:val="00233834"/>
    <w:rsid w:val="00234126"/>
    <w:rsid w:val="002348A6"/>
    <w:rsid w:val="00236B80"/>
    <w:rsid w:val="00240F1D"/>
    <w:rsid w:val="002431FA"/>
    <w:rsid w:val="002446E2"/>
    <w:rsid w:val="00247197"/>
    <w:rsid w:val="0025034B"/>
    <w:rsid w:val="00250A16"/>
    <w:rsid w:val="0025217B"/>
    <w:rsid w:val="00254E39"/>
    <w:rsid w:val="00255F9C"/>
    <w:rsid w:val="0026107B"/>
    <w:rsid w:val="00261162"/>
    <w:rsid w:val="00262D99"/>
    <w:rsid w:val="00263789"/>
    <w:rsid w:val="002666A7"/>
    <w:rsid w:val="00266E7D"/>
    <w:rsid w:val="0026725F"/>
    <w:rsid w:val="00275782"/>
    <w:rsid w:val="00275CE1"/>
    <w:rsid w:val="002768F3"/>
    <w:rsid w:val="00277890"/>
    <w:rsid w:val="002813D0"/>
    <w:rsid w:val="00284FE2"/>
    <w:rsid w:val="00285718"/>
    <w:rsid w:val="002863DE"/>
    <w:rsid w:val="00290007"/>
    <w:rsid w:val="00294C50"/>
    <w:rsid w:val="00295D04"/>
    <w:rsid w:val="00296ECE"/>
    <w:rsid w:val="0029709E"/>
    <w:rsid w:val="002978CE"/>
    <w:rsid w:val="002A2585"/>
    <w:rsid w:val="002A2C84"/>
    <w:rsid w:val="002A3520"/>
    <w:rsid w:val="002A7256"/>
    <w:rsid w:val="002A7C01"/>
    <w:rsid w:val="002B0727"/>
    <w:rsid w:val="002B1FD6"/>
    <w:rsid w:val="002B5424"/>
    <w:rsid w:val="002B7008"/>
    <w:rsid w:val="002B77A1"/>
    <w:rsid w:val="002B7DB0"/>
    <w:rsid w:val="002C022E"/>
    <w:rsid w:val="002C18D7"/>
    <w:rsid w:val="002C40F4"/>
    <w:rsid w:val="002C721D"/>
    <w:rsid w:val="002C7925"/>
    <w:rsid w:val="002D044E"/>
    <w:rsid w:val="002D07F4"/>
    <w:rsid w:val="002D3ADD"/>
    <w:rsid w:val="002D4561"/>
    <w:rsid w:val="002D49FE"/>
    <w:rsid w:val="002D6251"/>
    <w:rsid w:val="002D7368"/>
    <w:rsid w:val="002D7540"/>
    <w:rsid w:val="002D7A4E"/>
    <w:rsid w:val="002D7D6F"/>
    <w:rsid w:val="002E08A7"/>
    <w:rsid w:val="002E0A53"/>
    <w:rsid w:val="002E1F62"/>
    <w:rsid w:val="002E3251"/>
    <w:rsid w:val="002E356B"/>
    <w:rsid w:val="002E671D"/>
    <w:rsid w:val="002F14E0"/>
    <w:rsid w:val="002F386B"/>
    <w:rsid w:val="002F413E"/>
    <w:rsid w:val="002F67EC"/>
    <w:rsid w:val="0030029E"/>
    <w:rsid w:val="00301041"/>
    <w:rsid w:val="0030478F"/>
    <w:rsid w:val="00312323"/>
    <w:rsid w:val="003128B6"/>
    <w:rsid w:val="00313B99"/>
    <w:rsid w:val="00316883"/>
    <w:rsid w:val="003202CC"/>
    <w:rsid w:val="00321B9B"/>
    <w:rsid w:val="00321BEA"/>
    <w:rsid w:val="00321FE1"/>
    <w:rsid w:val="0032377D"/>
    <w:rsid w:val="003250AF"/>
    <w:rsid w:val="003264DB"/>
    <w:rsid w:val="00326842"/>
    <w:rsid w:val="00330850"/>
    <w:rsid w:val="003321EA"/>
    <w:rsid w:val="00334FB8"/>
    <w:rsid w:val="00335A26"/>
    <w:rsid w:val="003367E3"/>
    <w:rsid w:val="00336AC0"/>
    <w:rsid w:val="00336C0A"/>
    <w:rsid w:val="0033700A"/>
    <w:rsid w:val="003374DF"/>
    <w:rsid w:val="00337AD1"/>
    <w:rsid w:val="00340627"/>
    <w:rsid w:val="003433EC"/>
    <w:rsid w:val="00345970"/>
    <w:rsid w:val="00345F55"/>
    <w:rsid w:val="0034684B"/>
    <w:rsid w:val="00346E04"/>
    <w:rsid w:val="00347457"/>
    <w:rsid w:val="00347BCC"/>
    <w:rsid w:val="003513CB"/>
    <w:rsid w:val="00351F4C"/>
    <w:rsid w:val="00357490"/>
    <w:rsid w:val="00357CB3"/>
    <w:rsid w:val="003615D2"/>
    <w:rsid w:val="00363070"/>
    <w:rsid w:val="003638A8"/>
    <w:rsid w:val="003645D5"/>
    <w:rsid w:val="00365D8A"/>
    <w:rsid w:val="00366F63"/>
    <w:rsid w:val="00367A5B"/>
    <w:rsid w:val="003726C8"/>
    <w:rsid w:val="00372853"/>
    <w:rsid w:val="00372BB9"/>
    <w:rsid w:val="003745BC"/>
    <w:rsid w:val="00374772"/>
    <w:rsid w:val="003758EE"/>
    <w:rsid w:val="00376523"/>
    <w:rsid w:val="00380E2E"/>
    <w:rsid w:val="003837E1"/>
    <w:rsid w:val="00383FE7"/>
    <w:rsid w:val="00387411"/>
    <w:rsid w:val="00387991"/>
    <w:rsid w:val="003901E8"/>
    <w:rsid w:val="00390880"/>
    <w:rsid w:val="003910F4"/>
    <w:rsid w:val="00391D3A"/>
    <w:rsid w:val="00393DA0"/>
    <w:rsid w:val="003A17BE"/>
    <w:rsid w:val="003A3A72"/>
    <w:rsid w:val="003A468C"/>
    <w:rsid w:val="003A7036"/>
    <w:rsid w:val="003A7848"/>
    <w:rsid w:val="003B129E"/>
    <w:rsid w:val="003B22E2"/>
    <w:rsid w:val="003B25C9"/>
    <w:rsid w:val="003B3C6C"/>
    <w:rsid w:val="003B620B"/>
    <w:rsid w:val="003B7B55"/>
    <w:rsid w:val="003C6534"/>
    <w:rsid w:val="003D06C9"/>
    <w:rsid w:val="003D23D7"/>
    <w:rsid w:val="003D4694"/>
    <w:rsid w:val="003D6024"/>
    <w:rsid w:val="003D65BA"/>
    <w:rsid w:val="003E108D"/>
    <w:rsid w:val="003E52E9"/>
    <w:rsid w:val="003E62CC"/>
    <w:rsid w:val="003E7C10"/>
    <w:rsid w:val="003E7DE2"/>
    <w:rsid w:val="003F0454"/>
    <w:rsid w:val="003F66A1"/>
    <w:rsid w:val="003F6747"/>
    <w:rsid w:val="00401447"/>
    <w:rsid w:val="00401E4A"/>
    <w:rsid w:val="00402A56"/>
    <w:rsid w:val="0040720D"/>
    <w:rsid w:val="0040776A"/>
    <w:rsid w:val="004109A2"/>
    <w:rsid w:val="0041214A"/>
    <w:rsid w:val="00412D5F"/>
    <w:rsid w:val="00413BB6"/>
    <w:rsid w:val="00414311"/>
    <w:rsid w:val="00414C25"/>
    <w:rsid w:val="00415A15"/>
    <w:rsid w:val="004176B3"/>
    <w:rsid w:val="00420C4C"/>
    <w:rsid w:val="00425546"/>
    <w:rsid w:val="00427964"/>
    <w:rsid w:val="004310FF"/>
    <w:rsid w:val="00433341"/>
    <w:rsid w:val="004342B0"/>
    <w:rsid w:val="00434840"/>
    <w:rsid w:val="00435360"/>
    <w:rsid w:val="0043602C"/>
    <w:rsid w:val="00437997"/>
    <w:rsid w:val="00437FCF"/>
    <w:rsid w:val="00440D57"/>
    <w:rsid w:val="004415B9"/>
    <w:rsid w:val="00444E74"/>
    <w:rsid w:val="00447ABD"/>
    <w:rsid w:val="004505BD"/>
    <w:rsid w:val="0045116D"/>
    <w:rsid w:val="004556EE"/>
    <w:rsid w:val="00455C25"/>
    <w:rsid w:val="00456060"/>
    <w:rsid w:val="004560DD"/>
    <w:rsid w:val="00461871"/>
    <w:rsid w:val="00462578"/>
    <w:rsid w:val="00464A9D"/>
    <w:rsid w:val="00464D2C"/>
    <w:rsid w:val="00464FF0"/>
    <w:rsid w:val="004739BF"/>
    <w:rsid w:val="004739D2"/>
    <w:rsid w:val="00474C1E"/>
    <w:rsid w:val="004839FB"/>
    <w:rsid w:val="004853A4"/>
    <w:rsid w:val="0048610A"/>
    <w:rsid w:val="00490D61"/>
    <w:rsid w:val="004942F7"/>
    <w:rsid w:val="00494B76"/>
    <w:rsid w:val="00496551"/>
    <w:rsid w:val="004967CF"/>
    <w:rsid w:val="004967D1"/>
    <w:rsid w:val="004A21C9"/>
    <w:rsid w:val="004A2993"/>
    <w:rsid w:val="004A4A7E"/>
    <w:rsid w:val="004A4DBF"/>
    <w:rsid w:val="004A7234"/>
    <w:rsid w:val="004B25C3"/>
    <w:rsid w:val="004B331A"/>
    <w:rsid w:val="004B59C7"/>
    <w:rsid w:val="004B6F2A"/>
    <w:rsid w:val="004C1B3E"/>
    <w:rsid w:val="004C45E0"/>
    <w:rsid w:val="004C7666"/>
    <w:rsid w:val="004D40CB"/>
    <w:rsid w:val="004D5542"/>
    <w:rsid w:val="004D6A87"/>
    <w:rsid w:val="004E0392"/>
    <w:rsid w:val="004E1727"/>
    <w:rsid w:val="004E579D"/>
    <w:rsid w:val="004E7D76"/>
    <w:rsid w:val="004F00E7"/>
    <w:rsid w:val="004F0210"/>
    <w:rsid w:val="004F62DD"/>
    <w:rsid w:val="005009A8"/>
    <w:rsid w:val="005023E7"/>
    <w:rsid w:val="00503AC4"/>
    <w:rsid w:val="0050522F"/>
    <w:rsid w:val="00505D34"/>
    <w:rsid w:val="005066E8"/>
    <w:rsid w:val="00506F09"/>
    <w:rsid w:val="00512597"/>
    <w:rsid w:val="00515722"/>
    <w:rsid w:val="00516975"/>
    <w:rsid w:val="0051719F"/>
    <w:rsid w:val="00517A06"/>
    <w:rsid w:val="00521073"/>
    <w:rsid w:val="00521F0B"/>
    <w:rsid w:val="005226C9"/>
    <w:rsid w:val="005228C8"/>
    <w:rsid w:val="00523C5C"/>
    <w:rsid w:val="005242CB"/>
    <w:rsid w:val="00524432"/>
    <w:rsid w:val="0053100D"/>
    <w:rsid w:val="005313F0"/>
    <w:rsid w:val="00531E1D"/>
    <w:rsid w:val="00532434"/>
    <w:rsid w:val="00532A53"/>
    <w:rsid w:val="00534132"/>
    <w:rsid w:val="00535F4E"/>
    <w:rsid w:val="00540407"/>
    <w:rsid w:val="00541C96"/>
    <w:rsid w:val="00541D12"/>
    <w:rsid w:val="005459C6"/>
    <w:rsid w:val="00546FEB"/>
    <w:rsid w:val="00554789"/>
    <w:rsid w:val="00554F4C"/>
    <w:rsid w:val="00556516"/>
    <w:rsid w:val="0055716C"/>
    <w:rsid w:val="005600B6"/>
    <w:rsid w:val="005621B1"/>
    <w:rsid w:val="00564076"/>
    <w:rsid w:val="00566323"/>
    <w:rsid w:val="00566B2F"/>
    <w:rsid w:val="005673F4"/>
    <w:rsid w:val="00567442"/>
    <w:rsid w:val="005704A4"/>
    <w:rsid w:val="00571D46"/>
    <w:rsid w:val="005725DE"/>
    <w:rsid w:val="00575BEE"/>
    <w:rsid w:val="00575CE9"/>
    <w:rsid w:val="00576D4F"/>
    <w:rsid w:val="0058175D"/>
    <w:rsid w:val="005857CF"/>
    <w:rsid w:val="00587046"/>
    <w:rsid w:val="005874F9"/>
    <w:rsid w:val="00587A76"/>
    <w:rsid w:val="00590114"/>
    <w:rsid w:val="00590D83"/>
    <w:rsid w:val="00590ED0"/>
    <w:rsid w:val="00591858"/>
    <w:rsid w:val="00594A81"/>
    <w:rsid w:val="005960AC"/>
    <w:rsid w:val="005A1423"/>
    <w:rsid w:val="005A2EA0"/>
    <w:rsid w:val="005A3D56"/>
    <w:rsid w:val="005A435D"/>
    <w:rsid w:val="005A43EE"/>
    <w:rsid w:val="005A4490"/>
    <w:rsid w:val="005A5C60"/>
    <w:rsid w:val="005B015E"/>
    <w:rsid w:val="005B1264"/>
    <w:rsid w:val="005B1B5F"/>
    <w:rsid w:val="005B3BCC"/>
    <w:rsid w:val="005B528A"/>
    <w:rsid w:val="005B5717"/>
    <w:rsid w:val="005B65EE"/>
    <w:rsid w:val="005B680C"/>
    <w:rsid w:val="005B68B3"/>
    <w:rsid w:val="005B6C02"/>
    <w:rsid w:val="005C2487"/>
    <w:rsid w:val="005C2E11"/>
    <w:rsid w:val="005C3AA3"/>
    <w:rsid w:val="005C5325"/>
    <w:rsid w:val="005C583E"/>
    <w:rsid w:val="005C5D4C"/>
    <w:rsid w:val="005C67E4"/>
    <w:rsid w:val="005C7698"/>
    <w:rsid w:val="005C7B04"/>
    <w:rsid w:val="005D4460"/>
    <w:rsid w:val="005D62F5"/>
    <w:rsid w:val="005D67F8"/>
    <w:rsid w:val="005D6C00"/>
    <w:rsid w:val="005D6F38"/>
    <w:rsid w:val="005D79A5"/>
    <w:rsid w:val="005D7AFF"/>
    <w:rsid w:val="005E084F"/>
    <w:rsid w:val="005E1E91"/>
    <w:rsid w:val="005E30F1"/>
    <w:rsid w:val="005E68A3"/>
    <w:rsid w:val="005F07D4"/>
    <w:rsid w:val="005F1052"/>
    <w:rsid w:val="005F4209"/>
    <w:rsid w:val="005F45C6"/>
    <w:rsid w:val="005F4696"/>
    <w:rsid w:val="005F4A8C"/>
    <w:rsid w:val="00601AA4"/>
    <w:rsid w:val="00601CCA"/>
    <w:rsid w:val="00602C6C"/>
    <w:rsid w:val="0060368B"/>
    <w:rsid w:val="0060518B"/>
    <w:rsid w:val="00605963"/>
    <w:rsid w:val="00605E0D"/>
    <w:rsid w:val="00605F1B"/>
    <w:rsid w:val="00607D3A"/>
    <w:rsid w:val="00611B18"/>
    <w:rsid w:val="00611DAB"/>
    <w:rsid w:val="00612D27"/>
    <w:rsid w:val="006132C6"/>
    <w:rsid w:val="006215E2"/>
    <w:rsid w:val="0062193C"/>
    <w:rsid w:val="00622989"/>
    <w:rsid w:val="00624E89"/>
    <w:rsid w:val="00625477"/>
    <w:rsid w:val="00625A6C"/>
    <w:rsid w:val="00627038"/>
    <w:rsid w:val="006308E0"/>
    <w:rsid w:val="00632EA4"/>
    <w:rsid w:val="0063367C"/>
    <w:rsid w:val="006342E7"/>
    <w:rsid w:val="0063527F"/>
    <w:rsid w:val="006371D6"/>
    <w:rsid w:val="006431C7"/>
    <w:rsid w:val="00644E8B"/>
    <w:rsid w:val="006458C4"/>
    <w:rsid w:val="006459A4"/>
    <w:rsid w:val="00647166"/>
    <w:rsid w:val="00652240"/>
    <w:rsid w:val="00654574"/>
    <w:rsid w:val="006550C3"/>
    <w:rsid w:val="00657E5D"/>
    <w:rsid w:val="0066346D"/>
    <w:rsid w:val="0066399F"/>
    <w:rsid w:val="0066404C"/>
    <w:rsid w:val="00664E3A"/>
    <w:rsid w:val="006659DF"/>
    <w:rsid w:val="006723B6"/>
    <w:rsid w:val="00672FFF"/>
    <w:rsid w:val="00673376"/>
    <w:rsid w:val="006739AB"/>
    <w:rsid w:val="00673C74"/>
    <w:rsid w:val="00674E45"/>
    <w:rsid w:val="00681EB0"/>
    <w:rsid w:val="00684961"/>
    <w:rsid w:val="00684EC4"/>
    <w:rsid w:val="0068551C"/>
    <w:rsid w:val="006856BE"/>
    <w:rsid w:val="00687CD5"/>
    <w:rsid w:val="00691135"/>
    <w:rsid w:val="006923A6"/>
    <w:rsid w:val="006923E3"/>
    <w:rsid w:val="006936D5"/>
    <w:rsid w:val="0069455E"/>
    <w:rsid w:val="00695F14"/>
    <w:rsid w:val="00696786"/>
    <w:rsid w:val="00696BA4"/>
    <w:rsid w:val="006A092F"/>
    <w:rsid w:val="006A3188"/>
    <w:rsid w:val="006A4E3B"/>
    <w:rsid w:val="006A5208"/>
    <w:rsid w:val="006B0644"/>
    <w:rsid w:val="006B0CE7"/>
    <w:rsid w:val="006B2433"/>
    <w:rsid w:val="006B25E3"/>
    <w:rsid w:val="006B5093"/>
    <w:rsid w:val="006B7ABB"/>
    <w:rsid w:val="006C0950"/>
    <w:rsid w:val="006C19B7"/>
    <w:rsid w:val="006C694C"/>
    <w:rsid w:val="006C74FE"/>
    <w:rsid w:val="006D304D"/>
    <w:rsid w:val="006D3673"/>
    <w:rsid w:val="006D49EE"/>
    <w:rsid w:val="006D524D"/>
    <w:rsid w:val="006D675B"/>
    <w:rsid w:val="006E3B1C"/>
    <w:rsid w:val="006E519C"/>
    <w:rsid w:val="006E5A81"/>
    <w:rsid w:val="006E5F28"/>
    <w:rsid w:val="006E79AD"/>
    <w:rsid w:val="006F038A"/>
    <w:rsid w:val="006F0F68"/>
    <w:rsid w:val="006F2107"/>
    <w:rsid w:val="006F2BB7"/>
    <w:rsid w:val="006F3506"/>
    <w:rsid w:val="006F51BE"/>
    <w:rsid w:val="006F5F8E"/>
    <w:rsid w:val="006F7701"/>
    <w:rsid w:val="0070206E"/>
    <w:rsid w:val="00703F34"/>
    <w:rsid w:val="0071080C"/>
    <w:rsid w:val="007108B5"/>
    <w:rsid w:val="00712056"/>
    <w:rsid w:val="00712227"/>
    <w:rsid w:val="0071409C"/>
    <w:rsid w:val="00714291"/>
    <w:rsid w:val="007154A3"/>
    <w:rsid w:val="007167C7"/>
    <w:rsid w:val="007200A5"/>
    <w:rsid w:val="007201FB"/>
    <w:rsid w:val="00720DC8"/>
    <w:rsid w:val="00721DBE"/>
    <w:rsid w:val="0072523B"/>
    <w:rsid w:val="00730971"/>
    <w:rsid w:val="00731116"/>
    <w:rsid w:val="00733611"/>
    <w:rsid w:val="00734068"/>
    <w:rsid w:val="007367F3"/>
    <w:rsid w:val="007372CF"/>
    <w:rsid w:val="00740263"/>
    <w:rsid w:val="007406FF"/>
    <w:rsid w:val="00740710"/>
    <w:rsid w:val="00740B91"/>
    <w:rsid w:val="00742C0F"/>
    <w:rsid w:val="0074337E"/>
    <w:rsid w:val="00744284"/>
    <w:rsid w:val="007443BB"/>
    <w:rsid w:val="00744A1A"/>
    <w:rsid w:val="00745528"/>
    <w:rsid w:val="0074736F"/>
    <w:rsid w:val="007532B7"/>
    <w:rsid w:val="007533D8"/>
    <w:rsid w:val="00754014"/>
    <w:rsid w:val="007567C8"/>
    <w:rsid w:val="007617ED"/>
    <w:rsid w:val="00762533"/>
    <w:rsid w:val="00764A0F"/>
    <w:rsid w:val="00771282"/>
    <w:rsid w:val="00772848"/>
    <w:rsid w:val="00773B04"/>
    <w:rsid w:val="00775F9E"/>
    <w:rsid w:val="0077675B"/>
    <w:rsid w:val="00776A41"/>
    <w:rsid w:val="0077767D"/>
    <w:rsid w:val="00783084"/>
    <w:rsid w:val="00783B1D"/>
    <w:rsid w:val="00783C0B"/>
    <w:rsid w:val="00787966"/>
    <w:rsid w:val="007914A9"/>
    <w:rsid w:val="0079227F"/>
    <w:rsid w:val="00794DAC"/>
    <w:rsid w:val="00796575"/>
    <w:rsid w:val="007972FA"/>
    <w:rsid w:val="007974F6"/>
    <w:rsid w:val="00797E5B"/>
    <w:rsid w:val="007A1B23"/>
    <w:rsid w:val="007A38D4"/>
    <w:rsid w:val="007A4ADF"/>
    <w:rsid w:val="007B576A"/>
    <w:rsid w:val="007B5E19"/>
    <w:rsid w:val="007B6B3C"/>
    <w:rsid w:val="007B76CD"/>
    <w:rsid w:val="007C308B"/>
    <w:rsid w:val="007C352B"/>
    <w:rsid w:val="007C3C8E"/>
    <w:rsid w:val="007C431E"/>
    <w:rsid w:val="007C5158"/>
    <w:rsid w:val="007C58A3"/>
    <w:rsid w:val="007C612B"/>
    <w:rsid w:val="007C625E"/>
    <w:rsid w:val="007C6FEE"/>
    <w:rsid w:val="007C73F6"/>
    <w:rsid w:val="007D062A"/>
    <w:rsid w:val="007D0B22"/>
    <w:rsid w:val="007D36D7"/>
    <w:rsid w:val="007D3ABB"/>
    <w:rsid w:val="007D4BB6"/>
    <w:rsid w:val="007D618D"/>
    <w:rsid w:val="007D7BD0"/>
    <w:rsid w:val="007D7F1B"/>
    <w:rsid w:val="007E1CB2"/>
    <w:rsid w:val="007E288B"/>
    <w:rsid w:val="007E33E9"/>
    <w:rsid w:val="007E3D14"/>
    <w:rsid w:val="007E5444"/>
    <w:rsid w:val="007E5B2D"/>
    <w:rsid w:val="007E5ED4"/>
    <w:rsid w:val="007E5EF8"/>
    <w:rsid w:val="007E6668"/>
    <w:rsid w:val="007E6FA8"/>
    <w:rsid w:val="007F1192"/>
    <w:rsid w:val="007F294E"/>
    <w:rsid w:val="007F38D6"/>
    <w:rsid w:val="00801413"/>
    <w:rsid w:val="0080184F"/>
    <w:rsid w:val="008049BE"/>
    <w:rsid w:val="008054FD"/>
    <w:rsid w:val="00805BC2"/>
    <w:rsid w:val="00805D0F"/>
    <w:rsid w:val="00806097"/>
    <w:rsid w:val="008068BB"/>
    <w:rsid w:val="00812C4F"/>
    <w:rsid w:val="00813BD3"/>
    <w:rsid w:val="00816282"/>
    <w:rsid w:val="00816D19"/>
    <w:rsid w:val="00821590"/>
    <w:rsid w:val="00822115"/>
    <w:rsid w:val="008224CF"/>
    <w:rsid w:val="008239E3"/>
    <w:rsid w:val="00823D78"/>
    <w:rsid w:val="00823FFD"/>
    <w:rsid w:val="00824C51"/>
    <w:rsid w:val="00825164"/>
    <w:rsid w:val="00825AE1"/>
    <w:rsid w:val="00825E2E"/>
    <w:rsid w:val="00826FCA"/>
    <w:rsid w:val="00832C3F"/>
    <w:rsid w:val="00836D26"/>
    <w:rsid w:val="00836F1C"/>
    <w:rsid w:val="008378D0"/>
    <w:rsid w:val="00837F39"/>
    <w:rsid w:val="00841809"/>
    <w:rsid w:val="00843B80"/>
    <w:rsid w:val="00852B1E"/>
    <w:rsid w:val="00852DC1"/>
    <w:rsid w:val="00854006"/>
    <w:rsid w:val="0085400A"/>
    <w:rsid w:val="008542C0"/>
    <w:rsid w:val="00856063"/>
    <w:rsid w:val="00857791"/>
    <w:rsid w:val="0086035A"/>
    <w:rsid w:val="0086067C"/>
    <w:rsid w:val="00860682"/>
    <w:rsid w:val="00861EA3"/>
    <w:rsid w:val="008655C1"/>
    <w:rsid w:val="00865A9A"/>
    <w:rsid w:val="00866D2F"/>
    <w:rsid w:val="00870580"/>
    <w:rsid w:val="00872300"/>
    <w:rsid w:val="00872B35"/>
    <w:rsid w:val="008732EE"/>
    <w:rsid w:val="008740FA"/>
    <w:rsid w:val="00875077"/>
    <w:rsid w:val="00875F27"/>
    <w:rsid w:val="008760B3"/>
    <w:rsid w:val="00876B70"/>
    <w:rsid w:val="008838FE"/>
    <w:rsid w:val="0088407F"/>
    <w:rsid w:val="00884B45"/>
    <w:rsid w:val="00885859"/>
    <w:rsid w:val="0088627F"/>
    <w:rsid w:val="008874A5"/>
    <w:rsid w:val="00890062"/>
    <w:rsid w:val="00890E8D"/>
    <w:rsid w:val="00892249"/>
    <w:rsid w:val="00897893"/>
    <w:rsid w:val="008A0267"/>
    <w:rsid w:val="008A107C"/>
    <w:rsid w:val="008A1B07"/>
    <w:rsid w:val="008A36DB"/>
    <w:rsid w:val="008A4B8F"/>
    <w:rsid w:val="008A5150"/>
    <w:rsid w:val="008A704B"/>
    <w:rsid w:val="008A7387"/>
    <w:rsid w:val="008B1394"/>
    <w:rsid w:val="008B29AB"/>
    <w:rsid w:val="008B2AED"/>
    <w:rsid w:val="008B3975"/>
    <w:rsid w:val="008B5D39"/>
    <w:rsid w:val="008B5DC1"/>
    <w:rsid w:val="008B648C"/>
    <w:rsid w:val="008B6A54"/>
    <w:rsid w:val="008B6B4A"/>
    <w:rsid w:val="008C0E9C"/>
    <w:rsid w:val="008C1A7F"/>
    <w:rsid w:val="008C2B63"/>
    <w:rsid w:val="008C73D7"/>
    <w:rsid w:val="008C76A1"/>
    <w:rsid w:val="008C7FB0"/>
    <w:rsid w:val="008D0771"/>
    <w:rsid w:val="008D2410"/>
    <w:rsid w:val="008D2724"/>
    <w:rsid w:val="008D5138"/>
    <w:rsid w:val="008D7151"/>
    <w:rsid w:val="008E1326"/>
    <w:rsid w:val="008E1E47"/>
    <w:rsid w:val="008E1F02"/>
    <w:rsid w:val="008E2243"/>
    <w:rsid w:val="008E305C"/>
    <w:rsid w:val="008E36D1"/>
    <w:rsid w:val="008E54BE"/>
    <w:rsid w:val="008E6A7A"/>
    <w:rsid w:val="008E6C40"/>
    <w:rsid w:val="008E714C"/>
    <w:rsid w:val="008E77E0"/>
    <w:rsid w:val="008E78CE"/>
    <w:rsid w:val="008F3C76"/>
    <w:rsid w:val="008F5579"/>
    <w:rsid w:val="008F5ED9"/>
    <w:rsid w:val="008F5FC9"/>
    <w:rsid w:val="008F6DB7"/>
    <w:rsid w:val="008F78FC"/>
    <w:rsid w:val="00904E3B"/>
    <w:rsid w:val="009070DB"/>
    <w:rsid w:val="00907332"/>
    <w:rsid w:val="00907808"/>
    <w:rsid w:val="00913902"/>
    <w:rsid w:val="00914570"/>
    <w:rsid w:val="0091526A"/>
    <w:rsid w:val="0091630E"/>
    <w:rsid w:val="009166FB"/>
    <w:rsid w:val="00922715"/>
    <w:rsid w:val="00923094"/>
    <w:rsid w:val="00924559"/>
    <w:rsid w:val="00924652"/>
    <w:rsid w:val="00926B99"/>
    <w:rsid w:val="0092714D"/>
    <w:rsid w:val="009314F5"/>
    <w:rsid w:val="00931589"/>
    <w:rsid w:val="00932710"/>
    <w:rsid w:val="00933472"/>
    <w:rsid w:val="00933911"/>
    <w:rsid w:val="0093473A"/>
    <w:rsid w:val="00935948"/>
    <w:rsid w:val="00935C05"/>
    <w:rsid w:val="00935CD0"/>
    <w:rsid w:val="00936ACD"/>
    <w:rsid w:val="00936C3F"/>
    <w:rsid w:val="00937D7A"/>
    <w:rsid w:val="00941A89"/>
    <w:rsid w:val="009420BF"/>
    <w:rsid w:val="00942365"/>
    <w:rsid w:val="00942BF3"/>
    <w:rsid w:val="00945C0F"/>
    <w:rsid w:val="00945CAD"/>
    <w:rsid w:val="009468F1"/>
    <w:rsid w:val="0095133E"/>
    <w:rsid w:val="009530E3"/>
    <w:rsid w:val="00953C2C"/>
    <w:rsid w:val="009552F8"/>
    <w:rsid w:val="0095606D"/>
    <w:rsid w:val="00956168"/>
    <w:rsid w:val="00957218"/>
    <w:rsid w:val="009621CB"/>
    <w:rsid w:val="00962CBB"/>
    <w:rsid w:val="009660DB"/>
    <w:rsid w:val="0096723E"/>
    <w:rsid w:val="00970DF7"/>
    <w:rsid w:val="0097228B"/>
    <w:rsid w:val="00973624"/>
    <w:rsid w:val="00973ABE"/>
    <w:rsid w:val="00974569"/>
    <w:rsid w:val="00975A38"/>
    <w:rsid w:val="00976707"/>
    <w:rsid w:val="0098024C"/>
    <w:rsid w:val="00981013"/>
    <w:rsid w:val="009810FF"/>
    <w:rsid w:val="00982D40"/>
    <w:rsid w:val="00982E3E"/>
    <w:rsid w:val="00986428"/>
    <w:rsid w:val="00990160"/>
    <w:rsid w:val="00991487"/>
    <w:rsid w:val="00991CEE"/>
    <w:rsid w:val="00992137"/>
    <w:rsid w:val="009925E7"/>
    <w:rsid w:val="00992844"/>
    <w:rsid w:val="00993C87"/>
    <w:rsid w:val="00997575"/>
    <w:rsid w:val="009A10FA"/>
    <w:rsid w:val="009A1AF6"/>
    <w:rsid w:val="009A2400"/>
    <w:rsid w:val="009A37FC"/>
    <w:rsid w:val="009A4946"/>
    <w:rsid w:val="009A5D21"/>
    <w:rsid w:val="009A7C7F"/>
    <w:rsid w:val="009B2745"/>
    <w:rsid w:val="009B2C86"/>
    <w:rsid w:val="009B3162"/>
    <w:rsid w:val="009B3819"/>
    <w:rsid w:val="009B5765"/>
    <w:rsid w:val="009B68AC"/>
    <w:rsid w:val="009B7BD3"/>
    <w:rsid w:val="009B7C45"/>
    <w:rsid w:val="009C3A51"/>
    <w:rsid w:val="009C58D5"/>
    <w:rsid w:val="009C5CEE"/>
    <w:rsid w:val="009C7628"/>
    <w:rsid w:val="009D0E88"/>
    <w:rsid w:val="009D153F"/>
    <w:rsid w:val="009D1D1F"/>
    <w:rsid w:val="009D2C8C"/>
    <w:rsid w:val="009D2F4E"/>
    <w:rsid w:val="009D41A0"/>
    <w:rsid w:val="009D44E1"/>
    <w:rsid w:val="009D609A"/>
    <w:rsid w:val="009D6406"/>
    <w:rsid w:val="009D65DF"/>
    <w:rsid w:val="009D72DD"/>
    <w:rsid w:val="009D7D67"/>
    <w:rsid w:val="009E24F3"/>
    <w:rsid w:val="009E366C"/>
    <w:rsid w:val="009E4BC2"/>
    <w:rsid w:val="009E5B2B"/>
    <w:rsid w:val="009E69F1"/>
    <w:rsid w:val="009E6AFD"/>
    <w:rsid w:val="009E71F0"/>
    <w:rsid w:val="009F0A5E"/>
    <w:rsid w:val="009F0E91"/>
    <w:rsid w:val="009F1394"/>
    <w:rsid w:val="009F29F1"/>
    <w:rsid w:val="009F4063"/>
    <w:rsid w:val="009F450E"/>
    <w:rsid w:val="009F49FC"/>
    <w:rsid w:val="009F55C8"/>
    <w:rsid w:val="00A00D2D"/>
    <w:rsid w:val="00A04912"/>
    <w:rsid w:val="00A04972"/>
    <w:rsid w:val="00A07BFC"/>
    <w:rsid w:val="00A1117A"/>
    <w:rsid w:val="00A126C3"/>
    <w:rsid w:val="00A15E65"/>
    <w:rsid w:val="00A16D8F"/>
    <w:rsid w:val="00A2342F"/>
    <w:rsid w:val="00A23D08"/>
    <w:rsid w:val="00A24C6D"/>
    <w:rsid w:val="00A259E7"/>
    <w:rsid w:val="00A27069"/>
    <w:rsid w:val="00A30CB5"/>
    <w:rsid w:val="00A3292F"/>
    <w:rsid w:val="00A32B1D"/>
    <w:rsid w:val="00A33048"/>
    <w:rsid w:val="00A34B34"/>
    <w:rsid w:val="00A35320"/>
    <w:rsid w:val="00A356FE"/>
    <w:rsid w:val="00A40183"/>
    <w:rsid w:val="00A43D8A"/>
    <w:rsid w:val="00A4598F"/>
    <w:rsid w:val="00A47CB4"/>
    <w:rsid w:val="00A47E80"/>
    <w:rsid w:val="00A47F06"/>
    <w:rsid w:val="00A518A9"/>
    <w:rsid w:val="00A5191F"/>
    <w:rsid w:val="00A528E9"/>
    <w:rsid w:val="00A536AD"/>
    <w:rsid w:val="00A542A5"/>
    <w:rsid w:val="00A62B50"/>
    <w:rsid w:val="00A62C25"/>
    <w:rsid w:val="00A65564"/>
    <w:rsid w:val="00A664E2"/>
    <w:rsid w:val="00A70039"/>
    <w:rsid w:val="00A70123"/>
    <w:rsid w:val="00A7202B"/>
    <w:rsid w:val="00A73312"/>
    <w:rsid w:val="00A747F1"/>
    <w:rsid w:val="00A750E5"/>
    <w:rsid w:val="00A754DA"/>
    <w:rsid w:val="00A7607D"/>
    <w:rsid w:val="00A77075"/>
    <w:rsid w:val="00A84CB0"/>
    <w:rsid w:val="00A908E5"/>
    <w:rsid w:val="00A93578"/>
    <w:rsid w:val="00A94810"/>
    <w:rsid w:val="00AA0EC3"/>
    <w:rsid w:val="00AA142E"/>
    <w:rsid w:val="00AA3E0F"/>
    <w:rsid w:val="00AA4EF8"/>
    <w:rsid w:val="00AA63D8"/>
    <w:rsid w:val="00AB3378"/>
    <w:rsid w:val="00AB3D5C"/>
    <w:rsid w:val="00AB4F51"/>
    <w:rsid w:val="00AB560C"/>
    <w:rsid w:val="00AB5A42"/>
    <w:rsid w:val="00AB7B33"/>
    <w:rsid w:val="00AC199D"/>
    <w:rsid w:val="00AC35CF"/>
    <w:rsid w:val="00AC4560"/>
    <w:rsid w:val="00AC6FE0"/>
    <w:rsid w:val="00AD0B5A"/>
    <w:rsid w:val="00AD2170"/>
    <w:rsid w:val="00AD25E3"/>
    <w:rsid w:val="00AD32FA"/>
    <w:rsid w:val="00AD47E1"/>
    <w:rsid w:val="00AD5857"/>
    <w:rsid w:val="00AD65FE"/>
    <w:rsid w:val="00AE25A4"/>
    <w:rsid w:val="00AE3F06"/>
    <w:rsid w:val="00AE7D80"/>
    <w:rsid w:val="00AE7E97"/>
    <w:rsid w:val="00AF05D6"/>
    <w:rsid w:val="00AF0A06"/>
    <w:rsid w:val="00AF22D7"/>
    <w:rsid w:val="00AF32AE"/>
    <w:rsid w:val="00AF365C"/>
    <w:rsid w:val="00AF3E8E"/>
    <w:rsid w:val="00AF449A"/>
    <w:rsid w:val="00AF55C9"/>
    <w:rsid w:val="00AF5672"/>
    <w:rsid w:val="00AF65A2"/>
    <w:rsid w:val="00AF6CB2"/>
    <w:rsid w:val="00AF6FF3"/>
    <w:rsid w:val="00AF705B"/>
    <w:rsid w:val="00B00830"/>
    <w:rsid w:val="00B0284B"/>
    <w:rsid w:val="00B102AE"/>
    <w:rsid w:val="00B102E6"/>
    <w:rsid w:val="00B12792"/>
    <w:rsid w:val="00B13B48"/>
    <w:rsid w:val="00B15A36"/>
    <w:rsid w:val="00B16E51"/>
    <w:rsid w:val="00B2397A"/>
    <w:rsid w:val="00B23AF1"/>
    <w:rsid w:val="00B23F58"/>
    <w:rsid w:val="00B24F48"/>
    <w:rsid w:val="00B24F78"/>
    <w:rsid w:val="00B27034"/>
    <w:rsid w:val="00B3002E"/>
    <w:rsid w:val="00B33477"/>
    <w:rsid w:val="00B41554"/>
    <w:rsid w:val="00B415C9"/>
    <w:rsid w:val="00B4212F"/>
    <w:rsid w:val="00B42478"/>
    <w:rsid w:val="00B42A2A"/>
    <w:rsid w:val="00B42EFD"/>
    <w:rsid w:val="00B440DC"/>
    <w:rsid w:val="00B44E8B"/>
    <w:rsid w:val="00B45032"/>
    <w:rsid w:val="00B45C2D"/>
    <w:rsid w:val="00B50CF6"/>
    <w:rsid w:val="00B51DE7"/>
    <w:rsid w:val="00B52E78"/>
    <w:rsid w:val="00B5316D"/>
    <w:rsid w:val="00B55A6D"/>
    <w:rsid w:val="00B5605A"/>
    <w:rsid w:val="00B57008"/>
    <w:rsid w:val="00B571B7"/>
    <w:rsid w:val="00B608CA"/>
    <w:rsid w:val="00B6111F"/>
    <w:rsid w:val="00B6115E"/>
    <w:rsid w:val="00B611B7"/>
    <w:rsid w:val="00B61B69"/>
    <w:rsid w:val="00B650E0"/>
    <w:rsid w:val="00B72397"/>
    <w:rsid w:val="00B72A25"/>
    <w:rsid w:val="00B7323D"/>
    <w:rsid w:val="00B752FB"/>
    <w:rsid w:val="00B76F7D"/>
    <w:rsid w:val="00B80B3F"/>
    <w:rsid w:val="00B817C8"/>
    <w:rsid w:val="00B832CC"/>
    <w:rsid w:val="00B83B41"/>
    <w:rsid w:val="00B85DF8"/>
    <w:rsid w:val="00B86C8F"/>
    <w:rsid w:val="00B87BAB"/>
    <w:rsid w:val="00B9280C"/>
    <w:rsid w:val="00B93CD3"/>
    <w:rsid w:val="00B94687"/>
    <w:rsid w:val="00BA0121"/>
    <w:rsid w:val="00BA0897"/>
    <w:rsid w:val="00BA55AF"/>
    <w:rsid w:val="00BA66D1"/>
    <w:rsid w:val="00BA73CB"/>
    <w:rsid w:val="00BB3C91"/>
    <w:rsid w:val="00BB6270"/>
    <w:rsid w:val="00BB6816"/>
    <w:rsid w:val="00BB6985"/>
    <w:rsid w:val="00BC0879"/>
    <w:rsid w:val="00BC0E83"/>
    <w:rsid w:val="00BC2219"/>
    <w:rsid w:val="00BC432A"/>
    <w:rsid w:val="00BC4AB7"/>
    <w:rsid w:val="00BC535D"/>
    <w:rsid w:val="00BC5A73"/>
    <w:rsid w:val="00BC616A"/>
    <w:rsid w:val="00BC660A"/>
    <w:rsid w:val="00BC69E5"/>
    <w:rsid w:val="00BC77FA"/>
    <w:rsid w:val="00BD0897"/>
    <w:rsid w:val="00BD0E96"/>
    <w:rsid w:val="00BD1973"/>
    <w:rsid w:val="00BD44A8"/>
    <w:rsid w:val="00BD50F5"/>
    <w:rsid w:val="00BD6FDD"/>
    <w:rsid w:val="00BD748D"/>
    <w:rsid w:val="00BE0C8E"/>
    <w:rsid w:val="00BE4D00"/>
    <w:rsid w:val="00BE755D"/>
    <w:rsid w:val="00BF0252"/>
    <w:rsid w:val="00BF0F3C"/>
    <w:rsid w:val="00BF1159"/>
    <w:rsid w:val="00BF15F2"/>
    <w:rsid w:val="00BF1930"/>
    <w:rsid w:val="00BF6680"/>
    <w:rsid w:val="00BF67F2"/>
    <w:rsid w:val="00BF75E8"/>
    <w:rsid w:val="00BF79AC"/>
    <w:rsid w:val="00C004C3"/>
    <w:rsid w:val="00C00827"/>
    <w:rsid w:val="00C02084"/>
    <w:rsid w:val="00C025E2"/>
    <w:rsid w:val="00C033EF"/>
    <w:rsid w:val="00C048AE"/>
    <w:rsid w:val="00C04EA9"/>
    <w:rsid w:val="00C07A80"/>
    <w:rsid w:val="00C10C1B"/>
    <w:rsid w:val="00C115C3"/>
    <w:rsid w:val="00C116D3"/>
    <w:rsid w:val="00C129B3"/>
    <w:rsid w:val="00C12E03"/>
    <w:rsid w:val="00C146DF"/>
    <w:rsid w:val="00C15D6C"/>
    <w:rsid w:val="00C15F60"/>
    <w:rsid w:val="00C160B7"/>
    <w:rsid w:val="00C232B7"/>
    <w:rsid w:val="00C23999"/>
    <w:rsid w:val="00C2518E"/>
    <w:rsid w:val="00C25692"/>
    <w:rsid w:val="00C26BFE"/>
    <w:rsid w:val="00C26E3A"/>
    <w:rsid w:val="00C27F6D"/>
    <w:rsid w:val="00C30EF0"/>
    <w:rsid w:val="00C34EC1"/>
    <w:rsid w:val="00C35D58"/>
    <w:rsid w:val="00C36B40"/>
    <w:rsid w:val="00C3747A"/>
    <w:rsid w:val="00C45CA0"/>
    <w:rsid w:val="00C45E91"/>
    <w:rsid w:val="00C46D1D"/>
    <w:rsid w:val="00C507BE"/>
    <w:rsid w:val="00C50C56"/>
    <w:rsid w:val="00C5555F"/>
    <w:rsid w:val="00C55D55"/>
    <w:rsid w:val="00C569CB"/>
    <w:rsid w:val="00C56C7A"/>
    <w:rsid w:val="00C6093E"/>
    <w:rsid w:val="00C627C7"/>
    <w:rsid w:val="00C64E00"/>
    <w:rsid w:val="00C651BF"/>
    <w:rsid w:val="00C71E56"/>
    <w:rsid w:val="00C7320F"/>
    <w:rsid w:val="00C77343"/>
    <w:rsid w:val="00C82EBC"/>
    <w:rsid w:val="00C85ED7"/>
    <w:rsid w:val="00C86968"/>
    <w:rsid w:val="00C8706B"/>
    <w:rsid w:val="00C90493"/>
    <w:rsid w:val="00C906D7"/>
    <w:rsid w:val="00C90DC3"/>
    <w:rsid w:val="00C9106B"/>
    <w:rsid w:val="00C91735"/>
    <w:rsid w:val="00C932A5"/>
    <w:rsid w:val="00C942D9"/>
    <w:rsid w:val="00C943D3"/>
    <w:rsid w:val="00C94BF3"/>
    <w:rsid w:val="00C94D6C"/>
    <w:rsid w:val="00C967D2"/>
    <w:rsid w:val="00C96F4C"/>
    <w:rsid w:val="00C973CC"/>
    <w:rsid w:val="00CA07A9"/>
    <w:rsid w:val="00CA1AFD"/>
    <w:rsid w:val="00CA1C22"/>
    <w:rsid w:val="00CA261C"/>
    <w:rsid w:val="00CA3498"/>
    <w:rsid w:val="00CA53F7"/>
    <w:rsid w:val="00CA6E43"/>
    <w:rsid w:val="00CA70FD"/>
    <w:rsid w:val="00CA7977"/>
    <w:rsid w:val="00CB1693"/>
    <w:rsid w:val="00CB1868"/>
    <w:rsid w:val="00CB1CFF"/>
    <w:rsid w:val="00CB23D2"/>
    <w:rsid w:val="00CB2B2F"/>
    <w:rsid w:val="00CB409C"/>
    <w:rsid w:val="00CB47BB"/>
    <w:rsid w:val="00CB50F5"/>
    <w:rsid w:val="00CC0678"/>
    <w:rsid w:val="00CC554F"/>
    <w:rsid w:val="00CC63BD"/>
    <w:rsid w:val="00CC698E"/>
    <w:rsid w:val="00CC7AD0"/>
    <w:rsid w:val="00CD02D0"/>
    <w:rsid w:val="00CD25EC"/>
    <w:rsid w:val="00CD29E2"/>
    <w:rsid w:val="00CD3C90"/>
    <w:rsid w:val="00CD3E58"/>
    <w:rsid w:val="00CD4E85"/>
    <w:rsid w:val="00CD7084"/>
    <w:rsid w:val="00CE09E1"/>
    <w:rsid w:val="00CE0A7C"/>
    <w:rsid w:val="00CE4836"/>
    <w:rsid w:val="00CE7441"/>
    <w:rsid w:val="00CF07AB"/>
    <w:rsid w:val="00CF13BC"/>
    <w:rsid w:val="00CF2075"/>
    <w:rsid w:val="00CF35CD"/>
    <w:rsid w:val="00CF40C8"/>
    <w:rsid w:val="00CF41C9"/>
    <w:rsid w:val="00CF5D3B"/>
    <w:rsid w:val="00CF6775"/>
    <w:rsid w:val="00CF71C5"/>
    <w:rsid w:val="00CF71F8"/>
    <w:rsid w:val="00D05876"/>
    <w:rsid w:val="00D05F22"/>
    <w:rsid w:val="00D066A8"/>
    <w:rsid w:val="00D103F9"/>
    <w:rsid w:val="00D10D07"/>
    <w:rsid w:val="00D12144"/>
    <w:rsid w:val="00D128EF"/>
    <w:rsid w:val="00D1302A"/>
    <w:rsid w:val="00D13AD2"/>
    <w:rsid w:val="00D158F2"/>
    <w:rsid w:val="00D16B9B"/>
    <w:rsid w:val="00D17838"/>
    <w:rsid w:val="00D17986"/>
    <w:rsid w:val="00D209EF"/>
    <w:rsid w:val="00D20C86"/>
    <w:rsid w:val="00D2112F"/>
    <w:rsid w:val="00D213EC"/>
    <w:rsid w:val="00D2289A"/>
    <w:rsid w:val="00D22E06"/>
    <w:rsid w:val="00D2571B"/>
    <w:rsid w:val="00D25AA2"/>
    <w:rsid w:val="00D25CDF"/>
    <w:rsid w:val="00D265E8"/>
    <w:rsid w:val="00D31618"/>
    <w:rsid w:val="00D31722"/>
    <w:rsid w:val="00D3217C"/>
    <w:rsid w:val="00D346E6"/>
    <w:rsid w:val="00D349AD"/>
    <w:rsid w:val="00D3502E"/>
    <w:rsid w:val="00D35056"/>
    <w:rsid w:val="00D3641B"/>
    <w:rsid w:val="00D40746"/>
    <w:rsid w:val="00D407B8"/>
    <w:rsid w:val="00D43D53"/>
    <w:rsid w:val="00D51521"/>
    <w:rsid w:val="00D5565E"/>
    <w:rsid w:val="00D6129E"/>
    <w:rsid w:val="00D65A3F"/>
    <w:rsid w:val="00D65DA8"/>
    <w:rsid w:val="00D661E4"/>
    <w:rsid w:val="00D66455"/>
    <w:rsid w:val="00D665BF"/>
    <w:rsid w:val="00D66A0C"/>
    <w:rsid w:val="00D673B8"/>
    <w:rsid w:val="00D702B1"/>
    <w:rsid w:val="00D7264A"/>
    <w:rsid w:val="00D7306A"/>
    <w:rsid w:val="00D7306B"/>
    <w:rsid w:val="00D73684"/>
    <w:rsid w:val="00D74AC1"/>
    <w:rsid w:val="00D74E61"/>
    <w:rsid w:val="00D8010B"/>
    <w:rsid w:val="00D82B16"/>
    <w:rsid w:val="00D8366B"/>
    <w:rsid w:val="00D83E9D"/>
    <w:rsid w:val="00D8444A"/>
    <w:rsid w:val="00D87599"/>
    <w:rsid w:val="00D8796B"/>
    <w:rsid w:val="00D87D0C"/>
    <w:rsid w:val="00D911A9"/>
    <w:rsid w:val="00D92392"/>
    <w:rsid w:val="00D923E9"/>
    <w:rsid w:val="00D9295A"/>
    <w:rsid w:val="00D943FF"/>
    <w:rsid w:val="00D95107"/>
    <w:rsid w:val="00D961AA"/>
    <w:rsid w:val="00DA0F98"/>
    <w:rsid w:val="00DA11A1"/>
    <w:rsid w:val="00DA3B11"/>
    <w:rsid w:val="00DA4D5B"/>
    <w:rsid w:val="00DA72ED"/>
    <w:rsid w:val="00DA7C10"/>
    <w:rsid w:val="00DB2245"/>
    <w:rsid w:val="00DB3AAD"/>
    <w:rsid w:val="00DB40D7"/>
    <w:rsid w:val="00DB4F65"/>
    <w:rsid w:val="00DB70DB"/>
    <w:rsid w:val="00DB749B"/>
    <w:rsid w:val="00DC06F7"/>
    <w:rsid w:val="00DC64BA"/>
    <w:rsid w:val="00DC68E5"/>
    <w:rsid w:val="00DC6986"/>
    <w:rsid w:val="00DC6C38"/>
    <w:rsid w:val="00DC707F"/>
    <w:rsid w:val="00DD02C5"/>
    <w:rsid w:val="00DD07AF"/>
    <w:rsid w:val="00DD119F"/>
    <w:rsid w:val="00DD33FB"/>
    <w:rsid w:val="00DD6434"/>
    <w:rsid w:val="00DD6C1E"/>
    <w:rsid w:val="00DD79D0"/>
    <w:rsid w:val="00DE11A0"/>
    <w:rsid w:val="00DE11F0"/>
    <w:rsid w:val="00DE2CCF"/>
    <w:rsid w:val="00DE4453"/>
    <w:rsid w:val="00DE63D1"/>
    <w:rsid w:val="00DE6B7B"/>
    <w:rsid w:val="00DE72F7"/>
    <w:rsid w:val="00DF058C"/>
    <w:rsid w:val="00DF09B1"/>
    <w:rsid w:val="00DF16D5"/>
    <w:rsid w:val="00DF4DB9"/>
    <w:rsid w:val="00DF57CB"/>
    <w:rsid w:val="00DF6F9F"/>
    <w:rsid w:val="00E011C7"/>
    <w:rsid w:val="00E011F0"/>
    <w:rsid w:val="00E02490"/>
    <w:rsid w:val="00E026BC"/>
    <w:rsid w:val="00E04F59"/>
    <w:rsid w:val="00E0504C"/>
    <w:rsid w:val="00E0723E"/>
    <w:rsid w:val="00E11826"/>
    <w:rsid w:val="00E12C34"/>
    <w:rsid w:val="00E1542A"/>
    <w:rsid w:val="00E15F2C"/>
    <w:rsid w:val="00E16823"/>
    <w:rsid w:val="00E172B5"/>
    <w:rsid w:val="00E17E8D"/>
    <w:rsid w:val="00E208A5"/>
    <w:rsid w:val="00E22201"/>
    <w:rsid w:val="00E26F6E"/>
    <w:rsid w:val="00E31F35"/>
    <w:rsid w:val="00E332E2"/>
    <w:rsid w:val="00E33A67"/>
    <w:rsid w:val="00E35422"/>
    <w:rsid w:val="00E35711"/>
    <w:rsid w:val="00E37677"/>
    <w:rsid w:val="00E3794B"/>
    <w:rsid w:val="00E37E84"/>
    <w:rsid w:val="00E41766"/>
    <w:rsid w:val="00E41E1C"/>
    <w:rsid w:val="00E457B8"/>
    <w:rsid w:val="00E50415"/>
    <w:rsid w:val="00E51AD3"/>
    <w:rsid w:val="00E51D4C"/>
    <w:rsid w:val="00E520E3"/>
    <w:rsid w:val="00E54143"/>
    <w:rsid w:val="00E54E4F"/>
    <w:rsid w:val="00E57369"/>
    <w:rsid w:val="00E618D4"/>
    <w:rsid w:val="00E62F1A"/>
    <w:rsid w:val="00E6336A"/>
    <w:rsid w:val="00E639CE"/>
    <w:rsid w:val="00E6439A"/>
    <w:rsid w:val="00E700EC"/>
    <w:rsid w:val="00E7011B"/>
    <w:rsid w:val="00E707A2"/>
    <w:rsid w:val="00E72124"/>
    <w:rsid w:val="00E75B06"/>
    <w:rsid w:val="00E760B7"/>
    <w:rsid w:val="00E76AC2"/>
    <w:rsid w:val="00E7775E"/>
    <w:rsid w:val="00E83CEC"/>
    <w:rsid w:val="00E84B03"/>
    <w:rsid w:val="00E860A5"/>
    <w:rsid w:val="00E869DB"/>
    <w:rsid w:val="00E86F7F"/>
    <w:rsid w:val="00E903A6"/>
    <w:rsid w:val="00E914BA"/>
    <w:rsid w:val="00E92B02"/>
    <w:rsid w:val="00E9606D"/>
    <w:rsid w:val="00EA0254"/>
    <w:rsid w:val="00EA1819"/>
    <w:rsid w:val="00EA2995"/>
    <w:rsid w:val="00EA478A"/>
    <w:rsid w:val="00EA5D5A"/>
    <w:rsid w:val="00EA5FD6"/>
    <w:rsid w:val="00EB1024"/>
    <w:rsid w:val="00EB2C73"/>
    <w:rsid w:val="00EB2E10"/>
    <w:rsid w:val="00EB426E"/>
    <w:rsid w:val="00EB5054"/>
    <w:rsid w:val="00EB5429"/>
    <w:rsid w:val="00EB55C1"/>
    <w:rsid w:val="00EB5BC8"/>
    <w:rsid w:val="00EB6933"/>
    <w:rsid w:val="00EB7DC2"/>
    <w:rsid w:val="00EB7DCF"/>
    <w:rsid w:val="00EB7E90"/>
    <w:rsid w:val="00EC13B7"/>
    <w:rsid w:val="00EC1CF9"/>
    <w:rsid w:val="00EC29BE"/>
    <w:rsid w:val="00EC3743"/>
    <w:rsid w:val="00EC5BD0"/>
    <w:rsid w:val="00ED1156"/>
    <w:rsid w:val="00ED2D37"/>
    <w:rsid w:val="00ED3B6A"/>
    <w:rsid w:val="00ED40B2"/>
    <w:rsid w:val="00ED53C9"/>
    <w:rsid w:val="00ED68A0"/>
    <w:rsid w:val="00EE2CA7"/>
    <w:rsid w:val="00EE4143"/>
    <w:rsid w:val="00EE43BA"/>
    <w:rsid w:val="00EE6A18"/>
    <w:rsid w:val="00EE7DE4"/>
    <w:rsid w:val="00EF0127"/>
    <w:rsid w:val="00EF0800"/>
    <w:rsid w:val="00EF1060"/>
    <w:rsid w:val="00EF20CE"/>
    <w:rsid w:val="00EF5119"/>
    <w:rsid w:val="00EF660F"/>
    <w:rsid w:val="00EF66E8"/>
    <w:rsid w:val="00EF6E4A"/>
    <w:rsid w:val="00F005DA"/>
    <w:rsid w:val="00F006A2"/>
    <w:rsid w:val="00F01124"/>
    <w:rsid w:val="00F021D4"/>
    <w:rsid w:val="00F03B94"/>
    <w:rsid w:val="00F0506A"/>
    <w:rsid w:val="00F06F18"/>
    <w:rsid w:val="00F071E2"/>
    <w:rsid w:val="00F15883"/>
    <w:rsid w:val="00F16ED4"/>
    <w:rsid w:val="00F17FE2"/>
    <w:rsid w:val="00F22015"/>
    <w:rsid w:val="00F230A6"/>
    <w:rsid w:val="00F271F4"/>
    <w:rsid w:val="00F2734E"/>
    <w:rsid w:val="00F273D6"/>
    <w:rsid w:val="00F304ED"/>
    <w:rsid w:val="00F32D07"/>
    <w:rsid w:val="00F32FF9"/>
    <w:rsid w:val="00F347FE"/>
    <w:rsid w:val="00F36810"/>
    <w:rsid w:val="00F37176"/>
    <w:rsid w:val="00F41B9C"/>
    <w:rsid w:val="00F42768"/>
    <w:rsid w:val="00F43499"/>
    <w:rsid w:val="00F43D93"/>
    <w:rsid w:val="00F44F4A"/>
    <w:rsid w:val="00F45925"/>
    <w:rsid w:val="00F45979"/>
    <w:rsid w:val="00F45A92"/>
    <w:rsid w:val="00F471B6"/>
    <w:rsid w:val="00F50FCB"/>
    <w:rsid w:val="00F51439"/>
    <w:rsid w:val="00F51B0E"/>
    <w:rsid w:val="00F51BB9"/>
    <w:rsid w:val="00F537B5"/>
    <w:rsid w:val="00F53F63"/>
    <w:rsid w:val="00F54175"/>
    <w:rsid w:val="00F5500C"/>
    <w:rsid w:val="00F55220"/>
    <w:rsid w:val="00F561BB"/>
    <w:rsid w:val="00F56FA1"/>
    <w:rsid w:val="00F57BBE"/>
    <w:rsid w:val="00F60EED"/>
    <w:rsid w:val="00F64E94"/>
    <w:rsid w:val="00F658E8"/>
    <w:rsid w:val="00F65C55"/>
    <w:rsid w:val="00F70AF1"/>
    <w:rsid w:val="00F725A3"/>
    <w:rsid w:val="00F732C4"/>
    <w:rsid w:val="00F75492"/>
    <w:rsid w:val="00F75EFF"/>
    <w:rsid w:val="00F761FA"/>
    <w:rsid w:val="00F76EAF"/>
    <w:rsid w:val="00F80B9A"/>
    <w:rsid w:val="00F80EA2"/>
    <w:rsid w:val="00F83294"/>
    <w:rsid w:val="00F838CE"/>
    <w:rsid w:val="00F84052"/>
    <w:rsid w:val="00F84119"/>
    <w:rsid w:val="00F856CA"/>
    <w:rsid w:val="00F85B8C"/>
    <w:rsid w:val="00F90768"/>
    <w:rsid w:val="00F90838"/>
    <w:rsid w:val="00F91D4F"/>
    <w:rsid w:val="00F93B2F"/>
    <w:rsid w:val="00F940D9"/>
    <w:rsid w:val="00F94982"/>
    <w:rsid w:val="00F96CE1"/>
    <w:rsid w:val="00FA4A0D"/>
    <w:rsid w:val="00FA6584"/>
    <w:rsid w:val="00FB1612"/>
    <w:rsid w:val="00FB2D03"/>
    <w:rsid w:val="00FB4873"/>
    <w:rsid w:val="00FB55ED"/>
    <w:rsid w:val="00FC0BAC"/>
    <w:rsid w:val="00FC1EA8"/>
    <w:rsid w:val="00FC2504"/>
    <w:rsid w:val="00FC3DB2"/>
    <w:rsid w:val="00FC3E81"/>
    <w:rsid w:val="00FC4C19"/>
    <w:rsid w:val="00FC5AB9"/>
    <w:rsid w:val="00FC6482"/>
    <w:rsid w:val="00FC7228"/>
    <w:rsid w:val="00FD0A33"/>
    <w:rsid w:val="00FD102B"/>
    <w:rsid w:val="00FD1C22"/>
    <w:rsid w:val="00FD4AE8"/>
    <w:rsid w:val="00FD55E1"/>
    <w:rsid w:val="00FD6061"/>
    <w:rsid w:val="00FD650F"/>
    <w:rsid w:val="00FD6AC5"/>
    <w:rsid w:val="00FD71A2"/>
    <w:rsid w:val="00FD7F09"/>
    <w:rsid w:val="00FE26CC"/>
    <w:rsid w:val="00FE2779"/>
    <w:rsid w:val="00FE2A1C"/>
    <w:rsid w:val="00FE4164"/>
    <w:rsid w:val="00FE4232"/>
    <w:rsid w:val="00FE6FEC"/>
    <w:rsid w:val="00FE7684"/>
    <w:rsid w:val="00FF063C"/>
    <w:rsid w:val="00FF2502"/>
    <w:rsid w:val="00FF2D6D"/>
    <w:rsid w:val="00FF40C5"/>
    <w:rsid w:val="00FF46AF"/>
    <w:rsid w:val="00FF61E9"/>
    <w:rsid w:val="00FF6916"/>
    <w:rsid w:val="00FF7584"/>
    <w:rsid w:val="011F09A2"/>
    <w:rsid w:val="019C601A"/>
    <w:rsid w:val="01D53E1F"/>
    <w:rsid w:val="01F817E8"/>
    <w:rsid w:val="02333FAB"/>
    <w:rsid w:val="027A3847"/>
    <w:rsid w:val="02960B90"/>
    <w:rsid w:val="02FF6933"/>
    <w:rsid w:val="03DC72AD"/>
    <w:rsid w:val="04603446"/>
    <w:rsid w:val="04C5731B"/>
    <w:rsid w:val="06B15226"/>
    <w:rsid w:val="06D87876"/>
    <w:rsid w:val="073A2D2E"/>
    <w:rsid w:val="08C65425"/>
    <w:rsid w:val="08E3593C"/>
    <w:rsid w:val="093F522E"/>
    <w:rsid w:val="095772E3"/>
    <w:rsid w:val="09AC1DD0"/>
    <w:rsid w:val="0A232DC1"/>
    <w:rsid w:val="0A364F31"/>
    <w:rsid w:val="0AAB7EDF"/>
    <w:rsid w:val="0ABA2816"/>
    <w:rsid w:val="0B0C1DEE"/>
    <w:rsid w:val="0B703056"/>
    <w:rsid w:val="0B98683A"/>
    <w:rsid w:val="0BC41A01"/>
    <w:rsid w:val="0C177AFF"/>
    <w:rsid w:val="0C407D57"/>
    <w:rsid w:val="0CAB602D"/>
    <w:rsid w:val="0CD949FA"/>
    <w:rsid w:val="0D162518"/>
    <w:rsid w:val="0D206706"/>
    <w:rsid w:val="0D8D6A2A"/>
    <w:rsid w:val="0E7B0C16"/>
    <w:rsid w:val="0F1C6975"/>
    <w:rsid w:val="0F592033"/>
    <w:rsid w:val="0F85606A"/>
    <w:rsid w:val="103D587C"/>
    <w:rsid w:val="10711547"/>
    <w:rsid w:val="10E46E5E"/>
    <w:rsid w:val="120C0FDE"/>
    <w:rsid w:val="121D0224"/>
    <w:rsid w:val="13DA7296"/>
    <w:rsid w:val="140416E2"/>
    <w:rsid w:val="142069F5"/>
    <w:rsid w:val="14BE01CE"/>
    <w:rsid w:val="15431692"/>
    <w:rsid w:val="16A31BD1"/>
    <w:rsid w:val="16BD2A5D"/>
    <w:rsid w:val="18057723"/>
    <w:rsid w:val="186C5FA5"/>
    <w:rsid w:val="18B03D66"/>
    <w:rsid w:val="19736861"/>
    <w:rsid w:val="1A506434"/>
    <w:rsid w:val="1A53435A"/>
    <w:rsid w:val="1A825C01"/>
    <w:rsid w:val="1A896E91"/>
    <w:rsid w:val="1B9D0191"/>
    <w:rsid w:val="1C63645D"/>
    <w:rsid w:val="1D8C1CC9"/>
    <w:rsid w:val="1DA014F6"/>
    <w:rsid w:val="1DD55076"/>
    <w:rsid w:val="1EA32FFE"/>
    <w:rsid w:val="1EEF49AE"/>
    <w:rsid w:val="1F063793"/>
    <w:rsid w:val="1F4C51E7"/>
    <w:rsid w:val="1F931CF9"/>
    <w:rsid w:val="201F76FF"/>
    <w:rsid w:val="20D05CA6"/>
    <w:rsid w:val="218B0BA8"/>
    <w:rsid w:val="21A125BF"/>
    <w:rsid w:val="21E147D5"/>
    <w:rsid w:val="226B3000"/>
    <w:rsid w:val="22836696"/>
    <w:rsid w:val="22D463D9"/>
    <w:rsid w:val="240674D2"/>
    <w:rsid w:val="2421781B"/>
    <w:rsid w:val="24341105"/>
    <w:rsid w:val="24394A69"/>
    <w:rsid w:val="24810EF8"/>
    <w:rsid w:val="252A0EF3"/>
    <w:rsid w:val="26865B8B"/>
    <w:rsid w:val="269E54AA"/>
    <w:rsid w:val="272A55F7"/>
    <w:rsid w:val="27551BD8"/>
    <w:rsid w:val="27B10559"/>
    <w:rsid w:val="28B80C7D"/>
    <w:rsid w:val="29AE0DF8"/>
    <w:rsid w:val="2A2945DA"/>
    <w:rsid w:val="2A7B4178"/>
    <w:rsid w:val="2ACA5D7D"/>
    <w:rsid w:val="2AD46786"/>
    <w:rsid w:val="2B74234C"/>
    <w:rsid w:val="2C562776"/>
    <w:rsid w:val="2D331474"/>
    <w:rsid w:val="2DC500ED"/>
    <w:rsid w:val="2DE71491"/>
    <w:rsid w:val="2E85293B"/>
    <w:rsid w:val="2EC27D0A"/>
    <w:rsid w:val="2FBE0181"/>
    <w:rsid w:val="30B617E9"/>
    <w:rsid w:val="314C66A1"/>
    <w:rsid w:val="314C7A29"/>
    <w:rsid w:val="322A5947"/>
    <w:rsid w:val="324C68C1"/>
    <w:rsid w:val="32836087"/>
    <w:rsid w:val="331E1308"/>
    <w:rsid w:val="33546376"/>
    <w:rsid w:val="33D9161D"/>
    <w:rsid w:val="34C832E9"/>
    <w:rsid w:val="357207A0"/>
    <w:rsid w:val="358321D0"/>
    <w:rsid w:val="36E24103"/>
    <w:rsid w:val="37A16625"/>
    <w:rsid w:val="3839725F"/>
    <w:rsid w:val="3866038A"/>
    <w:rsid w:val="38740FD9"/>
    <w:rsid w:val="38B531E7"/>
    <w:rsid w:val="38EF3989"/>
    <w:rsid w:val="39F138EB"/>
    <w:rsid w:val="3A496654"/>
    <w:rsid w:val="3AAE377F"/>
    <w:rsid w:val="3AB56A99"/>
    <w:rsid w:val="3AB94164"/>
    <w:rsid w:val="3AFF1B22"/>
    <w:rsid w:val="3B994CB1"/>
    <w:rsid w:val="3D382B5C"/>
    <w:rsid w:val="3D8C14EF"/>
    <w:rsid w:val="3D9F2DE5"/>
    <w:rsid w:val="3DD2462E"/>
    <w:rsid w:val="3E0A7CEA"/>
    <w:rsid w:val="3E4663E0"/>
    <w:rsid w:val="40267F92"/>
    <w:rsid w:val="40523A0F"/>
    <w:rsid w:val="40686E46"/>
    <w:rsid w:val="41001CF8"/>
    <w:rsid w:val="41051994"/>
    <w:rsid w:val="412F72DC"/>
    <w:rsid w:val="416B3D2E"/>
    <w:rsid w:val="41D23927"/>
    <w:rsid w:val="43472A26"/>
    <w:rsid w:val="436D78B0"/>
    <w:rsid w:val="43756984"/>
    <w:rsid w:val="43A04F61"/>
    <w:rsid w:val="44111B88"/>
    <w:rsid w:val="449C05C5"/>
    <w:rsid w:val="44A307DB"/>
    <w:rsid w:val="44AA20BA"/>
    <w:rsid w:val="44BE1E40"/>
    <w:rsid w:val="44C81773"/>
    <w:rsid w:val="458919AF"/>
    <w:rsid w:val="45A941B4"/>
    <w:rsid w:val="45CF45A7"/>
    <w:rsid w:val="461D3BFD"/>
    <w:rsid w:val="462B08C0"/>
    <w:rsid w:val="4753488D"/>
    <w:rsid w:val="48D25D47"/>
    <w:rsid w:val="49A020DB"/>
    <w:rsid w:val="4A420AF3"/>
    <w:rsid w:val="4AED6059"/>
    <w:rsid w:val="4B4A4CF5"/>
    <w:rsid w:val="4C774E73"/>
    <w:rsid w:val="4D25504A"/>
    <w:rsid w:val="50425F1E"/>
    <w:rsid w:val="50C8571F"/>
    <w:rsid w:val="50DC4C63"/>
    <w:rsid w:val="51914FFA"/>
    <w:rsid w:val="51A836AC"/>
    <w:rsid w:val="51DA7D6C"/>
    <w:rsid w:val="51DE3290"/>
    <w:rsid w:val="537F430A"/>
    <w:rsid w:val="538549CF"/>
    <w:rsid w:val="540C2AD6"/>
    <w:rsid w:val="547556FD"/>
    <w:rsid w:val="54F46486"/>
    <w:rsid w:val="55474B85"/>
    <w:rsid w:val="55A66958"/>
    <w:rsid w:val="55B5349C"/>
    <w:rsid w:val="561A7328"/>
    <w:rsid w:val="56771490"/>
    <w:rsid w:val="56825C77"/>
    <w:rsid w:val="56D8390A"/>
    <w:rsid w:val="56EB551F"/>
    <w:rsid w:val="57323882"/>
    <w:rsid w:val="574160B7"/>
    <w:rsid w:val="57F35041"/>
    <w:rsid w:val="584F46D5"/>
    <w:rsid w:val="58687B75"/>
    <w:rsid w:val="588B4200"/>
    <w:rsid w:val="58E51859"/>
    <w:rsid w:val="59594DB4"/>
    <w:rsid w:val="59B60181"/>
    <w:rsid w:val="59FC0DE5"/>
    <w:rsid w:val="5B4C59BF"/>
    <w:rsid w:val="5B6A090E"/>
    <w:rsid w:val="5C312D8E"/>
    <w:rsid w:val="5C8D0831"/>
    <w:rsid w:val="5CBF27AE"/>
    <w:rsid w:val="5CC56F5D"/>
    <w:rsid w:val="5D172DAC"/>
    <w:rsid w:val="5D1B42BE"/>
    <w:rsid w:val="5D6128E6"/>
    <w:rsid w:val="5D844A9D"/>
    <w:rsid w:val="5F254AFD"/>
    <w:rsid w:val="5FBC0D86"/>
    <w:rsid w:val="604021DC"/>
    <w:rsid w:val="60CF1C1E"/>
    <w:rsid w:val="611257D9"/>
    <w:rsid w:val="611904B9"/>
    <w:rsid w:val="61A9409A"/>
    <w:rsid w:val="61E7065A"/>
    <w:rsid w:val="62577814"/>
    <w:rsid w:val="62597512"/>
    <w:rsid w:val="6385586D"/>
    <w:rsid w:val="640902F7"/>
    <w:rsid w:val="65A67909"/>
    <w:rsid w:val="66096C51"/>
    <w:rsid w:val="66A66835"/>
    <w:rsid w:val="66BC25E4"/>
    <w:rsid w:val="67210179"/>
    <w:rsid w:val="67292B47"/>
    <w:rsid w:val="67B620D5"/>
    <w:rsid w:val="67BC59A7"/>
    <w:rsid w:val="67EE3F97"/>
    <w:rsid w:val="681D2DB3"/>
    <w:rsid w:val="6853313E"/>
    <w:rsid w:val="696D380D"/>
    <w:rsid w:val="69A12F2B"/>
    <w:rsid w:val="69AA240A"/>
    <w:rsid w:val="6A070525"/>
    <w:rsid w:val="6A961869"/>
    <w:rsid w:val="6B493C0F"/>
    <w:rsid w:val="6C924135"/>
    <w:rsid w:val="6D125BC1"/>
    <w:rsid w:val="6D2775E8"/>
    <w:rsid w:val="6D3C3594"/>
    <w:rsid w:val="6D7E290C"/>
    <w:rsid w:val="6EAE13FC"/>
    <w:rsid w:val="6FAB6FAD"/>
    <w:rsid w:val="6FE63936"/>
    <w:rsid w:val="70094CBB"/>
    <w:rsid w:val="703A0523"/>
    <w:rsid w:val="7050129B"/>
    <w:rsid w:val="70645946"/>
    <w:rsid w:val="71602504"/>
    <w:rsid w:val="719B38C2"/>
    <w:rsid w:val="71FA7599"/>
    <w:rsid w:val="726E215E"/>
    <w:rsid w:val="72C60FDD"/>
    <w:rsid w:val="73286B4F"/>
    <w:rsid w:val="73645429"/>
    <w:rsid w:val="739635BA"/>
    <w:rsid w:val="73F513B8"/>
    <w:rsid w:val="74F373EC"/>
    <w:rsid w:val="76732B4F"/>
    <w:rsid w:val="767C0130"/>
    <w:rsid w:val="76B06DE6"/>
    <w:rsid w:val="76FE524A"/>
    <w:rsid w:val="770701F2"/>
    <w:rsid w:val="780C7A78"/>
    <w:rsid w:val="78B406C7"/>
    <w:rsid w:val="78FE497D"/>
    <w:rsid w:val="797F780A"/>
    <w:rsid w:val="79A775AA"/>
    <w:rsid w:val="7A1F09D7"/>
    <w:rsid w:val="7A5831FC"/>
    <w:rsid w:val="7AA839B3"/>
    <w:rsid w:val="7B4F6BA7"/>
    <w:rsid w:val="7B6B08A7"/>
    <w:rsid w:val="7BDA1036"/>
    <w:rsid w:val="7CB57743"/>
    <w:rsid w:val="7CC81775"/>
    <w:rsid w:val="7CFF6582"/>
    <w:rsid w:val="7EB766E3"/>
    <w:rsid w:val="7FAD7723"/>
    <w:rsid w:val="7FB25C83"/>
    <w:rsid w:val="96768157"/>
    <w:rsid w:val="F7FF0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58"/>
    <w:qFormat/>
    <w:uiPriority w:val="9"/>
    <w:pPr>
      <w:keepNext/>
      <w:keepLines/>
      <w:spacing w:line="360" w:lineRule="auto"/>
      <w:outlineLvl w:val="0"/>
    </w:pPr>
    <w:rPr>
      <w:b/>
      <w:bCs/>
      <w:kern w:val="44"/>
      <w:sz w:val="28"/>
      <w:szCs w:val="44"/>
    </w:rPr>
  </w:style>
  <w:style w:type="paragraph" w:styleId="3">
    <w:name w:val="heading 2"/>
    <w:basedOn w:val="1"/>
    <w:next w:val="1"/>
    <w:link w:val="59"/>
    <w:unhideWhenUsed/>
    <w:qFormat/>
    <w:uiPriority w:val="9"/>
    <w:pPr>
      <w:keepNext/>
      <w:keepLines/>
      <w:spacing w:line="360" w:lineRule="auto"/>
      <w:outlineLvl w:val="1"/>
    </w:pPr>
    <w:rPr>
      <w:rFonts w:asciiTheme="majorHAnsi" w:hAnsiTheme="majorHAnsi" w:eastAsiaTheme="majorEastAsia" w:cstheme="majorBidi"/>
      <w:b/>
      <w:bCs/>
      <w:szCs w:val="32"/>
    </w:rPr>
  </w:style>
  <w:style w:type="paragraph" w:styleId="4">
    <w:name w:val="heading 3"/>
    <w:basedOn w:val="1"/>
    <w:next w:val="1"/>
    <w:link w:val="40"/>
    <w:qFormat/>
    <w:uiPriority w:val="9"/>
    <w:pPr>
      <w:spacing w:line="360" w:lineRule="auto"/>
      <w:outlineLvl w:val="2"/>
    </w:pPr>
    <w:rPr>
      <w:b/>
      <w:bCs/>
      <w:szCs w:val="27"/>
    </w:rPr>
  </w:style>
  <w:style w:type="paragraph" w:styleId="5">
    <w:name w:val="heading 4"/>
    <w:basedOn w:val="4"/>
    <w:next w:val="1"/>
    <w:link w:val="69"/>
    <w:unhideWhenUsed/>
    <w:qFormat/>
    <w:uiPriority w:val="9"/>
    <w:pPr>
      <w:outlineLvl w:val="3"/>
    </w:pPr>
    <w:rPr>
      <w:szCs w:val="24"/>
    </w:rPr>
  </w:style>
  <w:style w:type="paragraph" w:styleId="6">
    <w:name w:val="heading 5"/>
    <w:basedOn w:val="1"/>
    <w:next w:val="1"/>
    <w:link w:val="73"/>
    <w:unhideWhenUsed/>
    <w:qFormat/>
    <w:uiPriority w:val="9"/>
    <w:pPr>
      <w:spacing w:line="360" w:lineRule="auto"/>
      <w:outlineLvl w:val="4"/>
    </w:pPr>
    <w:rPr>
      <w:b/>
      <w:bCs/>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62"/>
    <w:unhideWhenUsed/>
    <w:qFormat/>
    <w:uiPriority w:val="99"/>
  </w:style>
  <w:style w:type="paragraph" w:styleId="8">
    <w:name w:val="Body Text"/>
    <w:basedOn w:val="1"/>
    <w:link w:val="31"/>
    <w:qFormat/>
    <w:uiPriority w:val="0"/>
    <w:rPr>
      <w:bCs/>
      <w:sz w:val="28"/>
      <w:szCs w:val="28"/>
    </w:rPr>
  </w:style>
  <w:style w:type="paragraph" w:styleId="9">
    <w:name w:val="toc 3"/>
    <w:basedOn w:val="1"/>
    <w:next w:val="1"/>
    <w:unhideWhenUsed/>
    <w:qFormat/>
    <w:uiPriority w:val="39"/>
    <w:pPr>
      <w:ind w:left="840" w:leftChars="400"/>
    </w:pPr>
  </w:style>
  <w:style w:type="paragraph" w:styleId="10">
    <w:name w:val="Date"/>
    <w:basedOn w:val="1"/>
    <w:next w:val="1"/>
    <w:link w:val="39"/>
    <w:unhideWhenUsed/>
    <w:qFormat/>
    <w:uiPriority w:val="99"/>
    <w:pPr>
      <w:ind w:left="100" w:leftChars="2500"/>
    </w:pPr>
  </w:style>
  <w:style w:type="paragraph" w:styleId="11">
    <w:name w:val="Balloon Text"/>
    <w:basedOn w:val="1"/>
    <w:link w:val="41"/>
    <w:unhideWhenUsed/>
    <w:qFormat/>
    <w:uiPriority w:val="99"/>
    <w:rPr>
      <w:sz w:val="18"/>
      <w:szCs w:val="18"/>
    </w:rPr>
  </w:style>
  <w:style w:type="paragraph" w:styleId="12">
    <w:name w:val="footer"/>
    <w:basedOn w:val="1"/>
    <w:link w:val="33"/>
    <w:unhideWhenUsed/>
    <w:qFormat/>
    <w:uiPriority w:val="99"/>
    <w:pPr>
      <w:tabs>
        <w:tab w:val="center" w:pos="4153"/>
        <w:tab w:val="right" w:pos="8306"/>
      </w:tabs>
      <w:snapToGrid w:val="0"/>
    </w:pPr>
    <w:rPr>
      <w:sz w:val="18"/>
      <w:szCs w:val="18"/>
    </w:rPr>
  </w:style>
  <w:style w:type="paragraph" w:styleId="13">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spacing w:before="100" w:beforeAutospacing="1" w:after="100" w:afterAutospacing="1"/>
    </w:pPr>
  </w:style>
  <w:style w:type="paragraph" w:styleId="17">
    <w:name w:val="annotation subject"/>
    <w:basedOn w:val="7"/>
    <w:next w:val="7"/>
    <w:link w:val="63"/>
    <w:unhideWhenUsed/>
    <w:qFormat/>
    <w:uiPriority w:val="99"/>
    <w:rPr>
      <w:b/>
      <w:bCs/>
    </w:rPr>
  </w:style>
  <w:style w:type="table" w:styleId="19">
    <w:name w:val="Table Grid"/>
    <w:basedOn w:val="1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Strong"/>
    <w:basedOn w:val="20"/>
    <w:qFormat/>
    <w:uiPriority w:val="0"/>
    <w:rPr>
      <w:b/>
    </w:rPr>
  </w:style>
  <w:style w:type="character" w:styleId="22">
    <w:name w:val="FollowedHyperlink"/>
    <w:basedOn w:val="20"/>
    <w:semiHidden/>
    <w:unhideWhenUsed/>
    <w:qFormat/>
    <w:uiPriority w:val="99"/>
    <w:rPr>
      <w:color w:val="954F72"/>
      <w:u w:val="single"/>
    </w:rPr>
  </w:style>
  <w:style w:type="character" w:styleId="23">
    <w:name w:val="Emphasis"/>
    <w:qFormat/>
    <w:uiPriority w:val="20"/>
    <w:rPr>
      <w:color w:val="CC0000"/>
    </w:rPr>
  </w:style>
  <w:style w:type="character" w:styleId="24">
    <w:name w:val="Hyperlink"/>
    <w:basedOn w:val="20"/>
    <w:unhideWhenUsed/>
    <w:qFormat/>
    <w:uiPriority w:val="99"/>
    <w:rPr>
      <w:color w:val="136EC2"/>
      <w:u w:val="single"/>
    </w:rPr>
  </w:style>
  <w:style w:type="character" w:styleId="25">
    <w:name w:val="annotation reference"/>
    <w:basedOn w:val="20"/>
    <w:unhideWhenUsed/>
    <w:qFormat/>
    <w:uiPriority w:val="99"/>
    <w:rPr>
      <w:sz w:val="21"/>
      <w:szCs w:val="21"/>
    </w:rPr>
  </w:style>
  <w:style w:type="paragraph" w:customStyle="1" w:styleId="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7">
    <w:name w:val="前言、引言标题"/>
    <w:next w:val="1"/>
    <w:qFormat/>
    <w:uiPriority w:val="0"/>
    <w:p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28">
    <w:name w:val="章标题"/>
    <w:next w:val="1"/>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2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30">
    <w:name w:val="二级条标题"/>
    <w:basedOn w:val="29"/>
    <w:next w:val="1"/>
    <w:qFormat/>
    <w:uiPriority w:val="0"/>
    <w:pPr>
      <w:outlineLvl w:val="3"/>
    </w:pPr>
  </w:style>
  <w:style w:type="character" w:customStyle="1" w:styleId="31">
    <w:name w:val="正文文本 字符"/>
    <w:link w:val="8"/>
    <w:qFormat/>
    <w:uiPriority w:val="0"/>
    <w:rPr>
      <w:rFonts w:ascii="宋体" w:hAnsi="宋体" w:eastAsia="宋体" w:cs="Times New Roman"/>
      <w:bCs/>
      <w:sz w:val="28"/>
      <w:szCs w:val="28"/>
    </w:rPr>
  </w:style>
  <w:style w:type="character" w:customStyle="1" w:styleId="32">
    <w:name w:val="页眉 字符"/>
    <w:link w:val="13"/>
    <w:qFormat/>
    <w:uiPriority w:val="99"/>
    <w:rPr>
      <w:rFonts w:ascii="Times New Roman" w:hAnsi="Times New Roman" w:eastAsia="宋体" w:cs="Times New Roman"/>
      <w:sz w:val="18"/>
      <w:szCs w:val="18"/>
    </w:rPr>
  </w:style>
  <w:style w:type="character" w:customStyle="1" w:styleId="33">
    <w:name w:val="页脚 字符"/>
    <w:link w:val="12"/>
    <w:qFormat/>
    <w:uiPriority w:val="99"/>
    <w:rPr>
      <w:rFonts w:ascii="Times New Roman" w:hAnsi="Times New Roman" w:eastAsia="宋体" w:cs="Times New Roman"/>
      <w:sz w:val="18"/>
      <w:szCs w:val="18"/>
    </w:rPr>
  </w:style>
  <w:style w:type="paragraph" w:customStyle="1" w:styleId="34">
    <w:name w:val="Char Char Char Char Char Char Char"/>
    <w:basedOn w:val="1"/>
    <w:qFormat/>
    <w:uiPriority w:val="0"/>
    <w:pPr>
      <w:spacing w:after="160" w:line="240" w:lineRule="exact"/>
    </w:pPr>
    <w:rPr>
      <w:rFonts w:ascii="Arial" w:hAnsi="Arial" w:eastAsia="Times New Roman" w:cs="Verdana"/>
      <w:b/>
      <w:lang w:eastAsia="en-US"/>
    </w:rPr>
  </w:style>
  <w:style w:type="paragraph" w:customStyle="1" w:styleId="35">
    <w:name w:val="三级条标题"/>
    <w:basedOn w:val="30"/>
    <w:next w:val="1"/>
    <w:qFormat/>
    <w:uiPriority w:val="0"/>
    <w:pPr>
      <w:jc w:val="both"/>
      <w:outlineLvl w:val="4"/>
    </w:pPr>
    <w:rPr>
      <w:rFonts w:ascii="黑体"/>
    </w:rPr>
  </w:style>
  <w:style w:type="paragraph" w:customStyle="1" w:styleId="36">
    <w:name w:val="四级条标题"/>
    <w:basedOn w:val="35"/>
    <w:next w:val="1"/>
    <w:qFormat/>
    <w:uiPriority w:val="0"/>
    <w:pPr>
      <w:outlineLvl w:val="5"/>
    </w:pPr>
  </w:style>
  <w:style w:type="paragraph" w:customStyle="1" w:styleId="37">
    <w:name w:val="五级条标题"/>
    <w:basedOn w:val="36"/>
    <w:next w:val="1"/>
    <w:qFormat/>
    <w:uiPriority w:val="0"/>
    <w:pPr>
      <w:outlineLvl w:val="6"/>
    </w:pPr>
  </w:style>
  <w:style w:type="character" w:customStyle="1" w:styleId="38">
    <w:name w:val="short_text1"/>
    <w:qFormat/>
    <w:uiPriority w:val="0"/>
    <w:rPr>
      <w:sz w:val="29"/>
      <w:szCs w:val="29"/>
    </w:rPr>
  </w:style>
  <w:style w:type="character" w:customStyle="1" w:styleId="39">
    <w:name w:val="日期 字符"/>
    <w:link w:val="10"/>
    <w:semiHidden/>
    <w:qFormat/>
    <w:uiPriority w:val="99"/>
    <w:rPr>
      <w:rFonts w:ascii="Times New Roman" w:hAnsi="Times New Roman"/>
      <w:kern w:val="2"/>
      <w:sz w:val="21"/>
      <w:szCs w:val="24"/>
    </w:rPr>
  </w:style>
  <w:style w:type="character" w:customStyle="1" w:styleId="40">
    <w:name w:val="标题 3 字符"/>
    <w:basedOn w:val="20"/>
    <w:link w:val="4"/>
    <w:qFormat/>
    <w:uiPriority w:val="9"/>
    <w:rPr>
      <w:rFonts w:ascii="宋体" w:hAnsi="宋体" w:cs="宋体"/>
      <w:b/>
      <w:bCs/>
      <w:sz w:val="24"/>
      <w:szCs w:val="27"/>
    </w:rPr>
  </w:style>
  <w:style w:type="character" w:customStyle="1" w:styleId="41">
    <w:name w:val="批注框文本 字符"/>
    <w:basedOn w:val="20"/>
    <w:link w:val="11"/>
    <w:semiHidden/>
    <w:qFormat/>
    <w:uiPriority w:val="99"/>
    <w:rPr>
      <w:rFonts w:ascii="Times New Roman" w:hAnsi="Times New Roman"/>
      <w:kern w:val="2"/>
      <w:sz w:val="18"/>
      <w:szCs w:val="18"/>
    </w:rPr>
  </w:style>
  <w:style w:type="paragraph" w:customStyle="1" w:styleId="42">
    <w:name w:val="段"/>
    <w:link w:val="4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3">
    <w:name w:val="段 Char"/>
    <w:basedOn w:val="20"/>
    <w:link w:val="42"/>
    <w:qFormat/>
    <w:uiPriority w:val="0"/>
    <w:rPr>
      <w:rFonts w:ascii="宋体" w:hAnsi="Times New Roman"/>
      <w:sz w:val="21"/>
    </w:rPr>
  </w:style>
  <w:style w:type="paragraph" w:customStyle="1" w:styleId="44">
    <w:name w:val="示例"/>
    <w:next w:val="1"/>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45">
    <w:name w:val="正文表标题"/>
    <w:next w:val="42"/>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46">
    <w:name w:val="正文图标题"/>
    <w:next w:val="42"/>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47">
    <w:name w:val="其他发布日期"/>
    <w:basedOn w:val="1"/>
    <w:qFormat/>
    <w:uiPriority w:val="0"/>
    <w:pPr>
      <w:framePr w:w="3997" w:h="471" w:hRule="exact" w:vSpace="181" w:wrap="around" w:vAnchor="page" w:hAnchor="page" w:x="1419" w:y="14097" w:anchorLock="1"/>
      <w:numPr>
        <w:ilvl w:val="0"/>
        <w:numId w:val="3"/>
      </w:numPr>
    </w:pPr>
    <w:rPr>
      <w:rFonts w:eastAsia="黑体"/>
      <w:sz w:val="28"/>
      <w:szCs w:val="20"/>
    </w:rPr>
  </w:style>
  <w:style w:type="paragraph" w:customStyle="1" w:styleId="48">
    <w:name w:val="标准表题"/>
    <w:basedOn w:val="1"/>
    <w:next w:val="42"/>
    <w:qFormat/>
    <w:uiPriority w:val="0"/>
    <w:pPr>
      <w:jc w:val="center"/>
    </w:pPr>
    <w:rPr>
      <w:rFonts w:ascii="黑体" w:eastAsia="黑体"/>
      <w:kern w:val="21"/>
      <w:szCs w:val="20"/>
    </w:rPr>
  </w:style>
  <w:style w:type="paragraph" w:customStyle="1" w:styleId="49">
    <w:name w:val="章"/>
    <w:basedOn w:val="1"/>
    <w:next w:val="42"/>
    <w:qFormat/>
    <w:uiPriority w:val="0"/>
    <w:pPr>
      <w:adjustRightInd w:val="0"/>
      <w:spacing w:before="160" w:after="160"/>
      <w:outlineLvl w:val="0"/>
    </w:pPr>
    <w:rPr>
      <w:rFonts w:ascii="黑体" w:eastAsia="黑体"/>
      <w:kern w:val="21"/>
      <w:szCs w:val="20"/>
    </w:rPr>
  </w:style>
  <w:style w:type="paragraph" w:customStyle="1" w:styleId="50">
    <w:name w:val="条2"/>
    <w:basedOn w:val="1"/>
    <w:next w:val="42"/>
    <w:qFormat/>
    <w:uiPriority w:val="0"/>
    <w:pPr>
      <w:outlineLvl w:val="1"/>
    </w:pPr>
    <w:rPr>
      <w:rFonts w:ascii="黑体" w:eastAsia="黑体"/>
      <w:kern w:val="21"/>
      <w:szCs w:val="20"/>
    </w:rPr>
  </w:style>
  <w:style w:type="paragraph" w:customStyle="1" w:styleId="51">
    <w:name w:val="条1"/>
    <w:basedOn w:val="1"/>
    <w:next w:val="42"/>
    <w:qFormat/>
    <w:uiPriority w:val="0"/>
    <w:pPr>
      <w:outlineLvl w:val="1"/>
    </w:pPr>
    <w:rPr>
      <w:rFonts w:ascii="黑体" w:eastAsia="黑体"/>
      <w:kern w:val="21"/>
      <w:szCs w:val="20"/>
    </w:rPr>
  </w:style>
  <w:style w:type="character" w:customStyle="1" w:styleId="52">
    <w:name w:val="font111"/>
    <w:basedOn w:val="20"/>
    <w:qFormat/>
    <w:uiPriority w:val="0"/>
    <w:rPr>
      <w:rFonts w:hint="eastAsia" w:ascii="宋体" w:hAnsi="宋体" w:eastAsia="宋体"/>
      <w:color w:val="000000"/>
      <w:sz w:val="18"/>
      <w:szCs w:val="18"/>
      <w:u w:val="none"/>
    </w:rPr>
  </w:style>
  <w:style w:type="character" w:customStyle="1" w:styleId="53">
    <w:name w:val="font81"/>
    <w:basedOn w:val="20"/>
    <w:qFormat/>
    <w:uiPriority w:val="0"/>
    <w:rPr>
      <w:rFonts w:hint="default" w:ascii="Times New Roman" w:hAnsi="Times New Roman" w:cs="Times New Roman"/>
      <w:color w:val="000000"/>
      <w:sz w:val="18"/>
      <w:szCs w:val="18"/>
      <w:u w:val="none"/>
    </w:rPr>
  </w:style>
  <w:style w:type="character" w:customStyle="1" w:styleId="54">
    <w:name w:val="font121"/>
    <w:basedOn w:val="20"/>
    <w:qFormat/>
    <w:uiPriority w:val="0"/>
    <w:rPr>
      <w:rFonts w:hint="eastAsia" w:ascii="宋体" w:hAnsi="宋体" w:eastAsia="宋体"/>
      <w:b/>
      <w:bCs/>
      <w:color w:val="000000"/>
      <w:sz w:val="18"/>
      <w:szCs w:val="18"/>
      <w:u w:val="none"/>
    </w:rPr>
  </w:style>
  <w:style w:type="character" w:customStyle="1" w:styleId="55">
    <w:name w:val="font91"/>
    <w:basedOn w:val="20"/>
    <w:qFormat/>
    <w:uiPriority w:val="0"/>
    <w:rPr>
      <w:rFonts w:hint="default" w:ascii="Times New Roman" w:hAnsi="Times New Roman" w:cs="Times New Roman"/>
      <w:b/>
      <w:bCs/>
      <w:color w:val="000000"/>
      <w:sz w:val="18"/>
      <w:szCs w:val="18"/>
      <w:u w:val="none"/>
    </w:rPr>
  </w:style>
  <w:style w:type="character" w:customStyle="1" w:styleId="56">
    <w:name w:val="font71"/>
    <w:basedOn w:val="20"/>
    <w:qFormat/>
    <w:uiPriority w:val="0"/>
    <w:rPr>
      <w:rFonts w:hint="eastAsia" w:ascii="宋体" w:hAnsi="宋体" w:eastAsia="宋体"/>
      <w:color w:val="000000"/>
      <w:sz w:val="18"/>
      <w:szCs w:val="18"/>
      <w:u w:val="none"/>
    </w:rPr>
  </w:style>
  <w:style w:type="character" w:customStyle="1" w:styleId="57">
    <w:name w:val="font101"/>
    <w:basedOn w:val="20"/>
    <w:qFormat/>
    <w:uiPriority w:val="0"/>
    <w:rPr>
      <w:rFonts w:hint="default" w:ascii="Times New Roman" w:hAnsi="Times New Roman" w:cs="Times New Roman"/>
      <w:color w:val="000000"/>
      <w:sz w:val="18"/>
      <w:szCs w:val="18"/>
      <w:u w:val="none"/>
    </w:rPr>
  </w:style>
  <w:style w:type="character" w:customStyle="1" w:styleId="58">
    <w:name w:val="标题 1 字符"/>
    <w:basedOn w:val="20"/>
    <w:link w:val="2"/>
    <w:qFormat/>
    <w:uiPriority w:val="9"/>
    <w:rPr>
      <w:rFonts w:ascii="Times New Roman" w:hAnsi="Times New Roman"/>
      <w:b/>
      <w:bCs/>
      <w:kern w:val="44"/>
      <w:sz w:val="28"/>
      <w:szCs w:val="44"/>
    </w:rPr>
  </w:style>
  <w:style w:type="character" w:customStyle="1" w:styleId="59">
    <w:name w:val="标题 2 字符"/>
    <w:basedOn w:val="20"/>
    <w:link w:val="3"/>
    <w:qFormat/>
    <w:uiPriority w:val="9"/>
    <w:rPr>
      <w:rFonts w:asciiTheme="majorHAnsi" w:hAnsiTheme="majorHAnsi" w:eastAsiaTheme="majorEastAsia" w:cstheme="majorBidi"/>
      <w:b/>
      <w:bCs/>
      <w:kern w:val="2"/>
      <w:sz w:val="24"/>
      <w:szCs w:val="32"/>
    </w:rPr>
  </w:style>
  <w:style w:type="paragraph" w:customStyle="1" w:styleId="60">
    <w:name w:val="TOC 标题1"/>
    <w:basedOn w:val="2"/>
    <w:next w:val="1"/>
    <w:unhideWhenUsed/>
    <w:qFormat/>
    <w:uiPriority w:val="39"/>
    <w:pPr>
      <w:spacing w:before="240" w:line="259" w:lineRule="auto"/>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61">
    <w:name w:val="Table Paragraph"/>
    <w:basedOn w:val="1"/>
    <w:qFormat/>
    <w:uiPriority w:val="1"/>
    <w:rPr>
      <w:rFonts w:ascii="Calibri" w:hAnsi="Calibri" w:eastAsia="Calibri"/>
      <w:sz w:val="22"/>
      <w:szCs w:val="22"/>
      <w:lang w:eastAsia="en-US"/>
    </w:rPr>
  </w:style>
  <w:style w:type="character" w:customStyle="1" w:styleId="62">
    <w:name w:val="批注文字 字符"/>
    <w:basedOn w:val="20"/>
    <w:link w:val="7"/>
    <w:semiHidden/>
    <w:qFormat/>
    <w:uiPriority w:val="99"/>
    <w:rPr>
      <w:rFonts w:ascii="Times New Roman" w:hAnsi="Times New Roman"/>
      <w:kern w:val="2"/>
      <w:sz w:val="24"/>
      <w:szCs w:val="24"/>
    </w:rPr>
  </w:style>
  <w:style w:type="character" w:customStyle="1" w:styleId="63">
    <w:name w:val="批注主题 字符"/>
    <w:basedOn w:val="62"/>
    <w:link w:val="17"/>
    <w:semiHidden/>
    <w:qFormat/>
    <w:uiPriority w:val="99"/>
    <w:rPr>
      <w:rFonts w:ascii="Times New Roman" w:hAnsi="Times New Roman"/>
      <w:b/>
      <w:bCs/>
      <w:kern w:val="2"/>
      <w:sz w:val="24"/>
      <w:szCs w:val="24"/>
    </w:rPr>
  </w:style>
  <w:style w:type="paragraph" w:customStyle="1" w:styleId="64">
    <w:name w:val="修订1"/>
    <w:hidden/>
    <w:semiHidden/>
    <w:qFormat/>
    <w:uiPriority w:val="99"/>
    <w:rPr>
      <w:rFonts w:ascii="Times New Roman" w:hAnsi="Times New Roman" w:eastAsia="宋体" w:cs="Times New Roman"/>
      <w:kern w:val="2"/>
      <w:sz w:val="24"/>
      <w:szCs w:val="24"/>
      <w:lang w:val="en-US" w:eastAsia="zh-CN" w:bidi="ar-SA"/>
    </w:rPr>
  </w:style>
  <w:style w:type="character" w:customStyle="1" w:styleId="65">
    <w:name w:val="font11"/>
    <w:basedOn w:val="20"/>
    <w:qFormat/>
    <w:uiPriority w:val="0"/>
    <w:rPr>
      <w:rFonts w:hint="default" w:ascii="Times New Roman" w:hAnsi="Times New Roman" w:cs="Times New Roman"/>
      <w:color w:val="000000"/>
      <w:sz w:val="21"/>
      <w:szCs w:val="21"/>
      <w:u w:val="none"/>
    </w:rPr>
  </w:style>
  <w:style w:type="character" w:customStyle="1" w:styleId="66">
    <w:name w:val="font21"/>
    <w:basedOn w:val="20"/>
    <w:qFormat/>
    <w:uiPriority w:val="0"/>
    <w:rPr>
      <w:rFonts w:hint="eastAsia" w:ascii="宋体" w:hAnsi="宋体" w:eastAsia="宋体" w:cs="宋体"/>
      <w:color w:val="000000"/>
      <w:sz w:val="21"/>
      <w:szCs w:val="21"/>
      <w:u w:val="none"/>
    </w:rPr>
  </w:style>
  <w:style w:type="paragraph" w:styleId="67">
    <w:name w:val="List Paragraph"/>
    <w:basedOn w:val="1"/>
    <w:unhideWhenUsed/>
    <w:qFormat/>
    <w:uiPriority w:val="34"/>
    <w:pPr>
      <w:ind w:firstLine="420" w:firstLineChars="200"/>
    </w:pPr>
  </w:style>
  <w:style w:type="paragraph" w:customStyle="1" w:styleId="68">
    <w:name w:val="条3"/>
    <w:basedOn w:val="1"/>
    <w:qFormat/>
    <w:uiPriority w:val="0"/>
    <w:rPr>
      <w:rFonts w:asciiTheme="minorHAnsi" w:hAnsiTheme="minorHAnsi" w:eastAsiaTheme="minorEastAsia" w:cstheme="minorBidi"/>
      <w:sz w:val="21"/>
      <w:szCs w:val="22"/>
    </w:rPr>
  </w:style>
  <w:style w:type="character" w:customStyle="1" w:styleId="69">
    <w:name w:val="标题 4 字符"/>
    <w:basedOn w:val="20"/>
    <w:link w:val="5"/>
    <w:qFormat/>
    <w:uiPriority w:val="9"/>
    <w:rPr>
      <w:rFonts w:ascii="宋体" w:hAnsi="宋体" w:cs="宋体"/>
      <w:b/>
      <w:bCs/>
      <w:sz w:val="24"/>
      <w:szCs w:val="24"/>
    </w:rPr>
  </w:style>
  <w:style w:type="paragraph" w:customStyle="1" w:styleId="70">
    <w:name w:val="Revision"/>
    <w:hidden/>
    <w:semiHidden/>
    <w:qFormat/>
    <w:uiPriority w:val="99"/>
    <w:rPr>
      <w:rFonts w:ascii="宋体" w:hAnsi="宋体" w:eastAsia="宋体" w:cs="宋体"/>
      <w:sz w:val="24"/>
      <w:szCs w:val="24"/>
      <w:lang w:val="en-US" w:eastAsia="zh-CN" w:bidi="ar-SA"/>
    </w:rPr>
  </w:style>
  <w:style w:type="table" w:customStyle="1" w:styleId="71">
    <w:name w:val="Grid Table Light"/>
    <w:basedOn w:val="1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72">
    <w:name w:val="Grid Table 1 Light Accent 5"/>
    <w:basedOn w:val="18"/>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73">
    <w:name w:val="标题 5 字符"/>
    <w:basedOn w:val="20"/>
    <w:link w:val="6"/>
    <w:qFormat/>
    <w:uiPriority w:val="9"/>
    <w:rPr>
      <w:rFonts w:ascii="宋体" w:hAnsi="宋体" w:cs="宋体"/>
      <w:b/>
      <w:bCs/>
      <w:sz w:val="24"/>
      <w:szCs w:val="24"/>
    </w:rPr>
  </w:style>
  <w:style w:type="paragraph" w:customStyle="1" w:styleId="74">
    <w:name w:val="msonormal"/>
    <w:basedOn w:val="1"/>
    <w:qFormat/>
    <w:uiPriority w:val="0"/>
    <w:pPr>
      <w:spacing w:before="100" w:beforeAutospacing="1" w:after="100" w:afterAutospacing="1"/>
    </w:pPr>
  </w:style>
  <w:style w:type="paragraph" w:customStyle="1" w:styleId="75">
    <w:name w:val="font5"/>
    <w:basedOn w:val="1"/>
    <w:qFormat/>
    <w:uiPriority w:val="0"/>
    <w:pPr>
      <w:spacing w:before="100" w:beforeAutospacing="1" w:after="100" w:afterAutospacing="1"/>
    </w:pPr>
    <w:rPr>
      <w:rFonts w:ascii="等线" w:hAnsi="等线" w:eastAsia="等线"/>
      <w:sz w:val="18"/>
      <w:szCs w:val="18"/>
    </w:rPr>
  </w:style>
  <w:style w:type="paragraph" w:customStyle="1" w:styleId="76">
    <w:name w:val="font6"/>
    <w:basedOn w:val="1"/>
    <w:qFormat/>
    <w:uiPriority w:val="0"/>
    <w:pPr>
      <w:spacing w:before="100" w:beforeAutospacing="1" w:after="100" w:afterAutospacing="1"/>
    </w:pPr>
    <w:rPr>
      <w:color w:val="FF0000"/>
      <w:sz w:val="22"/>
      <w:szCs w:val="22"/>
    </w:rPr>
  </w:style>
  <w:style w:type="paragraph" w:customStyle="1" w:styleId="77">
    <w:name w:val="font7"/>
    <w:basedOn w:val="1"/>
    <w:qFormat/>
    <w:uiPriority w:val="0"/>
    <w:pPr>
      <w:spacing w:before="100" w:beforeAutospacing="1" w:after="100" w:afterAutospacing="1"/>
    </w:pPr>
    <w:rPr>
      <w:rFonts w:ascii="Arial" w:hAnsi="Arial" w:cs="Arial"/>
      <w:color w:val="FF0000"/>
      <w:sz w:val="22"/>
      <w:szCs w:val="22"/>
    </w:rPr>
  </w:style>
  <w:style w:type="paragraph" w:customStyle="1" w:styleId="78">
    <w:name w:val="font8"/>
    <w:basedOn w:val="1"/>
    <w:qFormat/>
    <w:uiPriority w:val="0"/>
    <w:pPr>
      <w:spacing w:before="100" w:beforeAutospacing="1" w:after="100" w:afterAutospacing="1"/>
    </w:pPr>
    <w:rPr>
      <w:rFonts w:ascii="等线" w:hAnsi="等线" w:eastAsia="等线"/>
      <w:color w:val="FF0000"/>
      <w:sz w:val="22"/>
      <w:szCs w:val="22"/>
    </w:rPr>
  </w:style>
  <w:style w:type="paragraph" w:customStyle="1" w:styleId="79">
    <w:name w:val="xl65"/>
    <w:basedOn w:val="1"/>
    <w:qFormat/>
    <w:uiPriority w:val="0"/>
    <w:pPr>
      <w:spacing w:before="100" w:beforeAutospacing="1" w:after="100" w:afterAutospacing="1"/>
      <w:jc w:val="center"/>
      <w:textAlignment w:val="center"/>
    </w:pPr>
    <w:rPr>
      <w:rFonts w:ascii="仿宋" w:hAnsi="仿宋" w:eastAsia="仿宋"/>
      <w:b/>
      <w:bCs/>
    </w:rPr>
  </w:style>
  <w:style w:type="paragraph" w:customStyle="1" w:styleId="80">
    <w:name w:val="xl66"/>
    <w:basedOn w:val="1"/>
    <w:qFormat/>
    <w:uiPriority w:val="0"/>
    <w:pPr>
      <w:spacing w:before="100" w:beforeAutospacing="1" w:after="100" w:afterAutospacing="1"/>
      <w:jc w:val="center"/>
      <w:textAlignment w:val="center"/>
    </w:pPr>
    <w:rPr>
      <w:b/>
      <w:bCs/>
    </w:rPr>
  </w:style>
  <w:style w:type="paragraph" w:customStyle="1" w:styleId="81">
    <w:name w:val="xl67"/>
    <w:basedOn w:val="1"/>
    <w:qFormat/>
    <w:uiPriority w:val="0"/>
    <w:pPr>
      <w:spacing w:before="100" w:beforeAutospacing="1" w:after="100" w:afterAutospacing="1"/>
      <w:jc w:val="center"/>
    </w:pPr>
    <w:rPr>
      <w:b/>
      <w:bCs/>
    </w:rPr>
  </w:style>
  <w:style w:type="paragraph" w:customStyle="1" w:styleId="82">
    <w:name w:val="xl68"/>
    <w:basedOn w:val="1"/>
    <w:qFormat/>
    <w:uiPriority w:val="0"/>
    <w:pPr>
      <w:shd w:val="clear" w:color="000000" w:fill="D9D9D9"/>
      <w:spacing w:before="100" w:beforeAutospacing="1" w:after="100" w:afterAutospacing="1"/>
      <w:jc w:val="center"/>
      <w:textAlignment w:val="center"/>
    </w:pPr>
    <w:rPr>
      <w:b/>
      <w:bCs/>
      <w:color w:val="000000"/>
    </w:rPr>
  </w:style>
  <w:style w:type="paragraph" w:customStyle="1" w:styleId="83">
    <w:name w:val="xl69"/>
    <w:basedOn w:val="1"/>
    <w:qFormat/>
    <w:uiPriority w:val="0"/>
    <w:pPr>
      <w:spacing w:before="100" w:beforeAutospacing="1" w:after="100" w:afterAutospacing="1"/>
      <w:jc w:val="center"/>
      <w:textAlignment w:val="center"/>
    </w:pPr>
    <w:rPr>
      <w:b/>
      <w:bCs/>
    </w:rPr>
  </w:style>
  <w:style w:type="paragraph" w:customStyle="1" w:styleId="84">
    <w:name w:val="xl70"/>
    <w:basedOn w:val="1"/>
    <w:qFormat/>
    <w:uiPriority w:val="0"/>
    <w:pPr>
      <w:spacing w:before="100" w:beforeAutospacing="1" w:after="100" w:afterAutospacing="1"/>
      <w:jc w:val="both"/>
      <w:textAlignment w:val="center"/>
    </w:pPr>
  </w:style>
  <w:style w:type="paragraph" w:customStyle="1" w:styleId="85">
    <w:name w:val="xl71"/>
    <w:basedOn w:val="1"/>
    <w:qFormat/>
    <w:uiPriority w:val="0"/>
    <w:pPr>
      <w:spacing w:before="100" w:beforeAutospacing="1" w:after="100" w:afterAutospacing="1"/>
      <w:textAlignment w:val="center"/>
    </w:pPr>
  </w:style>
  <w:style w:type="paragraph" w:customStyle="1" w:styleId="86">
    <w:name w:val="xl72"/>
    <w:basedOn w:val="1"/>
    <w:qFormat/>
    <w:uiPriority w:val="0"/>
    <w:pPr>
      <w:spacing w:before="100" w:beforeAutospacing="1" w:after="100" w:afterAutospacing="1"/>
      <w:textAlignment w:val="center"/>
    </w:pPr>
    <w:rPr>
      <w:b/>
      <w:bCs/>
    </w:rPr>
  </w:style>
  <w:style w:type="paragraph" w:customStyle="1" w:styleId="87">
    <w:name w:val="xl73"/>
    <w:basedOn w:val="1"/>
    <w:qFormat/>
    <w:uiPriority w:val="0"/>
    <w:pPr>
      <w:spacing w:before="100" w:beforeAutospacing="1" w:after="100" w:afterAutospacing="1"/>
      <w:textAlignment w:val="center"/>
    </w:pPr>
    <w:rPr>
      <w:b/>
      <w:bCs/>
    </w:rPr>
  </w:style>
  <w:style w:type="paragraph" w:customStyle="1" w:styleId="88">
    <w:name w:val="xl74"/>
    <w:basedOn w:val="1"/>
    <w:qFormat/>
    <w:uiPriority w:val="0"/>
    <w:pPr>
      <w:spacing w:before="100" w:beforeAutospacing="1" w:after="100" w:afterAutospacing="1"/>
      <w:textAlignment w:val="top"/>
    </w:pPr>
  </w:style>
  <w:style w:type="paragraph" w:customStyle="1" w:styleId="89">
    <w:name w:val="xl75"/>
    <w:basedOn w:val="1"/>
    <w:qFormat/>
    <w:uiPriority w:val="0"/>
    <w:pPr>
      <w:spacing w:before="100" w:beforeAutospacing="1" w:after="100" w:afterAutospacing="1"/>
      <w:jc w:val="both"/>
      <w:textAlignment w:val="top"/>
    </w:pPr>
  </w:style>
  <w:style w:type="paragraph" w:customStyle="1" w:styleId="90">
    <w:name w:val="xl76"/>
    <w:basedOn w:val="1"/>
    <w:qFormat/>
    <w:uiPriority w:val="0"/>
    <w:pPr>
      <w:spacing w:before="100" w:beforeAutospacing="1" w:after="100" w:afterAutospacing="1"/>
      <w:textAlignment w:val="top"/>
    </w:pPr>
  </w:style>
  <w:style w:type="paragraph" w:customStyle="1" w:styleId="91">
    <w:name w:val="xl77"/>
    <w:basedOn w:val="1"/>
    <w:qFormat/>
    <w:uiPriority w:val="0"/>
    <w:pPr>
      <w:spacing w:before="100" w:beforeAutospacing="1" w:after="100" w:afterAutospacing="1"/>
      <w:jc w:val="both"/>
      <w:textAlignment w:val="center"/>
    </w:pPr>
    <w:rPr>
      <w:color w:val="FF0000"/>
    </w:rPr>
  </w:style>
  <w:style w:type="paragraph" w:customStyle="1" w:styleId="92">
    <w:name w:val="xl78"/>
    <w:basedOn w:val="1"/>
    <w:qFormat/>
    <w:uiPriority w:val="0"/>
    <w:pPr>
      <w:spacing w:before="100" w:beforeAutospacing="1" w:after="100" w:afterAutospacing="1"/>
      <w:jc w:val="center"/>
      <w:textAlignment w:val="center"/>
    </w:pPr>
    <w:rPr>
      <w:b/>
      <w:bCs/>
      <w:color w:val="FF0000"/>
    </w:rPr>
  </w:style>
  <w:style w:type="paragraph" w:customStyle="1" w:styleId="93">
    <w:name w:val="xl79"/>
    <w:basedOn w:val="1"/>
    <w:qFormat/>
    <w:uiPriority w:val="0"/>
    <w:pPr>
      <w:spacing w:before="100" w:beforeAutospacing="1" w:after="100" w:afterAutospacing="1"/>
      <w:textAlignment w:val="top"/>
    </w:pPr>
    <w:rPr>
      <w:b/>
      <w:bCs/>
      <w:color w:val="FF0000"/>
    </w:rPr>
  </w:style>
  <w:style w:type="paragraph" w:customStyle="1" w:styleId="94">
    <w:name w:val="xl80"/>
    <w:basedOn w:val="1"/>
    <w:qFormat/>
    <w:uiPriority w:val="0"/>
    <w:pPr>
      <w:spacing w:before="100" w:beforeAutospacing="1" w:after="100" w:afterAutospacing="1"/>
    </w:pPr>
    <w:rPr>
      <w:b/>
      <w:bCs/>
      <w:color w:val="FF0000"/>
    </w:rPr>
  </w:style>
  <w:style w:type="paragraph" w:customStyle="1" w:styleId="95">
    <w:name w:val="xl81"/>
    <w:basedOn w:val="1"/>
    <w:qFormat/>
    <w:uiPriority w:val="0"/>
    <w:pPr>
      <w:spacing w:before="100" w:beforeAutospacing="1" w:after="100" w:afterAutospacing="1"/>
    </w:pPr>
    <w:rPr>
      <w:color w:val="FF0000"/>
    </w:rPr>
  </w:style>
  <w:style w:type="paragraph" w:customStyle="1" w:styleId="96">
    <w:name w:val="xl82"/>
    <w:basedOn w:val="1"/>
    <w:qFormat/>
    <w:uiPriority w:val="0"/>
    <w:pPr>
      <w:spacing w:before="100" w:beforeAutospacing="1" w:after="100" w:afterAutospacing="1"/>
      <w:jc w:val="center"/>
    </w:pPr>
    <w:rPr>
      <w:b/>
      <w:bCs/>
      <w:color w:val="FF0000"/>
    </w:rPr>
  </w:style>
  <w:style w:type="paragraph" w:customStyle="1" w:styleId="97">
    <w:name w:val="xl83"/>
    <w:basedOn w:val="1"/>
    <w:qFormat/>
    <w:uiPriority w:val="0"/>
    <w:pPr>
      <w:spacing w:before="100" w:beforeAutospacing="1" w:after="100" w:afterAutospacing="1"/>
      <w:textAlignment w:val="top"/>
    </w:pPr>
    <w:rPr>
      <w:color w:val="FF0000"/>
    </w:rPr>
  </w:style>
  <w:style w:type="paragraph" w:customStyle="1" w:styleId="98">
    <w:name w:val="xl84"/>
    <w:basedOn w:val="1"/>
    <w:qFormat/>
    <w:uiPriority w:val="0"/>
    <w:pPr>
      <w:spacing w:before="100" w:beforeAutospacing="1" w:after="100" w:afterAutospacing="1"/>
      <w:textAlignment w:val="center"/>
    </w:pPr>
    <w:rPr>
      <w:color w:val="FF0000"/>
    </w:rPr>
  </w:style>
  <w:style w:type="paragraph" w:customStyle="1" w:styleId="99">
    <w:name w:val="xl85"/>
    <w:basedOn w:val="1"/>
    <w:qFormat/>
    <w:uiPriority w:val="0"/>
    <w:pPr>
      <w:spacing w:before="100" w:beforeAutospacing="1" w:after="100" w:afterAutospacing="1"/>
      <w:textAlignment w:val="top"/>
    </w:pPr>
    <w:rPr>
      <w:color w:val="FF0000"/>
    </w:rPr>
  </w:style>
  <w:style w:type="paragraph" w:customStyle="1" w:styleId="100">
    <w:name w:val="xl86"/>
    <w:basedOn w:val="1"/>
    <w:qFormat/>
    <w:uiPriority w:val="0"/>
    <w:pPr>
      <w:spacing w:before="100" w:beforeAutospacing="1" w:after="100" w:afterAutospacing="1"/>
      <w:textAlignment w:val="center"/>
    </w:pPr>
    <w:rPr>
      <w:rFonts w:ascii="Arial" w:hAnsi="Arial" w:cs="Arial"/>
      <w:color w:val="FF0000"/>
    </w:rPr>
  </w:style>
  <w:style w:type="paragraph" w:customStyle="1" w:styleId="101">
    <w:name w:val="xl87"/>
    <w:basedOn w:val="1"/>
    <w:qFormat/>
    <w:uiPriority w:val="0"/>
    <w:pPr>
      <w:spacing w:before="100" w:beforeAutospacing="1" w:after="100" w:afterAutospacing="1"/>
      <w:textAlignment w:val="center"/>
    </w:pPr>
    <w:rPr>
      <w:b/>
      <w:bCs/>
      <w:color w:val="FF0000"/>
    </w:rPr>
  </w:style>
  <w:style w:type="paragraph" w:customStyle="1" w:styleId="102">
    <w:name w:val="xl88"/>
    <w:basedOn w:val="1"/>
    <w:qFormat/>
    <w:uiPriority w:val="0"/>
    <w:pPr>
      <w:spacing w:before="100" w:beforeAutospacing="1" w:after="100" w:afterAutospacing="1"/>
      <w:textAlignment w:val="center"/>
    </w:pPr>
    <w:rPr>
      <w:rFonts w:ascii="Arial" w:hAnsi="Arial" w:cs="Arial"/>
      <w:color w:val="FF0000"/>
    </w:rPr>
  </w:style>
  <w:style w:type="paragraph" w:customStyle="1" w:styleId="103">
    <w:name w:val="xl89"/>
    <w:basedOn w:val="1"/>
    <w:qFormat/>
    <w:uiPriority w:val="0"/>
    <w:pPr>
      <w:spacing w:before="100" w:beforeAutospacing="1" w:after="100" w:afterAutospacing="1"/>
      <w:textAlignment w:val="center"/>
    </w:pPr>
    <w:rPr>
      <w:rFonts w:ascii="仿宋" w:hAnsi="仿宋" w:eastAsia="仿宋"/>
      <w:b/>
      <w:bCs/>
      <w:sz w:val="32"/>
      <w:szCs w:val="32"/>
    </w:rPr>
  </w:style>
  <w:style w:type="paragraph" w:customStyle="1" w:styleId="104">
    <w:name w:val="xl90"/>
    <w:basedOn w:val="1"/>
    <w:qFormat/>
    <w:uiPriority w:val="0"/>
    <w:pPr>
      <w:spacing w:before="100" w:beforeAutospacing="1" w:after="100" w:afterAutospacing="1"/>
      <w:jc w:val="center"/>
      <w:textAlignment w:val="center"/>
    </w:pPr>
    <w:rPr>
      <w:rFonts w:ascii="方正小标宋简体" w:eastAsia="方正小标宋简体"/>
      <w:sz w:val="44"/>
      <w:szCs w:val="44"/>
    </w:rPr>
  </w:style>
  <w:style w:type="paragraph" w:customStyle="1" w:styleId="105">
    <w:name w:val="xl91"/>
    <w:basedOn w:val="1"/>
    <w:qFormat/>
    <w:uiPriority w:val="0"/>
    <w:pPr>
      <w:spacing w:before="100" w:beforeAutospacing="1" w:after="100" w:afterAutospacing="1"/>
      <w:textAlignment w:val="center"/>
    </w:pPr>
    <w:rPr>
      <w:b/>
      <w:bCs/>
    </w:rPr>
  </w:style>
  <w:style w:type="paragraph" w:customStyle="1" w:styleId="106">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107">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108">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109">
    <w:name w:val="标准文件_附录标识"/>
    <w:next w:val="1"/>
    <w:qFormat/>
    <w:uiPriority w:val="0"/>
    <w:pPr>
      <w:numPr>
        <w:ilvl w:val="0"/>
        <w:numId w:val="5"/>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10">
    <w:name w:val="标准文件_附录一级条标题"/>
    <w:next w:val="1"/>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11">
    <w:name w:val="标准文件_附录二级条标题"/>
    <w:basedOn w:val="110"/>
    <w:next w:val="1"/>
    <w:qFormat/>
    <w:uiPriority w:val="0"/>
    <w:pPr>
      <w:widowControl/>
      <w:numPr>
        <w:ilvl w:val="2"/>
      </w:numPr>
      <w:wordWrap w:val="0"/>
      <w:overflowPunct w:val="0"/>
      <w:autoSpaceDE w:val="0"/>
      <w:autoSpaceDN w:val="0"/>
      <w:textAlignment w:val="baseline"/>
      <w:outlineLvl w:val="3"/>
    </w:pPr>
  </w:style>
  <w:style w:type="paragraph" w:customStyle="1" w:styleId="112">
    <w:name w:val="标准文件_附录三级条标题"/>
    <w:next w:val="1"/>
    <w:qFormat/>
    <w:uiPriority w:val="0"/>
    <w:pPr>
      <w:widowControl w:val="0"/>
      <w:numPr>
        <w:ilvl w:val="3"/>
        <w:numId w:val="5"/>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13">
    <w:name w:val="标准文件_附录四级条标题"/>
    <w:next w:val="1"/>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14">
    <w:name w:val="标准文件_附录五级条标题"/>
    <w:next w:val="1"/>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character" w:customStyle="1" w:styleId="115">
    <w:name w:val="发布"/>
    <w:qFormat/>
    <w:uiPriority w:val="0"/>
    <w:rPr>
      <w:rFonts w:ascii="黑体" w:eastAsia="黑体"/>
      <w:spacing w:val="22"/>
      <w:w w:val="100"/>
      <w:position w:val="3"/>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08974-DE26-4AE3-B466-B2C882FB25CC}">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8</Pages>
  <Words>3996</Words>
  <Characters>4437</Characters>
  <Lines>191</Lines>
  <Paragraphs>53</Paragraphs>
  <TotalTime>0</TotalTime>
  <ScaleCrop>false</ScaleCrop>
  <LinksUpToDate>false</LinksUpToDate>
  <CharactersWithSpaces>4559</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2016-10-14T18:30:00Z</dcterms:created>
  <dc:creator>lyc</dc:creator>
  <cp:lastModifiedBy>白乙含</cp:lastModifiedBy>
  <cp:lastPrinted>2022-07-15T01:32:00Z</cp:lastPrinted>
  <dcterms:modified xsi:type="dcterms:W3CDTF">2025-09-12T14:20:29Z</dcterms:modified>
  <dc:title>泡沫混凝土用泡沫剂</dc:title>
  <cp:revision>737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KSOTemplateDocerSaveRecord">
    <vt:lpwstr>eyJoZGlkIjoiOTA4ZGYwMDExZjg0ZGRmMzBjYzdjYTQ0NDMxNDA2NGMiLCJ1c2VySWQiOiIxNDQ3NzcxMDUxIn0=</vt:lpwstr>
  </property>
  <property fmtid="{D5CDD505-2E9C-101B-9397-08002B2CF9AE}" pid="4" name="ICV">
    <vt:lpwstr>B9CF0E2B88B84CA8A06A2783F93F04A3_13</vt:lpwstr>
  </property>
</Properties>
</file>