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B004E9">
      <w:pPr>
        <w:autoSpaceDE/>
        <w:autoSpaceDN/>
        <w:rPr>
          <w:rFonts w:hint="eastAsia"/>
        </w:rPr>
      </w:pPr>
    </w:p>
    <w:p w14:paraId="4AB9109F">
      <w:pPr>
        <w:autoSpaceDE/>
        <w:autoSpaceDN/>
        <w:rPr>
          <w:rFonts w:hint="eastAsia"/>
        </w:rPr>
      </w:pPr>
    </w:p>
    <w:p w14:paraId="38BF8385">
      <w:pPr>
        <w:autoSpaceDE/>
        <w:autoSpaceDN/>
        <w:rPr>
          <w:rFonts w:hint="eastAsia"/>
        </w:rPr>
      </w:pPr>
    </w:p>
    <w:p w14:paraId="26256467">
      <w:pPr>
        <w:pStyle w:val="26"/>
        <w:framePr w:wrap="around"/>
      </w:pPr>
      <w:r>
        <w:rPr>
          <w:rFonts w:ascii="Times New Roman"/>
        </w:rPr>
        <w:t>ICS</w:t>
      </w:r>
      <w:r>
        <w:rPr>
          <w:rFonts w:hint="eastAsia" w:ascii="MS Gothic" w:hAnsi="MS Gothic" w:eastAsia="MS Gothic" w:cs="MS Gothic"/>
        </w:rPr>
        <w:t> </w:t>
      </w:r>
      <w:r>
        <w:rPr>
          <w:rFonts w:hint="eastAsia"/>
          <w:sz w:val="18"/>
        </w:rPr>
        <w:t>7</w:t>
      </w:r>
      <w:r>
        <w:rPr>
          <w:sz w:val="18"/>
        </w:rPr>
        <w:t>1.100.</w:t>
      </w:r>
      <w:r>
        <w:rPr>
          <w:rFonts w:hint="eastAsia"/>
          <w:sz w:val="18"/>
        </w:rPr>
        <w:t>5</w:t>
      </w:r>
      <w:r>
        <w:rPr>
          <w:sz w:val="18"/>
        </w:rPr>
        <w:t>0</w:t>
      </w:r>
    </w:p>
    <w:p w14:paraId="03898A27">
      <w:pPr>
        <w:pStyle w:val="26"/>
        <w:framePr w:wrap="around"/>
      </w:pPr>
      <w:bookmarkStart w:id="0" w:name="WXFLH"/>
      <w:r>
        <w:t xml:space="preserve">CCS </w:t>
      </w:r>
      <w:bookmarkEnd w:id="0"/>
      <w:r>
        <w:rPr>
          <w:rFonts w:hint="eastAsia"/>
          <w:sz w:val="18"/>
        </w:rPr>
        <w:t>B71</w:t>
      </w:r>
    </w:p>
    <w:tbl>
      <w:tblPr>
        <w:tblStyle w:val="20"/>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7C154592">
        <w:tc>
          <w:tcPr>
            <w:tcW w:w="9854" w:type="dxa"/>
            <w:tcBorders>
              <w:top w:val="nil"/>
              <w:left w:val="nil"/>
              <w:bottom w:val="nil"/>
              <w:right w:val="nil"/>
            </w:tcBorders>
          </w:tcPr>
          <w:p w14:paraId="4E85BFA0">
            <w:pPr>
              <w:pStyle w:val="26"/>
              <w:framePr w:wrap="around"/>
            </w:pPr>
            <w:r>
              <w:rPr>
                <w:rFonts w:ascii="Times New Roman"/>
              </w:rPr>
              <w:t>备案号：</w:t>
            </w:r>
            <w: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1"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wps:spPr>
                            <wps:txbx>
                              <w:txbxContent>
                                <w:p w14:paraId="2058F6D4">
                                  <w:pPr>
                                    <w:rPr>
                                      <w:rFonts w:hint="eastAsia"/>
                                    </w:rPr>
                                  </w:pPr>
                                </w:p>
                              </w:txbxContent>
                            </wps:txbx>
                            <wps:bodyPr upright="1"/>
                          </wps:wsp>
                        </a:graphicData>
                      </a:graphic>
                    </wp:anchor>
                  </w:drawing>
                </mc:Choice>
                <mc:Fallback>
                  <w:pict>
                    <v:rect id="BAH"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iuL+zV&#10;AAAABwEAAA8AAAAAAAAAAQAgAAAAIgAAAGRycy9kb3ducmV2LnhtbFBLAQIUABQAAAAIAIdO4kBG&#10;MTbYsQEAAG0DAAAOAAAAAAAAAAEAIAAAACQBAABkcnMvZTJvRG9jLnhtbFBLBQYAAAAABgAGAFkB&#10;AABHBQAAAAA=&#10;">
                      <v:fill on="t" focussize="0,0"/>
                      <v:stroke on="f"/>
                      <v:imagedata o:title=""/>
                      <o:lock v:ext="edit" aspectratio="f"/>
                      <v:textbox>
                        <w:txbxContent>
                          <w:p w14:paraId="2058F6D4">
                            <w:pPr>
                              <w:rPr>
                                <w:rFonts w:hint="eastAsia"/>
                              </w:rPr>
                            </w:pPr>
                          </w:p>
                        </w:txbxContent>
                      </v:textbox>
                    </v:rect>
                  </w:pict>
                </mc:Fallback>
              </mc:AlternateContent>
            </w:r>
          </w:p>
        </w:tc>
      </w:tr>
    </w:tbl>
    <w:p w14:paraId="571AFA2F">
      <w:pPr>
        <w:pStyle w:val="27"/>
        <w:framePr w:wrap="around"/>
        <w:rPr>
          <w:b w:val="0"/>
        </w:rPr>
      </w:pPr>
      <w:bookmarkStart w:id="1" w:name="c1"/>
      <w:r>
        <w:rPr>
          <w:b w:val="0"/>
        </w:rPr>
        <w:fldChar w:fldCharType="begin">
          <w:ffData>
            <w:name w:val="c1"/>
            <w:enabled/>
            <w:calcOnExit w:val="0"/>
            <w:entryMacro w:val="ShowHelp15"/>
            <w:textInput>
              <w:maxLength w:val="2"/>
            </w:textInput>
          </w:ffData>
        </w:fldChar>
      </w:r>
      <w:r>
        <w:rPr>
          <w:b w:val="0"/>
        </w:rPr>
        <w:instrText xml:space="preserve"> FORMTEXT </w:instrText>
      </w:r>
      <w:r>
        <w:rPr>
          <w:b w:val="0"/>
        </w:rPr>
        <w:fldChar w:fldCharType="separate"/>
      </w:r>
      <w:r>
        <w:rPr>
          <w:rFonts w:hint="eastAsia"/>
          <w:b w:val="0"/>
        </w:rPr>
        <w:t>JC</w:t>
      </w:r>
      <w:r>
        <w:rPr>
          <w:b w:val="0"/>
        </w:rPr>
        <w:fldChar w:fldCharType="end"/>
      </w:r>
      <w:bookmarkEnd w:id="1"/>
    </w:p>
    <w:p w14:paraId="40FCB890">
      <w:pPr>
        <w:pStyle w:val="28"/>
        <w:framePr w:wrap="around"/>
        <w:rPr>
          <w:rFonts w:hint="eastAsia"/>
        </w:rPr>
      </w:pPr>
      <w:r>
        <w:rPr>
          <w:rFonts w:hint="eastAsia"/>
        </w:rPr>
        <w:t>中华人民共和国</w:t>
      </w:r>
      <w:bookmarkStart w:id="2" w:name="c2"/>
      <w:r>
        <w:fldChar w:fldCharType="begin">
          <w:ffData>
            <w:name w:val="c2"/>
            <w:enabled/>
            <w:calcOnExit w:val="0"/>
            <w:entryMacro w:val="showhelp11"/>
            <w:textInput/>
          </w:ffData>
        </w:fldChar>
      </w:r>
      <w:r>
        <w:instrText xml:space="preserve"> FORMTEXT </w:instrText>
      </w:r>
      <w:r>
        <w:fldChar w:fldCharType="separate"/>
      </w:r>
      <w:r>
        <w:rPr>
          <w:rFonts w:hint="eastAsia"/>
        </w:rPr>
        <w:t>建材</w:t>
      </w:r>
      <w:r>
        <w:fldChar w:fldCharType="end"/>
      </w:r>
      <w:bookmarkEnd w:id="2"/>
      <w:r>
        <w:rPr>
          <w:rFonts w:hint="eastAsia"/>
        </w:rPr>
        <w:t>行业标准</w:t>
      </w:r>
    </w:p>
    <w:p w14:paraId="3A413DD6">
      <w:pPr>
        <w:pStyle w:val="29"/>
        <w:framePr w:wrap="around"/>
      </w:pPr>
      <w:bookmarkStart w:id="3" w:name="StdNo0"/>
      <w:r>
        <w:rPr>
          <w:rFonts w:ascii="Times New Roman"/>
        </w:rPr>
        <w:fldChar w:fldCharType="begin">
          <w:ffData>
            <w:name w:val="StdNo0"/>
            <w:enabled/>
            <w:calcOnExit w:val="0"/>
            <w:textInput>
              <w:default w:val="XX"/>
              <w:maxLength w:val="2"/>
            </w:textInput>
          </w:ffData>
        </w:fldChar>
      </w:r>
      <w:r>
        <w:rPr>
          <w:rFonts w:ascii="Times New Roman"/>
        </w:rPr>
        <w:instrText xml:space="preserve"> FORMTEXT </w:instrText>
      </w:r>
      <w:r>
        <w:rPr>
          <w:rFonts w:ascii="Times New Roman"/>
        </w:rPr>
        <w:fldChar w:fldCharType="separate"/>
      </w:r>
      <w:r>
        <w:rPr>
          <w:rFonts w:hint="eastAsia" w:ascii="Times New Roman"/>
        </w:rPr>
        <w:t>JC</w:t>
      </w:r>
      <w:r>
        <w:rPr>
          <w:rFonts w:ascii="Times New Roman"/>
        </w:rPr>
        <w:fldChar w:fldCharType="end"/>
      </w:r>
      <w:bookmarkEnd w:id="3"/>
      <w:r>
        <w:rPr>
          <w:rFonts w:ascii="Times New Roman"/>
        </w:rPr>
        <w:t xml:space="preserve">/T </w:t>
      </w:r>
      <w:bookmarkStart w:id="4" w:name="StdNo1"/>
      <w:r>
        <w:fldChar w:fldCharType="begin">
          <w:ffData>
            <w:name w:val="StdNo1"/>
            <w:enabled/>
            <w:calcOnExit w:val="0"/>
            <w:textInput>
              <w:default w:val="XXXXX"/>
            </w:textInput>
          </w:ffData>
        </w:fldChar>
      </w:r>
      <w:r>
        <w:instrText xml:space="preserve"> FORMTEXT </w:instrText>
      </w:r>
      <w:r>
        <w:fldChar w:fldCharType="separate"/>
      </w:r>
      <w:r>
        <w:t>XXXXX</w:t>
      </w:r>
      <w:r>
        <w:fldChar w:fldCharType="end"/>
      </w:r>
      <w:bookmarkEnd w:id="4"/>
      <w:r>
        <w:t>—</w:t>
      </w:r>
      <w:bookmarkStart w:id="5"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5"/>
    </w:p>
    <w:tbl>
      <w:tblPr>
        <w:tblStyle w:val="20"/>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0D7082A2">
        <w:tc>
          <w:tcPr>
            <w:tcW w:w="9356" w:type="dxa"/>
            <w:tcBorders>
              <w:top w:val="nil"/>
              <w:left w:val="nil"/>
              <w:bottom w:val="nil"/>
              <w:right w:val="nil"/>
            </w:tcBorders>
          </w:tcPr>
          <w:p w14:paraId="73EE0631">
            <w:pPr>
              <w:pStyle w:val="30"/>
              <w:framePr w:wrap="around"/>
              <w:ind w:right="210"/>
            </w:pPr>
            <w:r>
              <w:rPr>
                <w:rFonts w:hint="eastAsia" w:ascii="黑体" w:hAnsi="黑体" w:eastAsia="黑体" w:cs="黑体"/>
              </w:rPr>
              <w:t>代替SB/T 10606-2011</w:t>
            </w:r>
          </w:p>
        </w:tc>
      </w:tr>
    </w:tbl>
    <w:p w14:paraId="30504C02">
      <w:pPr>
        <w:pStyle w:val="29"/>
        <w:framePr w:wrap="around"/>
      </w:pPr>
    </w:p>
    <w:p w14:paraId="1380A353">
      <w:pPr>
        <w:pStyle w:val="29"/>
        <w:framePr w:wrap="around"/>
      </w:pPr>
    </w:p>
    <w:p w14:paraId="49065C47">
      <w:pPr>
        <w:pStyle w:val="31"/>
        <w:framePr w:w="9293" w:wrap="around" w:x="1699"/>
      </w:pPr>
      <w:r>
        <w:rPr>
          <w:rFonts w:hint="eastAsia"/>
        </w:rPr>
        <w:t>木材保护实验室管理规范</w:t>
      </w:r>
    </w:p>
    <w:p w14:paraId="140EE151">
      <w:pPr>
        <w:pStyle w:val="31"/>
        <w:framePr w:w="9293" w:wrap="around" w:x="1699"/>
      </w:pPr>
      <w:r>
        <w:rPr>
          <w:rFonts w:hint="eastAsia"/>
        </w:rPr>
        <w:t>（征求意见稿）</w:t>
      </w:r>
    </w:p>
    <w:p w14:paraId="2791EF96">
      <w:pPr>
        <w:pStyle w:val="31"/>
        <w:framePr w:w="9293" w:wrap="around" w:x="1699"/>
      </w:pPr>
    </w:p>
    <w:p w14:paraId="51DF828C">
      <w:pPr>
        <w:pStyle w:val="31"/>
        <w:framePr w:w="9293" w:wrap="around" w:x="1699"/>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Management specifications for wood protection laboratory</w:t>
      </w:r>
    </w:p>
    <w:p w14:paraId="5A4627EB">
      <w:pPr>
        <w:pStyle w:val="36"/>
        <w:framePr w:wrap="around" w:hAnchor="page" w:x="1741" w:y="14041"/>
      </w:pPr>
      <w:bookmarkStart w:id="6"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rPr>
          <w:rFonts w:ascii="黑体"/>
        </w:rPr>
        <w:t>-</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bookmarkStart w:id="7"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发布</w:t>
      </w:r>
    </w:p>
    <w:p w14:paraId="50765B61">
      <w:pPr>
        <w:pStyle w:val="38"/>
        <w:framePr w:wrap="around" w:hAnchor="page" w:x="7096" w:y="14176"/>
      </w:pPr>
      <w:bookmarkStart w:id="8"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rPr>
          <w:rFonts w:ascii="黑体"/>
        </w:rPr>
        <w:t>-</w:t>
      </w:r>
      <w:bookmarkStart w:id="9"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ascii="黑体"/>
        </w:rPr>
        <w:t>-</w:t>
      </w:r>
      <w:bookmarkStart w:id="10"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实施</w:t>
      </w:r>
    </w:p>
    <w:p w14:paraId="679C7F7D">
      <w:pPr>
        <w:pStyle w:val="40"/>
        <w:framePr w:wrap="around" w:x="2186" w:y="15211"/>
      </w:pPr>
      <w:bookmarkStart w:id="11" w:name="fm"/>
      <w: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3"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wps:spPr>
                      <wps:txbx>
                        <w:txbxContent>
                          <w:p w14:paraId="474C6ABC">
                            <w:pPr>
                              <w:rPr>
                                <w:rFonts w:hint="eastAsia"/>
                              </w:rPr>
                            </w:pPr>
                          </w:p>
                        </w:txbxContent>
                      </wps:txbx>
                      <wps:bodyPr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bXu1tkA&#10;AAANAQAADwAAAAAAAAABACAAAAAiAAAAZHJzL2Rvd25yZXYueG1sUEsBAhQAFAAAAAgAh07iQKMd&#10;bo+sAQAAbQMAAA4AAAAAAAAAAQAgAAAAKAEAAGRycy9lMm9Eb2MueG1sUEsFBgAAAAAGAAYAWQEA&#10;AEYFAAAAAA==&#10;">
                <v:fill on="t" focussize="0,0"/>
                <v:stroke on="f"/>
                <v:imagedata o:title=""/>
                <o:lock v:ext="edit" aspectratio="f"/>
                <v:textbox>
                  <w:txbxContent>
                    <w:p w14:paraId="474C6ABC">
                      <w:pPr>
                        <w:rPr>
                          <w:rFonts w:hint="eastAsia"/>
                        </w:rPr>
                      </w:pPr>
                    </w:p>
                  </w:txbxContent>
                </v:textbox>
              </v:rect>
            </w:pict>
          </mc:Fallback>
        </mc:AlternateContent>
      </w:r>
      <w: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4"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wps:spPr>
                      <wps:txbx>
                        <w:txbxContent>
                          <w:p w14:paraId="0B35775B">
                            <w:pPr>
                              <w:rPr>
                                <w:rFonts w:hint="eastAsia"/>
                              </w:rPr>
                            </w:pPr>
                          </w:p>
                        </w:txbxContent>
                      </wps:txbx>
                      <wps:bodyPr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JihHa&#10;AAAADwEAAA8AAAAAAAAAAQAgAAAAIgAAAGRycy9kb3ducmV2LnhtbFBLAQIUABQAAAAIAIdO4kDn&#10;kuSKrAEAAG0DAAAOAAAAAAAAAAEAIAAAACkBAABkcnMvZTJvRG9jLnhtbFBLBQYAAAAABgAGAFkB&#10;AABHBQAAAAA=&#10;">
                <v:fill on="t" focussize="0,0"/>
                <v:stroke on="f"/>
                <v:imagedata o:title=""/>
                <o:lock v:ext="edit" aspectratio="f"/>
                <v:textbox>
                  <w:txbxContent>
                    <w:p w14:paraId="0B35775B">
                      <w:pPr>
                        <w:rPr>
                          <w:rFonts w:hint="eastAsia"/>
                        </w:rPr>
                      </w:pP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-464820</wp:posOffset>
                </wp:positionH>
                <wp:positionV relativeFrom="paragraph">
                  <wp:posOffset>-7021195</wp:posOffset>
                </wp:positionV>
                <wp:extent cx="6120130" cy="0"/>
                <wp:effectExtent l="0" t="0" r="33020" b="19050"/>
                <wp:wrapNone/>
                <wp:docPr id="5"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36.6pt;margin-top:-552.85pt;height:0pt;width:481.9pt;z-index:251662336;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slkaDYAAAADwEAAA8A&#10;AAAAAAAAAQAgAAAAIgAAAGRycy9kb3ducmV2LnhtbFBLAQIUABQAAAAIAIdO4kDOIrZg3gEAAM8D&#10;AAAOAAAAAAAAAAEAIAAAACcBAABkcnMvZTJvRG9jLnhtbFBLBQYAAAAABgAGAFkBAAB3BQAAAAA=&#10;">
                <v:fill on="f" focussize="0,0"/>
                <v:stroke color="#000000" joinstyle="round"/>
                <v:imagedata o:title=""/>
                <o:lock v:ext="edit" aspectratio="f"/>
              </v:line>
            </w:pict>
          </mc:Fallback>
        </mc:AlternateContent>
      </w:r>
      <w:r>
        <w:fldChar w:fldCharType="begin">
          <w:ffData>
            <w:name w:val="fm"/>
            <w:enabled/>
            <w:calcOnExit w:val="0"/>
            <w:textInput/>
          </w:ffData>
        </w:fldChar>
      </w:r>
      <w:r>
        <w:instrText xml:space="preserve"> FORMTEXT </w:instrText>
      </w:r>
      <w:r>
        <w:fldChar w:fldCharType="separate"/>
      </w:r>
      <w:r>
        <w:rPr>
          <w:rFonts w:hint="eastAsia"/>
        </w:rPr>
        <w:t>中华人民共和国工业和信息化部</w:t>
      </w:r>
      <w:r>
        <w:fldChar w:fldCharType="end"/>
      </w:r>
      <w:bookmarkEnd w:id="11"/>
      <w:r>
        <w:rPr>
          <w:rStyle w:val="43"/>
          <w:rFonts w:hint="eastAsia"/>
        </w:rPr>
        <w:t>发布</w:t>
      </w:r>
    </w:p>
    <w:p w14:paraId="79D3C3C9">
      <w:pPr>
        <w:autoSpaceDE/>
        <w:autoSpaceDN/>
        <w:rPr>
          <w:rFonts w:hint="eastAsia"/>
        </w:rPr>
        <w:sectPr>
          <w:headerReference r:id="rId7" w:type="first"/>
          <w:footerReference r:id="rId10" w:type="first"/>
          <w:headerReference r:id="rId5" w:type="default"/>
          <w:footerReference r:id="rId8" w:type="default"/>
          <w:headerReference r:id="rId6" w:type="even"/>
          <w:footerReference r:id="rId9" w:type="even"/>
          <w:pgSz w:w="11906" w:h="16838"/>
          <w:pgMar w:top="567" w:right="850" w:bottom="1134" w:left="1418" w:header="0" w:footer="0" w:gutter="0"/>
          <w:pgNumType w:fmt="upperRoman" w:start="1"/>
          <w:cols w:space="720" w:num="1"/>
          <w:docGrid w:type="lines" w:linePitch="312" w:charSpace="0"/>
        </w:sectPr>
      </w:pPr>
      <w:r>
        <mc:AlternateContent>
          <mc:Choice Requires="wps">
            <w:drawing>
              <wp:anchor distT="0" distB="0" distL="114300" distR="114300" simplePos="0" relativeHeight="251663360" behindDoc="0" locked="1" layoutInCell="1" allowOverlap="1">
                <wp:simplePos x="0" y="0"/>
                <wp:positionH relativeFrom="column">
                  <wp:posOffset>161290</wp:posOffset>
                </wp:positionH>
                <wp:positionV relativeFrom="page">
                  <wp:posOffset>9430385</wp:posOffset>
                </wp:positionV>
                <wp:extent cx="6120130" cy="0"/>
                <wp:effectExtent l="0" t="0" r="33020" b="19050"/>
                <wp:wrapNone/>
                <wp:docPr id="28" name="直接连接符 2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2.7pt;margin-top:742.55pt;height:0pt;width:481.9pt;mso-position-vertical-relative:page;z-index:251663360;mso-width-relative:page;mso-height-relative:page;" filled="f" stroked="t" coordsize="21600,21600" o:gfxdata="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g&#10;vemk1wAAAAwBAAAPAAAAAAAAAAEAIAAAACIAAABkcnMvZG93bnJldi54bWxQSwECFAAUAAAACACH&#10;TuJAEoJRcuwBAADaAwAADgAAAAAAAAABACAAAAAmAQAAZHJzL2Uyb0RvYy54bWxQSwUGAAAAAAYA&#10;BgBZAQAAhAUAAAAA&#10;">
                <v:fill on="f" focussize="0,0"/>
                <v:stroke color="#000000" joinstyle="round"/>
                <v:imagedata o:title=""/>
                <o:lock v:ext="edit" aspectratio="f"/>
                <w10:anchorlock/>
              </v:line>
            </w:pict>
          </mc:Fallback>
        </mc:AlternateContent>
      </w:r>
    </w:p>
    <w:p w14:paraId="4C0AED01">
      <w:pPr>
        <w:pStyle w:val="44"/>
        <w:tabs>
          <w:tab w:val="center" w:pos="4677"/>
          <w:tab w:val="left" w:pos="7092"/>
        </w:tabs>
        <w:jc w:val="left"/>
      </w:pPr>
      <w:r>
        <w:tab/>
      </w:r>
      <w:bookmarkStart w:id="12" w:name="_Toc65048765"/>
      <w:bookmarkStart w:id="13" w:name="_Toc103159534"/>
      <w:bookmarkStart w:id="14" w:name="_Toc65048651"/>
      <w:r>
        <w:rPr>
          <w:rFonts w:hint="eastAsia"/>
        </w:rPr>
        <w:t>前</w:t>
      </w:r>
      <w:bookmarkStart w:id="15" w:name="BKQY"/>
      <w:r>
        <w:rPr>
          <w:rFonts w:hAnsi="黑体"/>
        </w:rPr>
        <w:t>  </w:t>
      </w:r>
      <w:r>
        <w:rPr>
          <w:rFonts w:hint="eastAsia"/>
        </w:rPr>
        <w:t>言</w:t>
      </w:r>
      <w:bookmarkEnd w:id="12"/>
      <w:bookmarkEnd w:id="13"/>
      <w:bookmarkEnd w:id="14"/>
      <w:bookmarkEnd w:id="15"/>
      <w:r>
        <w:tab/>
      </w:r>
    </w:p>
    <w:p w14:paraId="5A332A49">
      <w:pPr>
        <w:autoSpaceDE/>
        <w:autoSpaceDN/>
        <w:rPr>
          <w:rFonts w:hint="eastAsia"/>
        </w:rPr>
      </w:pPr>
      <w:r>
        <w:rPr>
          <w:rFonts w:hint="eastAsia"/>
        </w:rPr>
        <w:t>本文件按照GB/T</w:t>
      </w:r>
      <w:r>
        <w:t xml:space="preserve"> </w:t>
      </w:r>
      <w:r>
        <w:rPr>
          <w:rFonts w:hint="eastAsia"/>
        </w:rPr>
        <w:t>1.1-2020《标准化工作导则 第1部分：标准化文件的结构和起草规则》的规定起草。</w:t>
      </w:r>
    </w:p>
    <w:p w14:paraId="77EA1413">
      <w:pPr>
        <w:autoSpaceDE/>
        <w:autoSpaceDN/>
        <w:rPr>
          <w:rFonts w:hint="eastAsia"/>
          <w:highlight w:val="none"/>
        </w:rPr>
      </w:pPr>
      <w:r>
        <w:rPr>
          <w:rFonts w:hint="eastAsia"/>
        </w:rPr>
        <w:t>本文件代替SB/T 10606-2011《木材保护实验室管理规范》，</w:t>
      </w:r>
      <w:r>
        <w:rPr>
          <w:rFonts w:hint="eastAsia"/>
          <w:lang w:val="en-US" w:eastAsia="zh-CN"/>
        </w:rPr>
        <w:t>是</w:t>
      </w:r>
      <w:r>
        <w:rPr>
          <w:rFonts w:hint="eastAsia"/>
          <w:highlight w:val="none"/>
          <w:lang w:val="en-US" w:eastAsia="zh-CN"/>
        </w:rPr>
        <w:t>对</w:t>
      </w:r>
      <w:r>
        <w:rPr>
          <w:rFonts w:hint="eastAsia"/>
          <w:highlight w:val="none"/>
        </w:rPr>
        <w:t>SB/T 10606-2011</w:t>
      </w:r>
      <w:r>
        <w:rPr>
          <w:rFonts w:hint="eastAsia"/>
          <w:highlight w:val="none"/>
          <w:lang w:val="en-US" w:eastAsia="zh-CN"/>
        </w:rPr>
        <w:t>的全面修订</w:t>
      </w:r>
      <w:r>
        <w:rPr>
          <w:rFonts w:hint="eastAsia"/>
          <w:highlight w:val="none"/>
        </w:rPr>
        <w:t>，主要变化如下：</w:t>
      </w:r>
    </w:p>
    <w:p w14:paraId="23DE7AB5">
      <w:pPr>
        <w:autoSpaceDE/>
        <w:autoSpaceDN/>
        <w:rPr>
          <w:rFonts w:hint="eastAsia" w:eastAsiaTheme="minorEastAsia"/>
          <w:highlight w:val="none"/>
          <w:lang w:eastAsia="zh-CN"/>
        </w:rPr>
      </w:pPr>
      <w:r>
        <w:rPr>
          <w:rFonts w:hint="eastAsia"/>
          <w:highlight w:val="none"/>
        </w:rPr>
        <w:t>a）</w:t>
      </w:r>
      <w:r>
        <w:rPr>
          <w:rFonts w:hint="eastAsia"/>
          <w:highlight w:val="none"/>
          <w:lang w:val="en-US" w:eastAsia="zh-CN"/>
        </w:rPr>
        <w:t>删除了原有的术语和定义，增加了木材保护、木材保护产品、木材保护实验室的术语和定义</w:t>
      </w:r>
      <w:r>
        <w:rPr>
          <w:rFonts w:hint="eastAsia" w:ascii="Times New Roman" w:hAnsi="Times New Roman"/>
          <w:highlight w:val="none"/>
        </w:rPr>
        <w:t>（见</w:t>
      </w:r>
      <w:r>
        <w:rPr>
          <w:rFonts w:hint="eastAsia" w:ascii="Times New Roman" w:hAnsi="Times New Roman"/>
          <w:highlight w:val="none"/>
          <w:lang w:val="en-US" w:eastAsia="zh-CN"/>
        </w:rPr>
        <w:t>第</w:t>
      </w:r>
      <w:r>
        <w:rPr>
          <w:rFonts w:hint="eastAsia" w:ascii="Times New Roman" w:hAnsi="Times New Roman"/>
          <w:highlight w:val="none"/>
        </w:rPr>
        <w:t>3</w:t>
      </w:r>
      <w:r>
        <w:rPr>
          <w:rFonts w:hint="eastAsia" w:ascii="Times New Roman" w:hAnsi="Times New Roman"/>
          <w:highlight w:val="none"/>
          <w:lang w:val="en-US" w:eastAsia="zh-CN"/>
        </w:rPr>
        <w:t>章</w:t>
      </w:r>
      <w:r>
        <w:rPr>
          <w:rFonts w:hint="eastAsia" w:ascii="Times New Roman" w:hAnsi="Times New Roman"/>
          <w:highlight w:val="none"/>
        </w:rPr>
        <w:t>）</w:t>
      </w:r>
      <w:r>
        <w:rPr>
          <w:rFonts w:hint="eastAsia" w:ascii="Times New Roman" w:hAnsi="Times New Roman"/>
          <w:highlight w:val="none"/>
          <w:lang w:eastAsia="zh-CN"/>
        </w:rPr>
        <w:t>。</w:t>
      </w:r>
    </w:p>
    <w:p w14:paraId="537F2482">
      <w:pPr>
        <w:autoSpaceDE/>
        <w:autoSpaceDN/>
        <w:rPr>
          <w:rFonts w:hint="default" w:eastAsiaTheme="minorEastAsia"/>
          <w:highlight w:val="none"/>
          <w:lang w:val="en-US" w:eastAsia="zh-CN"/>
        </w:rPr>
      </w:pPr>
      <w:r>
        <w:rPr>
          <w:rFonts w:hint="eastAsia"/>
          <w:highlight w:val="none"/>
        </w:rPr>
        <w:t>b）</w:t>
      </w:r>
      <w:r>
        <w:rPr>
          <w:rFonts w:hint="eastAsia"/>
          <w:highlight w:val="none"/>
          <w:lang w:val="en-US" w:eastAsia="zh-CN"/>
        </w:rPr>
        <w:t>修改了整体内容，从</w:t>
      </w:r>
      <w:r>
        <w:rPr>
          <w:rFonts w:hint="eastAsia"/>
          <w:highlight w:val="none"/>
        </w:rPr>
        <w:t>组织和管理、人员、设施和设备、安全和环保、管理体系</w:t>
      </w:r>
      <w:r>
        <w:rPr>
          <w:rFonts w:hint="eastAsia"/>
          <w:highlight w:val="none"/>
          <w:lang w:val="en-US" w:eastAsia="zh-CN"/>
        </w:rPr>
        <w:t>共五部分进行表述（见第4、5、6、7、8章）。</w:t>
      </w:r>
    </w:p>
    <w:p w14:paraId="4FA86AF0">
      <w:pPr>
        <w:autoSpaceDE/>
        <w:autoSpaceDN/>
        <w:rPr>
          <w:rFonts w:hint="eastAsia"/>
        </w:rPr>
      </w:pPr>
      <w:r>
        <w:rPr>
          <w:rFonts w:hint="eastAsia"/>
        </w:rPr>
        <w:t>请注意本文件的某些内容可能涉及专利。本文件的发布机构不承担识别专利的责任。</w:t>
      </w:r>
    </w:p>
    <w:p w14:paraId="2D58EAB0">
      <w:pPr>
        <w:autoSpaceDE/>
        <w:autoSpaceDN/>
        <w:rPr>
          <w:rFonts w:hint="eastAsia"/>
        </w:rPr>
      </w:pPr>
      <w:r>
        <w:rPr>
          <w:rFonts w:hint="eastAsia"/>
        </w:rPr>
        <w:t>本文件由中国建筑材料联合会提出。</w:t>
      </w:r>
    </w:p>
    <w:p w14:paraId="4B16D44C">
      <w:pPr>
        <w:autoSpaceDE/>
        <w:autoSpaceDN/>
        <w:rPr>
          <w:rFonts w:hint="eastAsia"/>
        </w:rPr>
      </w:pPr>
      <w:r>
        <w:rPr>
          <w:rFonts w:hint="eastAsia"/>
        </w:rPr>
        <w:t>本文件由建材工业综合标准化技术委员会归口。</w:t>
      </w:r>
    </w:p>
    <w:p w14:paraId="2E036601">
      <w:pPr>
        <w:autoSpaceDE/>
        <w:autoSpaceDN/>
        <w:rPr>
          <w:rFonts w:hint="eastAsia" w:eastAsiaTheme="minorEastAsia"/>
          <w:lang w:eastAsia="zh-CN"/>
        </w:rPr>
      </w:pPr>
      <w:r>
        <w:rPr>
          <w:rFonts w:hint="eastAsia"/>
        </w:rPr>
        <w:t>本文件</w:t>
      </w:r>
      <w:r>
        <w:rPr>
          <w:rFonts w:hint="eastAsia"/>
          <w:lang w:val="en-US" w:eastAsia="zh-CN"/>
        </w:rPr>
        <w:t>参加</w:t>
      </w:r>
      <w:bookmarkStart w:id="21" w:name="_GoBack"/>
      <w:bookmarkEnd w:id="21"/>
      <w:r>
        <w:rPr>
          <w:rFonts w:hint="eastAsia"/>
        </w:rPr>
        <w:t>起草单位：木材节约发展中心</w:t>
      </w:r>
      <w:r>
        <w:rPr>
          <w:rFonts w:hint="eastAsia"/>
          <w:lang w:eastAsia="zh-CN"/>
        </w:rPr>
        <w:t>。</w:t>
      </w:r>
    </w:p>
    <w:p w14:paraId="536CF4CD">
      <w:pPr>
        <w:autoSpaceDE/>
        <w:autoSpaceDN/>
        <w:rPr>
          <w:rFonts w:hint="eastAsia"/>
        </w:rPr>
      </w:pPr>
      <w:r>
        <w:rPr>
          <w:rFonts w:hint="eastAsia"/>
        </w:rPr>
        <w:t>本文件主要起草人：×××等。</w:t>
      </w:r>
    </w:p>
    <w:p w14:paraId="15F83E68">
      <w:pPr>
        <w:autoSpaceDE/>
        <w:autoSpaceDN/>
        <w:rPr>
          <w:rFonts w:hint="eastAsia"/>
        </w:rPr>
      </w:pPr>
      <w:r>
        <w:rPr>
          <w:rFonts w:ascii="Times New Roman" w:hAnsi="Times New Roman"/>
        </w:rPr>
        <w:t>本文件</w:t>
      </w:r>
      <w:r>
        <w:rPr>
          <w:rFonts w:hint="eastAsia" w:ascii="Times New Roman" w:hAnsi="Times New Roman"/>
          <w:lang w:val="en-US" w:eastAsia="zh-CN"/>
        </w:rPr>
        <w:t>于</w:t>
      </w:r>
      <w:r>
        <w:rPr>
          <w:rFonts w:ascii="Times New Roman" w:hAnsi="Times New Roman"/>
        </w:rPr>
        <w:t>20</w:t>
      </w:r>
      <w:r>
        <w:rPr>
          <w:rFonts w:hint="eastAsia" w:ascii="Times New Roman" w:hAnsi="Times New Roman"/>
        </w:rPr>
        <w:t>11</w:t>
      </w:r>
      <w:r>
        <w:rPr>
          <w:rFonts w:ascii="Times New Roman" w:hAnsi="Times New Roman"/>
        </w:rPr>
        <w:t>年首次发布</w:t>
      </w:r>
      <w:r>
        <w:rPr>
          <w:rFonts w:hint="eastAsia" w:ascii="Times New Roman" w:hAnsi="Times New Roman"/>
          <w:lang w:eastAsia="zh-CN"/>
        </w:rPr>
        <w:t>，</w:t>
      </w:r>
      <w:r>
        <w:rPr>
          <w:rFonts w:ascii="Times New Roman" w:hAnsi="Times New Roman"/>
        </w:rPr>
        <w:t>本次为第一次修订。</w:t>
      </w:r>
    </w:p>
    <w:p w14:paraId="6F7EDEC4">
      <w:pPr>
        <w:autoSpaceDE/>
        <w:autoSpaceDN/>
        <w:rPr>
          <w:rFonts w:hint="eastAsia"/>
        </w:rPr>
      </w:pPr>
    </w:p>
    <w:p w14:paraId="7134EDE0">
      <w:pPr>
        <w:autoSpaceDE/>
        <w:autoSpaceDN/>
        <w:rPr>
          <w:rFonts w:hint="eastAsia"/>
        </w:rPr>
      </w:pPr>
      <w:r>
        <w:br w:type="page"/>
      </w:r>
    </w:p>
    <w:p w14:paraId="1696A124">
      <w:pPr>
        <w:pStyle w:val="74"/>
        <w:rPr>
          <w:color w:val="auto"/>
        </w:rPr>
        <w:sectPr>
          <w:headerReference r:id="rId11" w:type="default"/>
          <w:footerReference r:id="rId12" w:type="default"/>
          <w:pgSz w:w="11906" w:h="16838"/>
          <w:pgMar w:top="567" w:right="1134" w:bottom="1134" w:left="1418" w:header="1418" w:footer="1134" w:gutter="0"/>
          <w:pgNumType w:fmt="upperRoman" w:start="1"/>
          <w:cols w:space="425" w:num="1"/>
          <w:formProt w:val="0"/>
          <w:docGrid w:type="lines" w:linePitch="312" w:charSpace="0"/>
        </w:sectPr>
      </w:pPr>
    </w:p>
    <w:p w14:paraId="2BB091CF">
      <w:pPr>
        <w:pStyle w:val="17"/>
        <w:widowControl w:val="0"/>
        <w:tabs>
          <w:tab w:val="clear" w:pos="4201"/>
          <w:tab w:val="clear" w:pos="9298"/>
        </w:tabs>
        <w:autoSpaceDE/>
        <w:autoSpaceDN/>
        <w:ind w:firstLine="0" w:firstLineChars="0"/>
        <w:rPr>
          <w:rFonts w:hint="eastAsia" w:ascii="黑体" w:hAnsi="黑体" w:eastAsia="黑体"/>
          <w:b w:val="0"/>
          <w:kern w:val="2"/>
        </w:rPr>
      </w:pPr>
      <w:r>
        <w:rPr>
          <w:rFonts w:hint="eastAsia" w:ascii="黑体" w:hAnsi="黑体" w:eastAsia="黑体"/>
          <w:b w:val="0"/>
          <w:kern w:val="2"/>
        </w:rPr>
        <w:t>木材保护实验室管理规范</w:t>
      </w:r>
    </w:p>
    <w:p w14:paraId="2FD680BA">
      <w:pPr>
        <w:pStyle w:val="46"/>
        <w:numPr>
          <w:ilvl w:val="0"/>
          <w:numId w:val="1"/>
        </w:numPr>
        <w:tabs>
          <w:tab w:val="clear" w:pos="0"/>
        </w:tabs>
        <w:spacing w:before="312" w:after="312"/>
      </w:pPr>
      <w:bookmarkStart w:id="16" w:name="_Toc78802403"/>
      <w:r>
        <w:rPr>
          <w:rFonts w:hint="eastAsia"/>
        </w:rPr>
        <w:t>范围</w:t>
      </w:r>
      <w:bookmarkEnd w:id="16"/>
    </w:p>
    <w:p w14:paraId="531520D5">
      <w:pPr>
        <w:autoSpaceDE/>
        <w:autoSpaceDN/>
        <w:rPr>
          <w:rFonts w:hint="eastAsia"/>
          <w:color w:val="auto"/>
          <w:highlight w:val="none"/>
        </w:rPr>
      </w:pPr>
      <w:r>
        <w:rPr>
          <w:rFonts w:hint="eastAsia"/>
          <w:color w:val="auto"/>
          <w:highlight w:val="none"/>
        </w:rPr>
        <w:t>本标准规定了木材保护实验室的术语和定义、</w:t>
      </w:r>
      <w:r>
        <w:rPr>
          <w:rFonts w:hint="eastAsia"/>
          <w:color w:val="auto"/>
          <w:highlight w:val="none"/>
          <w:lang w:val="en-US" w:eastAsia="zh-CN"/>
        </w:rPr>
        <w:t>组织和管理</w:t>
      </w:r>
      <w:r>
        <w:rPr>
          <w:rFonts w:hint="eastAsia"/>
          <w:color w:val="auto"/>
          <w:highlight w:val="none"/>
        </w:rPr>
        <w:t>、</w:t>
      </w:r>
      <w:r>
        <w:rPr>
          <w:rFonts w:hint="eastAsia"/>
          <w:color w:val="auto"/>
          <w:highlight w:val="none"/>
          <w:lang w:val="en-US" w:eastAsia="zh-CN"/>
        </w:rPr>
        <w:t>人员、设施和设备、安全和环保、管理体系</w:t>
      </w:r>
      <w:r>
        <w:rPr>
          <w:rFonts w:hint="eastAsia"/>
          <w:color w:val="auto"/>
          <w:highlight w:val="none"/>
        </w:rPr>
        <w:t>的要求。</w:t>
      </w:r>
    </w:p>
    <w:p w14:paraId="6C996D3C">
      <w:pPr>
        <w:autoSpaceDE/>
        <w:autoSpaceDN/>
        <w:rPr>
          <w:rFonts w:hint="eastAsia"/>
          <w:highlight w:val="none"/>
        </w:rPr>
      </w:pPr>
      <w:r>
        <w:rPr>
          <w:rFonts w:hint="eastAsia"/>
          <w:highlight w:val="none"/>
        </w:rPr>
        <w:t>本标准适用于木材保护实验室</w:t>
      </w:r>
      <w:r>
        <w:rPr>
          <w:rFonts w:hint="eastAsia"/>
          <w:highlight w:val="none"/>
          <w:lang w:val="en-US" w:eastAsia="zh-CN"/>
        </w:rPr>
        <w:t>的管理</w:t>
      </w:r>
      <w:r>
        <w:rPr>
          <w:rFonts w:hint="eastAsia"/>
          <w:highlight w:val="none"/>
        </w:rPr>
        <w:t>。</w:t>
      </w:r>
    </w:p>
    <w:p w14:paraId="5500792D">
      <w:pPr>
        <w:pStyle w:val="46"/>
        <w:numPr>
          <w:ilvl w:val="0"/>
          <w:numId w:val="1"/>
        </w:numPr>
        <w:tabs>
          <w:tab w:val="clear" w:pos="0"/>
        </w:tabs>
        <w:spacing w:before="312" w:after="312"/>
      </w:pPr>
      <w:bookmarkStart w:id="17" w:name="_Toc78802404"/>
      <w:bookmarkStart w:id="18" w:name="_Toc103159536"/>
      <w:r>
        <w:rPr>
          <w:rFonts w:hint="eastAsia"/>
        </w:rPr>
        <w:t>规范性引用文件</w:t>
      </w:r>
      <w:bookmarkEnd w:id="17"/>
      <w:bookmarkEnd w:id="18"/>
    </w:p>
    <w:p w14:paraId="0E35A039">
      <w:pPr>
        <w:pStyle w:val="42"/>
        <w:numPr>
          <w:ilvl w:val="0"/>
          <w:numId w:val="0"/>
        </w:numPr>
        <w:autoSpaceDE/>
        <w:autoSpaceDN/>
        <w:ind w:firstLine="420" w:firstLineChars="200"/>
        <w:rPr>
          <w:rFonts w:hint="eastAsia" w:asciiTheme="minorEastAsia" w:hAnsiTheme="minorEastAsia" w:eastAsiaTheme="minorEastAsia"/>
        </w:rPr>
      </w:pPr>
      <w:r>
        <w:rPr>
          <w:rFonts w:asciiTheme="minorEastAsia" w:hAnsiTheme="minorEastAsia" w:eastAsiaTheme="minorEastAsia"/>
        </w:rPr>
        <w:tab/>
      </w:r>
      <w:r>
        <w:rPr>
          <w:rFonts w:hint="eastAsia" w:asciiTheme="minorEastAsia" w:hAnsiTheme="minorEastAsia" w:eastAsiaTheme="minor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FBDF182">
      <w:pPr>
        <w:pStyle w:val="42"/>
        <w:numPr>
          <w:ilvl w:val="0"/>
          <w:numId w:val="0"/>
        </w:numPr>
        <w:autoSpaceDE/>
        <w:autoSpaceDN/>
        <w:spacing w:before="0" w:beforeLines="0" w:after="0" w:afterLines="0"/>
        <w:ind w:firstLine="420" w:firstLineChars="200"/>
        <w:rPr>
          <w:rFonts w:asciiTheme="minorEastAsia" w:hAnsiTheme="minorEastAsia" w:eastAsiaTheme="minorEastAsia"/>
        </w:rPr>
      </w:pPr>
      <w:r>
        <w:rPr>
          <w:rFonts w:ascii="Times New Roman" w:hAnsi="Times New Roman"/>
        </w:rPr>
        <w:t xml:space="preserve">GB/T 14019 </w:t>
      </w:r>
      <w:r>
        <w:rPr>
          <w:rFonts w:ascii="Times New Roman" w:hAnsi="Times New Roman" w:eastAsiaTheme="minorEastAsia"/>
        </w:rPr>
        <w:t>木材防腐术语</w:t>
      </w:r>
    </w:p>
    <w:p w14:paraId="1427ED12">
      <w:pPr>
        <w:pStyle w:val="42"/>
        <w:numPr>
          <w:ilvl w:val="0"/>
          <w:numId w:val="0"/>
        </w:numPr>
        <w:autoSpaceDE/>
        <w:autoSpaceDN/>
        <w:spacing w:before="0" w:beforeLines="0" w:after="0" w:afterLines="0"/>
        <w:ind w:firstLine="420" w:firstLineChars="200"/>
        <w:rPr>
          <w:rFonts w:hint="default" w:ascii="Times New Roman" w:hAnsi="Times New Roman" w:cs="Times New Roman" w:eastAsiaTheme="minorEastAsia"/>
        </w:rPr>
      </w:pPr>
      <w:r>
        <w:rPr>
          <w:rFonts w:hint="default" w:ascii="Times New Roman" w:hAnsi="Times New Roman" w:cs="Times New Roman" w:eastAsiaTheme="minorEastAsia"/>
        </w:rPr>
        <w:t>GB/T 29563-2013 木材保护管理规范</w:t>
      </w:r>
    </w:p>
    <w:p w14:paraId="42EE8285">
      <w:pPr>
        <w:pStyle w:val="42"/>
        <w:numPr>
          <w:ilvl w:val="0"/>
          <w:numId w:val="0"/>
        </w:numPr>
        <w:autoSpaceDE/>
        <w:autoSpaceDN/>
        <w:spacing w:before="0" w:beforeLines="0" w:after="0" w:afterLines="0"/>
        <w:ind w:firstLine="420" w:firstLineChars="200"/>
        <w:rPr>
          <w:rFonts w:hint="default" w:ascii="Times New Roman" w:hAnsi="Times New Roman" w:cs="Times New Roman" w:eastAsiaTheme="minorEastAsia"/>
        </w:rPr>
      </w:pPr>
      <w:r>
        <w:rPr>
          <w:rFonts w:hint="default" w:ascii="Times New Roman" w:hAnsi="Times New Roman" w:cs="Times New Roman" w:eastAsiaTheme="minorEastAsia"/>
        </w:rPr>
        <w:t>GB/T 27025 检测和校准实验室能力的通用要求</w:t>
      </w:r>
    </w:p>
    <w:p w14:paraId="07201AF2">
      <w:pPr>
        <w:pStyle w:val="42"/>
        <w:numPr>
          <w:ilvl w:val="0"/>
          <w:numId w:val="0"/>
        </w:numPr>
        <w:autoSpaceDE/>
        <w:autoSpaceDN/>
        <w:spacing w:before="0" w:beforeLines="0" w:after="0" w:afterLines="0"/>
        <w:ind w:firstLine="420" w:firstLineChars="200"/>
        <w:rPr>
          <w:rFonts w:hint="default" w:ascii="Times New Roman" w:hAnsi="Times New Roman" w:cs="Times New Roman" w:eastAsiaTheme="minorEastAsia"/>
          <w:color w:val="auto"/>
          <w:highlight w:val="yellow"/>
          <w:lang w:eastAsia="zh-CN"/>
        </w:rPr>
      </w:pPr>
      <w:r>
        <w:rPr>
          <w:rFonts w:hint="default" w:ascii="Times New Roman" w:hAnsi="Times New Roman" w:cs="Times New Roman" w:eastAsiaTheme="minorEastAsia"/>
          <w:color w:val="auto"/>
        </w:rPr>
        <w:t>检验检测机构资质认定评审准则</w:t>
      </w:r>
      <w:r>
        <w:rPr>
          <w:rFonts w:hint="default" w:ascii="Times New Roman" w:hAnsi="Times New Roman" w:cs="Times New Roman" w:eastAsiaTheme="minorEastAsia"/>
          <w:color w:val="auto"/>
          <w:lang w:eastAsia="zh-CN"/>
        </w:rPr>
        <w:t>（</w:t>
      </w:r>
      <w:r>
        <w:rPr>
          <w:rFonts w:hint="default" w:ascii="Times New Roman" w:hAnsi="Times New Roman" w:cs="Times New Roman" w:eastAsiaTheme="minorEastAsia"/>
          <w:color w:val="auto"/>
        </w:rPr>
        <w:t>国家市场监督管理总局2023年第21号公告</w:t>
      </w:r>
      <w:r>
        <w:rPr>
          <w:rFonts w:hint="default" w:ascii="Times New Roman" w:hAnsi="Times New Roman" w:cs="Times New Roman" w:eastAsiaTheme="minorEastAsia"/>
          <w:color w:val="auto"/>
          <w:lang w:eastAsia="zh-CN"/>
        </w:rPr>
        <w:t>）</w:t>
      </w:r>
    </w:p>
    <w:p w14:paraId="37C9E7CA">
      <w:pPr>
        <w:pStyle w:val="46"/>
        <w:numPr>
          <w:ilvl w:val="0"/>
          <w:numId w:val="1"/>
        </w:numPr>
        <w:tabs>
          <w:tab w:val="clear" w:pos="0"/>
        </w:tabs>
        <w:spacing w:before="312" w:after="312"/>
      </w:pPr>
      <w:bookmarkStart w:id="19" w:name="_Toc78802405"/>
      <w:bookmarkStart w:id="20" w:name="_Toc103159537"/>
      <w:r>
        <w:rPr>
          <w:rFonts w:hint="eastAsia"/>
        </w:rPr>
        <w:t>术语和定义</w:t>
      </w:r>
      <w:bookmarkEnd w:id="19"/>
      <w:bookmarkEnd w:id="20"/>
    </w:p>
    <w:p w14:paraId="1770929D">
      <w:pPr>
        <w:pStyle w:val="8"/>
        <w:autoSpaceDE/>
        <w:autoSpaceDN/>
        <w:rPr>
          <w:rFonts w:hint="default" w:ascii="Times New Roman" w:hAnsi="Times New Roman" w:cs="Times New Roman"/>
        </w:rPr>
      </w:pPr>
      <w:r>
        <w:rPr>
          <w:rFonts w:hint="default" w:ascii="Times New Roman" w:hAnsi="Times New Roman" w:cs="Times New Roman"/>
        </w:rPr>
        <w:t>GB/T 14019、GB/T 29563-2013、GB/T 27025界定的以及下列术语和定义适用于本文件。</w:t>
      </w:r>
    </w:p>
    <w:p w14:paraId="65E83BEF">
      <w:pPr>
        <w:pStyle w:val="42"/>
        <w:rPr>
          <w:rFonts w:hint="default" w:ascii="Times New Roman" w:hAnsi="Times New Roman" w:cs="Times New Roman"/>
        </w:rPr>
      </w:pPr>
      <w:r>
        <w:rPr>
          <w:rFonts w:hint="default" w:ascii="Times New Roman" w:hAnsi="Times New Roman" w:cs="Times New Roman"/>
        </w:rPr>
        <w:t>木材保护 wood protection</w:t>
      </w:r>
      <w:r>
        <w:rPr>
          <w:rFonts w:hint="default" w:ascii="Times New Roman" w:hAnsi="Times New Roman" w:cs="Times New Roman"/>
        </w:rPr>
        <w:tab/>
      </w:r>
    </w:p>
    <w:p w14:paraId="4E8A8BE4">
      <w:pPr>
        <w:autoSpaceDE/>
        <w:autoSpaceDN/>
        <w:rPr>
          <w:rFonts w:hint="default" w:ascii="Times New Roman" w:hAnsi="Times New Roman" w:cs="Times New Roman"/>
        </w:rPr>
      </w:pPr>
      <w:r>
        <w:rPr>
          <w:rFonts w:hint="default" w:ascii="Times New Roman" w:hAnsi="Times New Roman" w:cs="Times New Roman"/>
        </w:rPr>
        <w:t>用物理、化学、生物等技术手段对木材及其制品进行保养、维护或功能性改良，减少或避免因气候因子、生物因子、化学因子、物理因子等侵害，延长使用期，提高使用价值的过程。其内容主要包括木材防腐、防变色、防霉、防虫</w:t>
      </w:r>
      <w:r>
        <w:rPr>
          <w:rFonts w:hint="eastAsia" w:ascii="Times New Roman" w:hAnsi="Times New Roman" w:cs="Times New Roman"/>
          <w:lang w:eastAsia="zh-CN"/>
        </w:rPr>
        <w:t>（</w:t>
      </w:r>
      <w:r>
        <w:rPr>
          <w:rFonts w:hint="default" w:ascii="Times New Roman" w:hAnsi="Times New Roman" w:cs="Times New Roman"/>
        </w:rPr>
        <w:t>蚁</w:t>
      </w:r>
      <w:r>
        <w:rPr>
          <w:rFonts w:hint="eastAsia" w:ascii="Times New Roman" w:hAnsi="Times New Roman" w:cs="Times New Roman"/>
          <w:lang w:eastAsia="zh-CN"/>
        </w:rPr>
        <w:t>）</w:t>
      </w:r>
      <w:r>
        <w:rPr>
          <w:rFonts w:hint="default" w:ascii="Times New Roman" w:hAnsi="Times New Roman" w:cs="Times New Roman"/>
        </w:rPr>
        <w:t>、阻燃、干燥、热处理、尺寸稳定化、增强、染色等。</w:t>
      </w:r>
    </w:p>
    <w:p w14:paraId="158533E9">
      <w:pPr>
        <w:autoSpaceDE/>
        <w:autoSpaceDN/>
        <w:rPr>
          <w:rFonts w:hint="default" w:ascii="Times New Roman" w:hAnsi="Times New Roman" w:cs="Times New Roman"/>
        </w:rPr>
      </w:pPr>
      <w:r>
        <w:rPr>
          <w:rFonts w:hint="eastAsia" w:ascii="Times New Roman" w:hAnsi="Times New Roman" w:cs="Times New Roman"/>
          <w:lang w:val="en-US" w:eastAsia="zh-CN"/>
        </w:rPr>
        <w:t>[</w:t>
      </w:r>
      <w:r>
        <w:rPr>
          <w:rFonts w:hint="default" w:ascii="Times New Roman" w:hAnsi="Times New Roman" w:cs="Times New Roman"/>
        </w:rPr>
        <w:t>来源：GB/T 29563-2013 3.1]</w:t>
      </w:r>
    </w:p>
    <w:p w14:paraId="0E8F680B">
      <w:pPr>
        <w:autoSpaceDE/>
        <w:autoSpaceDN/>
        <w:rPr>
          <w:rFonts w:hint="default" w:ascii="Times New Roman" w:hAnsi="Times New Roman" w:cs="Times New Roman"/>
        </w:rPr>
      </w:pPr>
    </w:p>
    <w:p w14:paraId="56026873">
      <w:pPr>
        <w:pStyle w:val="42"/>
        <w:rPr>
          <w:rFonts w:hint="default" w:ascii="Times New Roman" w:hAnsi="Times New Roman" w:cs="Times New Roman"/>
        </w:rPr>
      </w:pPr>
      <w:r>
        <w:rPr>
          <w:rFonts w:hint="default" w:ascii="Times New Roman" w:hAnsi="Times New Roman" w:cs="Times New Roman"/>
        </w:rPr>
        <w:t>木材保护产品 treated/modified wood products</w:t>
      </w:r>
    </w:p>
    <w:p w14:paraId="3053E134">
      <w:pPr>
        <w:autoSpaceDE/>
        <w:autoSpaceDN/>
        <w:rPr>
          <w:rFonts w:hint="default" w:ascii="Times New Roman" w:hAnsi="Times New Roman" w:cs="Times New Roman"/>
        </w:rPr>
      </w:pPr>
      <w:r>
        <w:rPr>
          <w:rFonts w:hint="default" w:ascii="Times New Roman" w:hAnsi="Times New Roman" w:cs="Times New Roman"/>
        </w:rPr>
        <w:t>经过木材保护处理的木材及其制品。</w:t>
      </w:r>
    </w:p>
    <w:p w14:paraId="687866EF">
      <w:pPr>
        <w:autoSpaceDE/>
        <w:autoSpaceDN/>
        <w:rPr>
          <w:rFonts w:hint="default" w:ascii="Times New Roman" w:hAnsi="Times New Roman" w:cs="Times New Roman"/>
        </w:rPr>
      </w:pPr>
      <w:r>
        <w:rPr>
          <w:rFonts w:hint="default" w:ascii="Times New Roman" w:hAnsi="Times New Roman" w:cs="Times New Roman"/>
        </w:rPr>
        <w:t>[来源：GB/T 29563-2013 3.6]</w:t>
      </w:r>
    </w:p>
    <w:p w14:paraId="689CE9BC">
      <w:pPr>
        <w:autoSpaceDE/>
        <w:autoSpaceDN/>
        <w:ind w:firstLine="0" w:firstLineChars="0"/>
        <w:rPr>
          <w:rFonts w:hint="default" w:ascii="Times New Roman" w:hAnsi="Times New Roman" w:cs="Times New Roman"/>
        </w:rPr>
      </w:pPr>
    </w:p>
    <w:p w14:paraId="62996970">
      <w:pPr>
        <w:pStyle w:val="42"/>
        <w:rPr>
          <w:rFonts w:hint="default" w:ascii="Times New Roman" w:hAnsi="Times New Roman" w:cs="Times New Roman"/>
        </w:rPr>
      </w:pPr>
      <w:r>
        <w:rPr>
          <w:rFonts w:hint="default" w:ascii="Times New Roman" w:hAnsi="Times New Roman" w:cs="Times New Roman"/>
        </w:rPr>
        <w:t>木材保护实验室 wood protection laboratory</w:t>
      </w:r>
    </w:p>
    <w:p w14:paraId="44401E07">
      <w:pPr>
        <w:autoSpaceDE/>
        <w:autoSpaceDN/>
        <w:rPr>
          <w:rFonts w:hint="default" w:ascii="Times New Roman" w:hAnsi="Times New Roman" w:cs="Times New Roman" w:eastAsiaTheme="minorEastAsia"/>
          <w:highlight w:val="yellow"/>
          <w:lang w:val="en-US" w:eastAsia="zh-CN"/>
        </w:rPr>
      </w:pPr>
      <w:r>
        <w:rPr>
          <w:rFonts w:hint="default" w:ascii="Times New Roman" w:hAnsi="Times New Roman" w:cs="Times New Roman"/>
        </w:rPr>
        <w:t>承担木材保护产品的</w:t>
      </w:r>
      <w:r>
        <w:rPr>
          <w:rFonts w:hint="default" w:ascii="Times New Roman" w:hAnsi="Times New Roman" w:cs="Times New Roman"/>
          <w:color w:val="auto"/>
        </w:rPr>
        <w:t>研究与开发、性能测试与评估、质量检测与认证等任务的实验室</w:t>
      </w:r>
      <w:r>
        <w:rPr>
          <w:rFonts w:hint="default" w:ascii="Times New Roman" w:hAnsi="Times New Roman" w:cs="Times New Roman"/>
          <w:color w:val="auto"/>
          <w:lang w:eastAsia="zh-CN"/>
        </w:rPr>
        <w:t>，</w:t>
      </w:r>
      <w:r>
        <w:rPr>
          <w:rFonts w:hint="default" w:ascii="Times New Roman" w:hAnsi="Times New Roman" w:cs="Times New Roman"/>
          <w:color w:val="auto"/>
        </w:rPr>
        <w:t>该实验室或其所在组织是能够承担法律责任的实体。</w:t>
      </w:r>
    </w:p>
    <w:p w14:paraId="367C034E">
      <w:pPr>
        <w:pStyle w:val="46"/>
        <w:numPr>
          <w:ilvl w:val="0"/>
          <w:numId w:val="1"/>
        </w:numPr>
        <w:tabs>
          <w:tab w:val="clear" w:pos="0"/>
        </w:tabs>
        <w:spacing w:before="312" w:after="312"/>
      </w:pPr>
      <w:r>
        <w:rPr>
          <w:rFonts w:hint="eastAsia"/>
        </w:rPr>
        <w:t>组织和管理</w:t>
      </w:r>
    </w:p>
    <w:p w14:paraId="2AFD62E9">
      <w:pPr>
        <w:pStyle w:val="42"/>
        <w:rPr>
          <w:rFonts w:hint="default" w:ascii="Times New Roman" w:hAnsi="Times New Roman" w:cs="Times New Roman" w:eastAsiaTheme="minorEastAsia"/>
        </w:rPr>
      </w:pPr>
      <w:r>
        <w:rPr>
          <w:rFonts w:hint="default" w:ascii="Times New Roman" w:hAnsi="Times New Roman" w:cs="Times New Roman" w:eastAsiaTheme="minorEastAsia"/>
        </w:rPr>
        <w:t>木材保护实验室应符合</w:t>
      </w:r>
      <w:r>
        <w:rPr>
          <w:rFonts w:hint="default" w:ascii="Times New Roman" w:hAnsi="Times New Roman" w:cs="Times New Roman" w:eastAsiaTheme="minorEastAsia"/>
          <w:color w:val="auto"/>
        </w:rPr>
        <w:t>检验检测机构资质认定评审准则中第八条</w:t>
      </w:r>
      <w:r>
        <w:rPr>
          <w:rFonts w:hint="default" w:ascii="Times New Roman" w:hAnsi="Times New Roman" w:cs="Times New Roman" w:eastAsiaTheme="minorEastAsia"/>
          <w:color w:val="auto"/>
          <w:lang w:val="en-US" w:eastAsia="zh-CN"/>
        </w:rPr>
        <w:t>和（</w:t>
      </w:r>
      <w:r>
        <w:rPr>
          <w:rFonts w:hint="default" w:ascii="Times New Roman" w:hAnsi="Times New Roman" w:cs="Times New Roman" w:eastAsiaTheme="minorEastAsia"/>
          <w:color w:val="auto"/>
        </w:rPr>
        <w:t>或</w:t>
      </w:r>
      <w:r>
        <w:rPr>
          <w:rFonts w:hint="default" w:ascii="Times New Roman" w:hAnsi="Times New Roman" w:cs="Times New Roman" w:eastAsiaTheme="minorEastAsia"/>
          <w:color w:val="auto"/>
          <w:lang w:eastAsia="zh-CN"/>
        </w:rPr>
        <w:t>）</w:t>
      </w:r>
      <w:r>
        <w:rPr>
          <w:rFonts w:hint="default" w:ascii="Times New Roman" w:hAnsi="Times New Roman" w:cs="Times New Roman" w:eastAsiaTheme="minorEastAsia"/>
        </w:rPr>
        <w:t>GB/T 27025中第4、5章要求。</w:t>
      </w:r>
    </w:p>
    <w:p w14:paraId="3D4840B8">
      <w:pPr>
        <w:pStyle w:val="42"/>
        <w:rPr>
          <w:rFonts w:hint="default" w:ascii="Times New Roman" w:hAnsi="Times New Roman" w:cs="Times New Roman" w:eastAsiaTheme="minorEastAsia"/>
        </w:rPr>
      </w:pPr>
      <w:r>
        <w:rPr>
          <w:rFonts w:hint="default" w:ascii="Times New Roman" w:hAnsi="Times New Roman" w:cs="Times New Roman" w:eastAsiaTheme="minorEastAsia"/>
        </w:rPr>
        <w:t>实验室内部应建立适宜的沟通机制，保证管理体系的有效运行。</w:t>
      </w:r>
    </w:p>
    <w:p w14:paraId="47D79E5E">
      <w:pPr>
        <w:pStyle w:val="46"/>
        <w:numPr>
          <w:ilvl w:val="0"/>
          <w:numId w:val="1"/>
        </w:numPr>
        <w:tabs>
          <w:tab w:val="clear" w:pos="0"/>
        </w:tabs>
        <w:spacing w:before="312" w:after="312"/>
        <w:rPr>
          <w:rFonts w:hint="default" w:ascii="Times New Roman" w:hAnsi="Times New Roman" w:cs="Times New Roman"/>
        </w:rPr>
      </w:pPr>
      <w:r>
        <w:rPr>
          <w:rFonts w:hint="default" w:ascii="Times New Roman" w:hAnsi="Times New Roman" w:cs="Times New Roman"/>
        </w:rPr>
        <w:t>人员</w:t>
      </w:r>
    </w:p>
    <w:p w14:paraId="6A927986">
      <w:pPr>
        <w:pStyle w:val="42"/>
        <w:rPr>
          <w:rFonts w:hint="default" w:ascii="Times New Roman" w:hAnsi="Times New Roman" w:cs="Times New Roman" w:eastAsiaTheme="minorEastAsia"/>
        </w:rPr>
      </w:pPr>
      <w:r>
        <w:rPr>
          <w:rFonts w:hint="default" w:ascii="Times New Roman" w:hAnsi="Times New Roman" w:cs="Times New Roman" w:eastAsiaTheme="minorEastAsia"/>
        </w:rPr>
        <w:t>实验室具备与其所开展的工作相适应的管理人员和技术人员，确保聘用人员能够胜任承担的工作，且其工作受到监督，并按照实验室管理体系要求开展工作。</w:t>
      </w:r>
    </w:p>
    <w:p w14:paraId="730811C0">
      <w:pPr>
        <w:pStyle w:val="42"/>
        <w:rPr>
          <w:rFonts w:hint="default" w:ascii="Times New Roman" w:hAnsi="Times New Roman" w:cs="Times New Roman"/>
        </w:rPr>
      </w:pPr>
      <w:r>
        <w:rPr>
          <w:rFonts w:hint="default" w:ascii="Times New Roman" w:hAnsi="Times New Roman" w:cs="Times New Roman" w:eastAsiaTheme="minorEastAsia"/>
        </w:rPr>
        <w:t>实验室人员应签署保密协议和</w:t>
      </w:r>
      <w:r>
        <w:rPr>
          <w:rFonts w:hint="default" w:ascii="Times New Roman" w:hAnsi="Times New Roman" w:cs="Times New Roman" w:eastAsiaTheme="minorEastAsia"/>
          <w:lang w:val="en-US" w:eastAsia="zh-CN"/>
        </w:rPr>
        <w:t>执业</w:t>
      </w:r>
      <w:r>
        <w:rPr>
          <w:rFonts w:hint="default" w:ascii="Times New Roman" w:hAnsi="Times New Roman" w:cs="Times New Roman" w:eastAsiaTheme="minorEastAsia"/>
        </w:rPr>
        <w:t>承诺书。</w:t>
      </w:r>
    </w:p>
    <w:p w14:paraId="3D8494C7">
      <w:pPr>
        <w:pStyle w:val="42"/>
        <w:rPr>
          <w:rFonts w:hint="default" w:ascii="Times New Roman" w:hAnsi="Times New Roman" w:cs="Times New Roman"/>
        </w:rPr>
      </w:pPr>
      <w:r>
        <w:rPr>
          <w:rFonts w:hint="default" w:ascii="Times New Roman" w:hAnsi="Times New Roman" w:cs="Times New Roman" w:eastAsiaTheme="minorEastAsia"/>
        </w:rPr>
        <w:t>实验室人员上岗前应接受培训，经考核合格后方可上岗。</w:t>
      </w:r>
    </w:p>
    <w:p w14:paraId="420D0FE0">
      <w:pPr>
        <w:pStyle w:val="42"/>
        <w:rPr>
          <w:rFonts w:hint="default" w:ascii="Times New Roman" w:hAnsi="Times New Roman" w:cs="Times New Roman"/>
        </w:rPr>
      </w:pPr>
      <w:r>
        <w:rPr>
          <w:rFonts w:hint="default" w:ascii="Times New Roman" w:hAnsi="Times New Roman" w:cs="Times New Roman" w:eastAsiaTheme="minorEastAsia"/>
          <w:lang w:val="en-US" w:eastAsia="zh-CN"/>
        </w:rPr>
        <w:t>实验室应对关键岗位人员定期进行授权和任命。</w:t>
      </w:r>
    </w:p>
    <w:p w14:paraId="40841CA2">
      <w:pPr>
        <w:pStyle w:val="42"/>
        <w:rPr>
          <w:rFonts w:hint="default" w:ascii="Times New Roman" w:hAnsi="Times New Roman" w:cs="Times New Roman"/>
        </w:rPr>
      </w:pPr>
      <w:r>
        <w:rPr>
          <w:rFonts w:hint="default" w:ascii="Times New Roman" w:hAnsi="Times New Roman" w:cs="Times New Roman" w:eastAsiaTheme="minorEastAsia"/>
          <w:lang w:val="en-US" w:eastAsia="zh-CN"/>
        </w:rPr>
        <w:t>根据工作实际</w:t>
      </w:r>
      <w:r>
        <w:rPr>
          <w:rFonts w:hint="default" w:ascii="Times New Roman" w:hAnsi="Times New Roman" w:cs="Times New Roman" w:eastAsiaTheme="minorEastAsia"/>
        </w:rPr>
        <w:t>，</w:t>
      </w:r>
      <w:r>
        <w:rPr>
          <w:rFonts w:hint="default" w:ascii="Times New Roman" w:hAnsi="Times New Roman" w:cs="Times New Roman" w:eastAsiaTheme="minorEastAsia"/>
          <w:lang w:val="en-US" w:eastAsia="zh-CN"/>
        </w:rPr>
        <w:t>实验室</w:t>
      </w:r>
      <w:r>
        <w:rPr>
          <w:rFonts w:hint="default" w:ascii="Times New Roman" w:hAnsi="Times New Roman" w:cs="Times New Roman" w:eastAsiaTheme="minorEastAsia"/>
        </w:rPr>
        <w:t>每年</w:t>
      </w:r>
      <w:r>
        <w:rPr>
          <w:rFonts w:hint="default" w:ascii="Times New Roman" w:hAnsi="Times New Roman" w:cs="Times New Roman" w:eastAsiaTheme="minorEastAsia"/>
          <w:lang w:val="en-US" w:eastAsia="zh-CN"/>
        </w:rPr>
        <w:t>制定</w:t>
      </w:r>
      <w:r>
        <w:rPr>
          <w:rFonts w:hint="default" w:ascii="Times New Roman" w:hAnsi="Times New Roman" w:cs="Times New Roman" w:eastAsiaTheme="minorEastAsia"/>
        </w:rPr>
        <w:t>人员的教育、培训和技能目标，并组织实施。</w:t>
      </w:r>
    </w:p>
    <w:p w14:paraId="720A2D8C">
      <w:pPr>
        <w:pStyle w:val="42"/>
        <w:rPr>
          <w:rFonts w:hint="default" w:ascii="Times New Roman" w:hAnsi="Times New Roman" w:cs="Times New Roman"/>
        </w:rPr>
      </w:pPr>
      <w:r>
        <w:rPr>
          <w:rFonts w:hint="default" w:ascii="Times New Roman" w:hAnsi="Times New Roman" w:cs="Times New Roman" w:eastAsiaTheme="minorEastAsia"/>
        </w:rPr>
        <w:t>实验室</w:t>
      </w:r>
      <w:r>
        <w:rPr>
          <w:rFonts w:hint="default" w:ascii="Times New Roman" w:hAnsi="Times New Roman" w:cs="Times New Roman" w:eastAsiaTheme="minorEastAsia"/>
          <w:lang w:val="en-US" w:eastAsia="zh-CN"/>
        </w:rPr>
        <w:t>应</w:t>
      </w:r>
      <w:r>
        <w:rPr>
          <w:rFonts w:hint="default" w:ascii="Times New Roman" w:hAnsi="Times New Roman" w:cs="Times New Roman" w:eastAsiaTheme="minorEastAsia"/>
        </w:rPr>
        <w:t>对已经授权的人员开展持续能力定期监控，并</w:t>
      </w:r>
      <w:r>
        <w:rPr>
          <w:rFonts w:hint="default" w:ascii="Times New Roman" w:hAnsi="Times New Roman" w:cs="Times New Roman" w:eastAsiaTheme="minorEastAsia"/>
          <w:lang w:val="en-US" w:eastAsia="zh-CN"/>
        </w:rPr>
        <w:t>保留相关记录</w:t>
      </w:r>
      <w:r>
        <w:rPr>
          <w:rFonts w:hint="default" w:ascii="Times New Roman" w:hAnsi="Times New Roman" w:cs="Times New Roman" w:eastAsiaTheme="minorEastAsia"/>
          <w:lang w:eastAsia="zh-CN"/>
        </w:rPr>
        <w:t>。</w:t>
      </w:r>
    </w:p>
    <w:p w14:paraId="199C6C89">
      <w:pPr>
        <w:pStyle w:val="46"/>
        <w:numPr>
          <w:ilvl w:val="0"/>
          <w:numId w:val="1"/>
        </w:numPr>
        <w:tabs>
          <w:tab w:val="clear" w:pos="0"/>
        </w:tabs>
        <w:spacing w:before="312" w:after="312"/>
        <w:rPr>
          <w:rFonts w:hint="default" w:ascii="Times New Roman" w:hAnsi="Times New Roman" w:cs="Times New Roman"/>
        </w:rPr>
      </w:pPr>
      <w:r>
        <w:rPr>
          <w:rFonts w:hint="default" w:ascii="Times New Roman" w:hAnsi="Times New Roman" w:cs="Times New Roman"/>
        </w:rPr>
        <w:t>设施和设备</w:t>
      </w:r>
    </w:p>
    <w:p w14:paraId="2C113243">
      <w:pPr>
        <w:pStyle w:val="42"/>
        <w:rPr>
          <w:rFonts w:hint="default" w:ascii="Times New Roman" w:hAnsi="Times New Roman" w:cs="Times New Roman" w:eastAsiaTheme="minorEastAsia"/>
        </w:rPr>
      </w:pPr>
      <w:r>
        <w:rPr>
          <w:rFonts w:hint="default" w:ascii="Times New Roman" w:hAnsi="Times New Roman" w:cs="Times New Roman" w:eastAsiaTheme="minorEastAsia"/>
          <w:lang w:val="en-US" w:eastAsia="zh-CN"/>
        </w:rPr>
        <w:t>实验室具</w:t>
      </w:r>
      <w:r>
        <w:rPr>
          <w:rFonts w:hint="default" w:ascii="Times New Roman" w:hAnsi="Times New Roman" w:cs="Times New Roman" w:eastAsiaTheme="minorEastAsia"/>
        </w:rPr>
        <w:t>有充足的场地</w:t>
      </w:r>
      <w:r>
        <w:rPr>
          <w:rFonts w:hint="default" w:ascii="Times New Roman" w:hAnsi="Times New Roman" w:cs="Times New Roman" w:eastAsiaTheme="minorEastAsia"/>
          <w:lang w:val="en-US" w:eastAsia="zh-CN"/>
        </w:rPr>
        <w:t>和规范的设施</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lang w:val="en-US" w:eastAsia="zh-CN"/>
        </w:rPr>
        <w:t>并配备正确开展实验室活动所需的设备</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lang w:val="en-US" w:eastAsia="zh-CN"/>
        </w:rPr>
        <w:t>涉及木腐菌、霉菌、虫蚁等木材侵蚀试验的实验室</w:t>
      </w:r>
      <w:r>
        <w:rPr>
          <w:rFonts w:hint="default" w:ascii="Times New Roman" w:hAnsi="Times New Roman" w:cs="Times New Roman" w:eastAsiaTheme="minorEastAsia"/>
        </w:rPr>
        <w:t>，</w:t>
      </w:r>
      <w:r>
        <w:rPr>
          <w:rFonts w:hint="default" w:ascii="Times New Roman" w:hAnsi="Times New Roman" w:cs="Times New Roman" w:eastAsiaTheme="minorEastAsia"/>
          <w:lang w:val="en-US" w:eastAsia="zh-CN"/>
        </w:rPr>
        <w:t>可采取物理隔离、负压、设置双重门和缓冲间等</w:t>
      </w:r>
      <w:r>
        <w:rPr>
          <w:rFonts w:hint="default" w:ascii="Times New Roman" w:hAnsi="Times New Roman" w:cs="Times New Roman" w:eastAsiaTheme="minorEastAsia"/>
        </w:rPr>
        <w:t>有效隔离</w:t>
      </w:r>
      <w:r>
        <w:rPr>
          <w:rFonts w:hint="default" w:ascii="Times New Roman" w:hAnsi="Times New Roman" w:cs="Times New Roman" w:eastAsiaTheme="minorEastAsia"/>
          <w:lang w:val="en-US" w:eastAsia="zh-CN"/>
        </w:rPr>
        <w:t>措施，防止交叉污染</w:t>
      </w:r>
      <w:r>
        <w:rPr>
          <w:rFonts w:hint="default" w:ascii="Times New Roman" w:hAnsi="Times New Roman" w:cs="Times New Roman" w:eastAsiaTheme="minorEastAsia"/>
        </w:rPr>
        <w:t>。</w:t>
      </w:r>
      <w:r>
        <w:rPr>
          <w:rFonts w:hint="default" w:ascii="Times New Roman" w:hAnsi="Times New Roman" w:cs="Times New Roman" w:eastAsiaTheme="minorEastAsia"/>
          <w:lang w:val="en-US" w:eastAsia="zh-CN"/>
        </w:rPr>
        <w:t>相互干扰的设备、办公区和试验区也应进行分区。</w:t>
      </w:r>
    </w:p>
    <w:p w14:paraId="501B8745">
      <w:pPr>
        <w:pStyle w:val="42"/>
        <w:rPr>
          <w:rFonts w:hint="default" w:ascii="Times New Roman" w:hAnsi="Times New Roman" w:cs="Times New Roman" w:eastAsiaTheme="minorEastAsia"/>
        </w:rPr>
      </w:pPr>
      <w:r>
        <w:rPr>
          <w:rFonts w:hint="default" w:ascii="Times New Roman" w:hAnsi="Times New Roman" w:cs="Times New Roman" w:eastAsiaTheme="minorEastAsia"/>
        </w:rPr>
        <w:t>根据</w:t>
      </w:r>
      <w:r>
        <w:rPr>
          <w:rFonts w:hint="default" w:ascii="Times New Roman" w:hAnsi="Times New Roman" w:cs="Times New Roman" w:eastAsiaTheme="minorEastAsia"/>
          <w:lang w:val="en-US" w:eastAsia="zh-CN"/>
        </w:rPr>
        <w:t>规范、方法等</w:t>
      </w:r>
      <w:r>
        <w:rPr>
          <w:rFonts w:hint="default" w:ascii="Times New Roman" w:hAnsi="Times New Roman" w:cs="Times New Roman" w:eastAsiaTheme="minorEastAsia"/>
        </w:rPr>
        <w:t>对设施与环境条件的技术要求，</w:t>
      </w:r>
      <w:r>
        <w:rPr>
          <w:rFonts w:hint="default" w:ascii="Times New Roman" w:hAnsi="Times New Roman" w:cs="Times New Roman" w:eastAsiaTheme="minorEastAsia"/>
          <w:lang w:val="en-US" w:eastAsia="zh-CN"/>
        </w:rPr>
        <w:t>实验室</w:t>
      </w:r>
      <w:r>
        <w:rPr>
          <w:rFonts w:hint="default" w:ascii="Times New Roman" w:hAnsi="Times New Roman" w:cs="Times New Roman" w:eastAsiaTheme="minorEastAsia"/>
        </w:rPr>
        <w:t>应采取相应的控制措施，</w:t>
      </w:r>
      <w:r>
        <w:rPr>
          <w:rFonts w:hint="default" w:ascii="Times New Roman" w:hAnsi="Times New Roman" w:cs="Times New Roman" w:eastAsiaTheme="minorEastAsia"/>
          <w:lang w:val="en-US" w:eastAsia="zh-CN"/>
        </w:rPr>
        <w:t>进行监控和记录</w:t>
      </w:r>
      <w:r>
        <w:rPr>
          <w:rFonts w:hint="default" w:ascii="Times New Roman" w:hAnsi="Times New Roman" w:cs="Times New Roman" w:eastAsiaTheme="minorEastAsia"/>
        </w:rPr>
        <w:t>。</w:t>
      </w:r>
    </w:p>
    <w:p w14:paraId="2E6EDBDA">
      <w:pPr>
        <w:pStyle w:val="42"/>
        <w:rPr>
          <w:rFonts w:hint="default" w:ascii="Times New Roman" w:hAnsi="Times New Roman" w:cs="Times New Roman" w:eastAsiaTheme="minorEastAsia"/>
        </w:rPr>
      </w:pPr>
      <w:r>
        <w:rPr>
          <w:rFonts w:hint="default" w:ascii="Times New Roman" w:hAnsi="Times New Roman" w:cs="Times New Roman" w:eastAsiaTheme="minorEastAsia"/>
        </w:rPr>
        <w:t>实验室应配备相应的安全防护装备及设施，如个人防护装备、烟雾报警器、毒气报警器、洗眼及紧急喷淋装置、灭火器、急救箱等，并定期检查其功能的有效性。</w:t>
      </w:r>
    </w:p>
    <w:p w14:paraId="6E6A0393">
      <w:pPr>
        <w:pStyle w:val="42"/>
        <w:rPr>
          <w:rFonts w:hint="default" w:ascii="Times New Roman" w:hAnsi="Times New Roman" w:cs="Times New Roman" w:eastAsiaTheme="minorEastAsia"/>
        </w:rPr>
      </w:pPr>
      <w:r>
        <w:rPr>
          <w:rFonts w:hint="default" w:ascii="Times New Roman" w:hAnsi="Times New Roman" w:cs="Times New Roman" w:eastAsiaTheme="minorEastAsia"/>
          <w:lang w:val="en-US" w:eastAsia="zh-CN"/>
        </w:rPr>
        <w:t>实验室应有处理、运输、储存、使用和按计划维护设备的程序，建立设备档案，并安排专人负责管理。</w:t>
      </w:r>
    </w:p>
    <w:p w14:paraId="50A74589">
      <w:pPr>
        <w:pStyle w:val="42"/>
        <w:rPr>
          <w:rFonts w:hint="default" w:ascii="Times New Roman" w:hAnsi="Times New Roman" w:cs="Times New Roman" w:eastAsiaTheme="minorEastAsia"/>
        </w:rPr>
      </w:pPr>
      <w:r>
        <w:rPr>
          <w:rFonts w:hint="default" w:ascii="Times New Roman" w:hAnsi="Times New Roman" w:cs="Times New Roman" w:eastAsiaTheme="minorEastAsia"/>
          <w:lang w:val="en-US" w:eastAsia="zh-CN"/>
        </w:rPr>
        <w:t>实验室应制定设备校准方案，并进行复核和必要的调整。需要时，进行设备期间核查。</w:t>
      </w:r>
    </w:p>
    <w:p w14:paraId="04D1D172">
      <w:pPr>
        <w:pStyle w:val="46"/>
        <w:numPr>
          <w:ilvl w:val="0"/>
          <w:numId w:val="1"/>
        </w:numPr>
        <w:tabs>
          <w:tab w:val="clear" w:pos="0"/>
        </w:tabs>
        <w:spacing w:before="312" w:after="312"/>
        <w:rPr>
          <w:rFonts w:hint="default" w:ascii="Times New Roman" w:hAnsi="Times New Roman" w:cs="Times New Roman"/>
        </w:rPr>
      </w:pPr>
      <w:r>
        <w:rPr>
          <w:rFonts w:hint="default" w:ascii="Times New Roman" w:hAnsi="Times New Roman" w:cs="Times New Roman"/>
          <w:lang w:val="en-US" w:eastAsia="zh-CN"/>
        </w:rPr>
        <w:t>安全和环保</w:t>
      </w:r>
    </w:p>
    <w:p w14:paraId="758FA78A">
      <w:pPr>
        <w:pStyle w:val="42"/>
        <w:rPr>
          <w:rFonts w:hint="default" w:ascii="Times New Roman" w:hAnsi="Times New Roman" w:cs="Times New Roman" w:eastAsiaTheme="minorEastAsia"/>
        </w:rPr>
      </w:pPr>
      <w:r>
        <w:rPr>
          <w:rFonts w:hint="default" w:ascii="Times New Roman" w:hAnsi="Times New Roman" w:cs="Times New Roman" w:eastAsiaTheme="minorEastAsia"/>
          <w:lang w:val="en-US" w:eastAsia="zh-CN"/>
        </w:rPr>
        <w:t>实验室</w:t>
      </w:r>
      <w:r>
        <w:rPr>
          <w:rFonts w:hint="default" w:ascii="Times New Roman" w:hAnsi="Times New Roman" w:cs="Times New Roman" w:eastAsiaTheme="minorEastAsia"/>
        </w:rPr>
        <w:t>应</w:t>
      </w:r>
      <w:r>
        <w:rPr>
          <w:rFonts w:hint="default" w:ascii="Times New Roman" w:hAnsi="Times New Roman" w:cs="Times New Roman" w:eastAsiaTheme="minorEastAsia"/>
          <w:lang w:val="en-US" w:eastAsia="zh-CN"/>
        </w:rPr>
        <w:t>建立</w:t>
      </w:r>
      <w:r>
        <w:rPr>
          <w:rFonts w:hint="default" w:ascii="Times New Roman" w:hAnsi="Times New Roman" w:cs="Times New Roman" w:eastAsiaTheme="minorEastAsia"/>
        </w:rPr>
        <w:t>安全</w:t>
      </w:r>
      <w:r>
        <w:rPr>
          <w:rFonts w:hint="default" w:ascii="Times New Roman" w:hAnsi="Times New Roman" w:cs="Times New Roman" w:eastAsiaTheme="minorEastAsia"/>
          <w:lang w:val="en-US" w:eastAsia="zh-CN"/>
        </w:rPr>
        <w:t>管理</w:t>
      </w:r>
      <w:r>
        <w:rPr>
          <w:rFonts w:hint="default" w:ascii="Times New Roman" w:hAnsi="Times New Roman" w:cs="Times New Roman" w:eastAsiaTheme="minorEastAsia"/>
        </w:rPr>
        <w:t>制度，明确责任人，确保电源、水源、气源、通风、排气以及安全设施等有利于实验室活动的正常进行。定期对实验室安全进行全面检查，发现隐患及时采取措施。</w:t>
      </w:r>
    </w:p>
    <w:p w14:paraId="3BE49256">
      <w:pPr>
        <w:pStyle w:val="42"/>
        <w:rPr>
          <w:rFonts w:hint="default" w:ascii="Times New Roman" w:hAnsi="Times New Roman" w:cs="Times New Roman" w:eastAsiaTheme="minorEastAsia"/>
        </w:rPr>
      </w:pPr>
      <w:r>
        <w:rPr>
          <w:rFonts w:hint="default" w:ascii="Times New Roman" w:hAnsi="Times New Roman" w:cs="Times New Roman" w:eastAsiaTheme="minorEastAsia"/>
        </w:rPr>
        <w:t>化学品</w:t>
      </w:r>
      <w:r>
        <w:rPr>
          <w:rFonts w:hint="default" w:ascii="Times New Roman" w:hAnsi="Times New Roman" w:cs="Times New Roman" w:eastAsiaTheme="minorEastAsia"/>
          <w:lang w:val="en-US" w:eastAsia="zh-CN"/>
        </w:rPr>
        <w:t>应</w:t>
      </w:r>
      <w:r>
        <w:rPr>
          <w:rFonts w:hint="default" w:ascii="Times New Roman" w:hAnsi="Times New Roman" w:cs="Times New Roman" w:eastAsiaTheme="minorEastAsia"/>
        </w:rPr>
        <w:t>分类分区存放</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lang w:val="en-US" w:eastAsia="zh-CN"/>
        </w:rPr>
        <w:t>并予明确标识</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rPr>
        <w:t>易燃易爆品存放于易燃品安全柜</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rPr>
        <w:t>强酸强碱分置于耐腐蚀的通风试剂柜</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lang w:val="en-US" w:eastAsia="zh-CN"/>
        </w:rPr>
        <w:t>易制毒化学品由专人专柜保管</w:t>
      </w:r>
      <w:r>
        <w:rPr>
          <w:rFonts w:hint="default" w:ascii="Times New Roman" w:hAnsi="Times New Roman" w:cs="Times New Roman" w:eastAsiaTheme="minorEastAsia"/>
        </w:rPr>
        <w:t>。</w:t>
      </w:r>
    </w:p>
    <w:p w14:paraId="3907A402">
      <w:pPr>
        <w:pStyle w:val="42"/>
        <w:rPr>
          <w:rFonts w:hint="default" w:ascii="Times New Roman" w:hAnsi="Times New Roman" w:cs="Times New Roman" w:eastAsiaTheme="minorEastAsia"/>
        </w:rPr>
      </w:pPr>
      <w:r>
        <w:rPr>
          <w:rFonts w:hint="default" w:ascii="Times New Roman" w:hAnsi="Times New Roman" w:cs="Times New Roman" w:eastAsiaTheme="minorEastAsia"/>
          <w:lang w:val="en-US" w:eastAsia="zh-CN"/>
        </w:rPr>
        <w:t>防腐</w:t>
      </w:r>
      <w:r>
        <w:rPr>
          <w:rFonts w:hint="default" w:ascii="Times New Roman" w:hAnsi="Times New Roman" w:cs="Times New Roman" w:eastAsiaTheme="minorEastAsia"/>
        </w:rPr>
        <w:t>、防霉、防虫</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rPr>
        <w:t>蚁</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rPr>
        <w:t>实验</w:t>
      </w:r>
      <w:r>
        <w:rPr>
          <w:rFonts w:hint="default" w:ascii="Times New Roman" w:hAnsi="Times New Roman" w:cs="Times New Roman" w:eastAsiaTheme="minorEastAsia"/>
          <w:lang w:val="en-US" w:eastAsia="zh-CN"/>
        </w:rPr>
        <w:t>区域进行分区</w:t>
      </w:r>
      <w:r>
        <w:rPr>
          <w:rFonts w:hint="default" w:ascii="Times New Roman" w:hAnsi="Times New Roman" w:cs="Times New Roman" w:eastAsiaTheme="minorEastAsia"/>
        </w:rPr>
        <w:t>隔离。试验过程</w:t>
      </w:r>
      <w:r>
        <w:rPr>
          <w:rFonts w:hint="default" w:ascii="Times New Roman" w:hAnsi="Times New Roman" w:cs="Times New Roman" w:eastAsiaTheme="minorEastAsia"/>
          <w:lang w:val="en-US" w:eastAsia="zh-CN"/>
        </w:rPr>
        <w:t>中</w:t>
      </w:r>
      <w:r>
        <w:rPr>
          <w:rFonts w:hint="default" w:ascii="Times New Roman" w:hAnsi="Times New Roman" w:cs="Times New Roman" w:eastAsiaTheme="minorEastAsia"/>
        </w:rPr>
        <w:t>防止作为样本的生物菌虫在不可控制的状态下散失到实验室。配备高压蒸汽灭菌器，</w:t>
      </w:r>
      <w:r>
        <w:rPr>
          <w:rFonts w:hint="default" w:ascii="Times New Roman" w:hAnsi="Times New Roman" w:cs="Times New Roman" w:eastAsiaTheme="minorEastAsia"/>
          <w:lang w:val="en-US" w:eastAsia="zh-CN"/>
        </w:rPr>
        <w:t>对试</w:t>
      </w:r>
      <w:r>
        <w:rPr>
          <w:rFonts w:hint="default" w:ascii="Times New Roman" w:hAnsi="Times New Roman" w:cs="Times New Roman" w:eastAsiaTheme="minorEastAsia"/>
        </w:rPr>
        <w:t>验后的生物废弃物、培养基等</w:t>
      </w:r>
      <w:r>
        <w:rPr>
          <w:rFonts w:hint="default" w:ascii="Times New Roman" w:hAnsi="Times New Roman" w:cs="Times New Roman" w:eastAsiaTheme="minorEastAsia"/>
          <w:lang w:val="en-US" w:eastAsia="zh-CN"/>
        </w:rPr>
        <w:t>进行灭菌处理</w:t>
      </w:r>
      <w:r>
        <w:rPr>
          <w:rFonts w:hint="default" w:ascii="Times New Roman" w:hAnsi="Times New Roman" w:cs="Times New Roman" w:eastAsiaTheme="minorEastAsia"/>
        </w:rPr>
        <w:t>。</w:t>
      </w:r>
    </w:p>
    <w:p w14:paraId="4377555E">
      <w:pPr>
        <w:pStyle w:val="42"/>
        <w:rPr>
          <w:rFonts w:hint="default" w:ascii="Times New Roman" w:hAnsi="Times New Roman" w:cs="Times New Roman" w:eastAsiaTheme="minorEastAsia"/>
        </w:rPr>
      </w:pPr>
      <w:r>
        <w:rPr>
          <w:rFonts w:hint="default" w:ascii="Times New Roman" w:hAnsi="Times New Roman" w:cs="Times New Roman" w:eastAsiaTheme="minorEastAsia"/>
        </w:rPr>
        <w:t>木材加工设备（如</w:t>
      </w:r>
      <w:r>
        <w:rPr>
          <w:rFonts w:hint="default" w:ascii="Times New Roman" w:hAnsi="Times New Roman" w:cs="Times New Roman" w:eastAsiaTheme="minorEastAsia"/>
          <w:lang w:val="en-US" w:eastAsia="zh-CN"/>
        </w:rPr>
        <w:t>台</w:t>
      </w:r>
      <w:r>
        <w:rPr>
          <w:rFonts w:hint="default" w:ascii="Times New Roman" w:hAnsi="Times New Roman" w:cs="Times New Roman" w:eastAsiaTheme="minorEastAsia"/>
        </w:rPr>
        <w:t>锯、</w:t>
      </w:r>
      <w:r>
        <w:rPr>
          <w:rFonts w:hint="default" w:ascii="Times New Roman" w:hAnsi="Times New Roman" w:cs="Times New Roman" w:eastAsiaTheme="minorEastAsia"/>
          <w:lang w:val="en-US" w:eastAsia="zh-CN"/>
        </w:rPr>
        <w:t>粉碎机</w:t>
      </w:r>
      <w:r>
        <w:rPr>
          <w:rFonts w:hint="default" w:ascii="Times New Roman" w:hAnsi="Times New Roman" w:cs="Times New Roman" w:eastAsiaTheme="minorEastAsia"/>
        </w:rPr>
        <w:t>）</w:t>
      </w:r>
      <w:r>
        <w:rPr>
          <w:rFonts w:hint="default" w:ascii="Times New Roman" w:hAnsi="Times New Roman" w:cs="Times New Roman" w:eastAsiaTheme="minorEastAsia"/>
          <w:lang w:val="en-US" w:eastAsia="zh-CN"/>
        </w:rPr>
        <w:t>应配</w:t>
      </w:r>
      <w:r>
        <w:rPr>
          <w:rFonts w:hint="default" w:ascii="Times New Roman" w:hAnsi="Times New Roman" w:cs="Times New Roman" w:eastAsiaTheme="minorEastAsia"/>
        </w:rPr>
        <w:t>有防护罩</w:t>
      </w:r>
      <w:r>
        <w:rPr>
          <w:rFonts w:hint="default" w:ascii="Times New Roman" w:hAnsi="Times New Roman" w:cs="Times New Roman" w:eastAsiaTheme="minorEastAsia"/>
          <w:lang w:val="en-US" w:eastAsia="zh-CN"/>
        </w:rPr>
        <w:t>和</w:t>
      </w:r>
      <w:r>
        <w:rPr>
          <w:rFonts w:hint="default" w:ascii="Times New Roman" w:hAnsi="Times New Roman" w:cs="Times New Roman" w:eastAsiaTheme="minorEastAsia"/>
        </w:rPr>
        <w:t>急停按钮</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lang w:val="en-US" w:eastAsia="zh-CN"/>
        </w:rPr>
        <w:t>使用时，</w:t>
      </w:r>
      <w:r>
        <w:rPr>
          <w:rFonts w:hint="default" w:ascii="Times New Roman" w:hAnsi="Times New Roman" w:cs="Times New Roman" w:eastAsiaTheme="minorEastAsia"/>
        </w:rPr>
        <w:t>操作人员</w:t>
      </w:r>
      <w:r>
        <w:rPr>
          <w:rFonts w:hint="default" w:ascii="Times New Roman" w:hAnsi="Times New Roman" w:cs="Times New Roman" w:eastAsiaTheme="minorEastAsia"/>
          <w:lang w:val="en-US" w:eastAsia="zh-CN"/>
        </w:rPr>
        <w:t>须</w:t>
      </w:r>
      <w:r>
        <w:rPr>
          <w:rFonts w:hint="default" w:ascii="Times New Roman" w:hAnsi="Times New Roman" w:cs="Times New Roman" w:eastAsiaTheme="minorEastAsia"/>
        </w:rPr>
        <w:t>佩戴护目镜、防尘面具、防噪音耳罩。烘箱、热处理设备应远离易燃物，标明高温警示，防止烫伤。</w:t>
      </w:r>
    </w:p>
    <w:p w14:paraId="21A74BBC">
      <w:pPr>
        <w:pStyle w:val="42"/>
        <w:rPr>
          <w:rFonts w:hint="default" w:ascii="Times New Roman" w:hAnsi="Times New Roman" w:cs="Times New Roman" w:eastAsiaTheme="minorEastAsia"/>
        </w:rPr>
      </w:pPr>
      <w:r>
        <w:rPr>
          <w:rFonts w:hint="default" w:ascii="Times New Roman" w:hAnsi="Times New Roman" w:cs="Times New Roman" w:eastAsiaTheme="minorEastAsia"/>
          <w:lang w:val="en-US" w:eastAsia="zh-CN"/>
        </w:rPr>
        <w:t>实验室</w:t>
      </w:r>
      <w:r>
        <w:rPr>
          <w:rFonts w:hint="default" w:ascii="Times New Roman" w:hAnsi="Times New Roman" w:cs="Times New Roman" w:eastAsiaTheme="minorEastAsia"/>
        </w:rPr>
        <w:t>根据涉及的危险</w:t>
      </w:r>
      <w:r>
        <w:rPr>
          <w:rFonts w:hint="default" w:ascii="Times New Roman" w:hAnsi="Times New Roman" w:cs="Times New Roman" w:eastAsiaTheme="minorEastAsia"/>
          <w:lang w:val="en-US" w:eastAsia="zh-CN"/>
        </w:rPr>
        <w:t>源</w:t>
      </w:r>
      <w:r>
        <w:rPr>
          <w:rFonts w:hint="default" w:ascii="Times New Roman" w:hAnsi="Times New Roman" w:cs="Times New Roman" w:eastAsiaTheme="minorEastAsia"/>
        </w:rPr>
        <w:t>配备相应类型的灭火器（如二氧化碳、干粉灭火器），严禁用水扑灭油类或电气火灾</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rPr>
        <w:t>保持消防通道畅通。</w:t>
      </w:r>
    </w:p>
    <w:p w14:paraId="7C5FFC7E">
      <w:pPr>
        <w:pStyle w:val="42"/>
        <w:rPr>
          <w:rFonts w:hint="default" w:ascii="Times New Roman" w:hAnsi="Times New Roman" w:cs="Times New Roman" w:eastAsiaTheme="minorEastAsia"/>
        </w:rPr>
      </w:pPr>
      <w:r>
        <w:rPr>
          <w:rFonts w:hint="default" w:ascii="Times New Roman" w:hAnsi="Times New Roman" w:cs="Times New Roman" w:eastAsiaTheme="minorEastAsia"/>
          <w:lang w:val="en-US" w:eastAsia="zh-CN"/>
        </w:rPr>
        <w:t>实验室人员应定期接受实验室安全教育，掌握预防事故和处理事故的能力。</w:t>
      </w:r>
    </w:p>
    <w:p w14:paraId="3102AE76">
      <w:pPr>
        <w:pStyle w:val="42"/>
        <w:rPr>
          <w:rFonts w:hint="default" w:ascii="Times New Roman" w:hAnsi="Times New Roman" w:cs="Times New Roman" w:eastAsiaTheme="minorEastAsia"/>
        </w:rPr>
      </w:pPr>
      <w:r>
        <w:rPr>
          <w:rFonts w:hint="default" w:ascii="Times New Roman" w:hAnsi="Times New Roman" w:cs="Times New Roman" w:eastAsiaTheme="minorEastAsia"/>
          <w:lang w:val="en-US" w:eastAsia="zh-CN"/>
        </w:rPr>
        <w:t>实验室</w:t>
      </w:r>
      <w:r>
        <w:rPr>
          <w:rFonts w:hint="default" w:ascii="Times New Roman" w:hAnsi="Times New Roman" w:cs="Times New Roman" w:eastAsiaTheme="minorEastAsia"/>
        </w:rPr>
        <w:t>废气依赖局部通风（通风橱、万向抽气罩）和全面通风系统将实验过程中产生的有害气体、粉尘收集并处理后达标排放。对于高浓度废气，需要安装专门的吸附、吸收或焚烧处理装置。严禁将含有重金属（铜、铬、砷等）、有机溶剂的实验废水直接倒入下水道</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rPr>
        <w:t>应收集作为危险液体废物处理。</w:t>
      </w:r>
    </w:p>
    <w:p w14:paraId="4FA40AA2">
      <w:pPr>
        <w:pStyle w:val="42"/>
        <w:rPr>
          <w:rFonts w:hint="default" w:ascii="Times New Roman" w:hAnsi="Times New Roman" w:cs="Times New Roman"/>
        </w:rPr>
      </w:pPr>
      <w:r>
        <w:rPr>
          <w:rFonts w:hint="default" w:ascii="Times New Roman" w:hAnsi="Times New Roman" w:cs="Times New Roman" w:eastAsiaTheme="minorEastAsia"/>
        </w:rPr>
        <w:t>弃置的实验室微生物样本、培养物和被污染的废弃物</w:t>
      </w:r>
      <w:r>
        <w:rPr>
          <w:rFonts w:hint="default" w:ascii="Times New Roman" w:hAnsi="Times New Roman" w:cs="Times New Roman" w:eastAsiaTheme="minorEastAsia"/>
          <w:lang w:val="en-US" w:eastAsia="zh-CN"/>
        </w:rPr>
        <w:t>等</w:t>
      </w:r>
      <w:r>
        <w:rPr>
          <w:rFonts w:hint="default" w:ascii="Times New Roman" w:hAnsi="Times New Roman" w:cs="Times New Roman" w:eastAsiaTheme="minorEastAsia"/>
        </w:rPr>
        <w:t>应放置于有标记的密封</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rPr>
        <w:t>防漏容器内，定期运走已装满的容器</w:t>
      </w:r>
      <w:r>
        <w:rPr>
          <w:rFonts w:hint="default" w:ascii="Times New Roman" w:hAnsi="Times New Roman" w:cs="Times New Roman" w:eastAsiaTheme="minorEastAsia"/>
          <w:lang w:eastAsia="zh-CN"/>
        </w:rPr>
        <w:t>。所有危险废弃物在运离实验室前，须确保达到生物安全标准</w:t>
      </w:r>
      <w:r>
        <w:rPr>
          <w:rFonts w:hint="eastAsia" w:ascii="Times New Roman" w:hAnsi="Times New Roman" w:cs="Times New Roman" w:eastAsiaTheme="minorEastAsia"/>
          <w:lang w:eastAsia="zh-CN"/>
        </w:rPr>
        <w:t>。</w:t>
      </w:r>
      <w:r>
        <w:rPr>
          <w:rFonts w:hint="default" w:ascii="Times New Roman" w:hAnsi="Times New Roman" w:cs="Times New Roman" w:eastAsiaTheme="minorEastAsia"/>
        </w:rPr>
        <w:t>实验室有害废弃物应交专业处理单位处理，处理记录归档</w:t>
      </w:r>
      <w:r>
        <w:rPr>
          <w:rFonts w:hint="default" w:ascii="Times New Roman" w:hAnsi="Times New Roman" w:cs="Times New Roman" w:eastAsiaTheme="minorEastAsia"/>
          <w:lang w:eastAsia="zh-CN"/>
        </w:rPr>
        <w:t>。</w:t>
      </w:r>
    </w:p>
    <w:p w14:paraId="4FE2B5AF">
      <w:pPr>
        <w:pStyle w:val="46"/>
        <w:numPr>
          <w:ilvl w:val="0"/>
          <w:numId w:val="1"/>
        </w:numPr>
        <w:tabs>
          <w:tab w:val="clear" w:pos="0"/>
        </w:tabs>
        <w:spacing w:before="312" w:after="312"/>
        <w:rPr>
          <w:rFonts w:hint="default" w:ascii="Times New Roman" w:hAnsi="Times New Roman" w:cs="Times New Roman"/>
        </w:rPr>
      </w:pPr>
      <w:r>
        <w:rPr>
          <w:rFonts w:hint="default" w:ascii="Times New Roman" w:hAnsi="Times New Roman" w:cs="Times New Roman"/>
        </w:rPr>
        <w:t>管理体系</w:t>
      </w:r>
    </w:p>
    <w:p w14:paraId="56CDF94C">
      <w:pPr>
        <w:pStyle w:val="42"/>
        <w:rPr>
          <w:rFonts w:hint="eastAsia" w:asciiTheme="minorEastAsia" w:hAnsiTheme="minorEastAsia" w:eastAsiaTheme="minorEastAsia" w:cstheme="minorEastAsia"/>
          <w:lang w:val="en-US" w:eastAsia="zh-CN"/>
        </w:rPr>
      </w:pPr>
      <w:r>
        <w:rPr>
          <w:rFonts w:hint="eastAsia" w:ascii="Times New Roman" w:hAnsi="Times New Roman" w:cs="Times New Roman" w:eastAsiaTheme="minorEastAsia"/>
          <w:lang w:val="en-US" w:eastAsia="zh-CN"/>
        </w:rPr>
        <w:t>实验室</w:t>
      </w:r>
      <w:r>
        <w:rPr>
          <w:rFonts w:hint="default" w:ascii="Times New Roman" w:hAnsi="Times New Roman" w:cs="Times New Roman" w:eastAsiaTheme="minorEastAsia"/>
        </w:rPr>
        <w:t>应建立能确保</w:t>
      </w:r>
      <w:r>
        <w:rPr>
          <w:rFonts w:hint="default" w:ascii="Times New Roman" w:hAnsi="Times New Roman" w:cs="Times New Roman" w:eastAsiaTheme="minorEastAsia"/>
          <w:lang w:val="en-US" w:eastAsia="zh-CN"/>
        </w:rPr>
        <w:t>其</w:t>
      </w:r>
      <w:r>
        <w:rPr>
          <w:rFonts w:hint="default" w:ascii="Times New Roman" w:hAnsi="Times New Roman" w:cs="Times New Roman" w:eastAsiaTheme="minorEastAsia"/>
        </w:rPr>
        <w:t>独立、公正、科学、诚信并与所承担的</w:t>
      </w:r>
      <w:r>
        <w:rPr>
          <w:rFonts w:hint="default" w:ascii="Times New Roman" w:hAnsi="Times New Roman" w:cs="Times New Roman" w:eastAsiaTheme="minorEastAsia"/>
          <w:lang w:val="en-US" w:eastAsia="zh-CN"/>
        </w:rPr>
        <w:t>工作</w:t>
      </w:r>
      <w:r>
        <w:rPr>
          <w:rFonts w:hint="default" w:ascii="Times New Roman" w:hAnsi="Times New Roman" w:cs="Times New Roman" w:eastAsiaTheme="minorEastAsia"/>
        </w:rPr>
        <w:t>任务相适应的管理体系</w:t>
      </w:r>
      <w:r>
        <w:rPr>
          <w:rFonts w:hint="eastAsia" w:ascii="Times New Roman" w:hAnsi="Times New Roman" w:cs="Times New Roman" w:eastAsiaTheme="minorEastAsia"/>
          <w:lang w:eastAsia="zh-CN"/>
        </w:rPr>
        <w:t>，</w:t>
      </w:r>
      <w:r>
        <w:rPr>
          <w:rFonts w:hint="default" w:ascii="Times New Roman" w:hAnsi="Times New Roman" w:cs="Times New Roman" w:eastAsiaTheme="minorEastAsia"/>
          <w:lang w:val="en-US" w:eastAsia="zh-CN"/>
        </w:rPr>
        <w:t>管理体系各要素应</w:t>
      </w:r>
      <w:r>
        <w:rPr>
          <w:rFonts w:hint="default" w:ascii="Times New Roman" w:hAnsi="Times New Roman" w:cs="Times New Roman" w:eastAsiaTheme="minorEastAsia"/>
        </w:rPr>
        <w:t>符合检验检测机构资质认定评审准则中第</w:t>
      </w:r>
      <w:r>
        <w:rPr>
          <w:rFonts w:hint="default" w:ascii="Times New Roman" w:hAnsi="Times New Roman" w:cs="Times New Roman" w:eastAsiaTheme="minorEastAsia"/>
          <w:lang w:val="en-US" w:eastAsia="zh-CN"/>
        </w:rPr>
        <w:t>十二</w:t>
      </w:r>
      <w:r>
        <w:rPr>
          <w:rFonts w:hint="default" w:ascii="Times New Roman" w:hAnsi="Times New Roman" w:cs="Times New Roman" w:eastAsiaTheme="minorEastAsia"/>
        </w:rPr>
        <w:t>条</w:t>
      </w:r>
      <w:r>
        <w:rPr>
          <w:rFonts w:hint="default" w:ascii="Times New Roman" w:hAnsi="Times New Roman" w:cs="Times New Roman" w:eastAsiaTheme="minorEastAsia"/>
          <w:color w:val="auto"/>
          <w:lang w:val="en-US" w:eastAsia="zh-CN"/>
        </w:rPr>
        <w:t>和（</w:t>
      </w:r>
      <w:r>
        <w:rPr>
          <w:rFonts w:hint="default" w:ascii="Times New Roman" w:hAnsi="Times New Roman" w:cs="Times New Roman" w:eastAsiaTheme="minorEastAsia"/>
          <w:color w:val="auto"/>
        </w:rPr>
        <w:t>或</w:t>
      </w:r>
      <w:r>
        <w:rPr>
          <w:rFonts w:hint="default" w:ascii="Times New Roman" w:hAnsi="Times New Roman" w:cs="Times New Roman" w:eastAsiaTheme="minorEastAsia"/>
          <w:color w:val="auto"/>
          <w:lang w:eastAsia="zh-CN"/>
        </w:rPr>
        <w:t>）</w:t>
      </w:r>
      <w:r>
        <w:rPr>
          <w:rFonts w:hint="default" w:ascii="Times New Roman" w:hAnsi="Times New Roman" w:cs="Times New Roman" w:eastAsiaTheme="minorEastAsia"/>
        </w:rPr>
        <w:t>GB/T 27025中第</w:t>
      </w:r>
      <w:r>
        <w:rPr>
          <w:rFonts w:hint="default" w:ascii="Times New Roman" w:hAnsi="Times New Roman" w:cs="Times New Roman" w:eastAsiaTheme="minorEastAsia"/>
          <w:lang w:val="en-US" w:eastAsia="zh-CN"/>
        </w:rPr>
        <w:t>8</w:t>
      </w:r>
      <w:r>
        <w:rPr>
          <w:rFonts w:hint="default" w:ascii="Times New Roman" w:hAnsi="Times New Roman" w:cs="Times New Roman" w:eastAsiaTheme="minorEastAsia"/>
        </w:rPr>
        <w:t>章要求。</w:t>
      </w:r>
    </w:p>
    <w:p w14:paraId="22B11676">
      <w:pPr>
        <w:pStyle w:val="42"/>
        <w:rPr>
          <w:rFonts w:hint="eastAsia" w:asciiTheme="minorEastAsia" w:hAnsiTheme="minorEastAsia" w:eastAsiaTheme="minorEastAsia" w:cstheme="minorEastAsia"/>
          <w:lang w:val="en-US" w:eastAsia="zh-CN"/>
        </w:rPr>
      </w:pPr>
      <w:r>
        <w:rPr>
          <w:rFonts w:hint="eastAsia" w:ascii="Times New Roman" w:hAnsi="Times New Roman" w:cs="Times New Roman" w:eastAsiaTheme="minorEastAsia"/>
          <w:lang w:val="en-US" w:eastAsia="zh-CN"/>
        </w:rPr>
        <w:t>实验室的制度、程序、计划和作业指导书应制定成文件，传达至相关人员，并保证文件的获取、理解和执行。</w:t>
      </w:r>
    </w:p>
    <w:p w14:paraId="363DA4D8">
      <w:pPr>
        <w:pStyle w:val="42"/>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实验室质量手册应包括含技术程序在内的支持性程序，并概述管理体系中所用文件的架构。包括但不限于以下内容：</w:t>
      </w:r>
    </w:p>
    <w:p w14:paraId="173B07A9">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实验室概述，包括法律地位、资源、可提供的服务范围和主要职责；</w:t>
      </w:r>
    </w:p>
    <w:p w14:paraId="11D7CB33">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质量方针、目标和承诺；</w:t>
      </w:r>
    </w:p>
    <w:p w14:paraId="2FE41F0C">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文件控制；</w:t>
      </w:r>
    </w:p>
    <w:p w14:paraId="0248E68B">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质量与技术记录控制；</w:t>
      </w:r>
    </w:p>
    <w:p w14:paraId="29737AFE">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与客户的交流沟通与服务；</w:t>
      </w:r>
    </w:p>
    <w:p w14:paraId="604C5194">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投诉的调查和处理；</w:t>
      </w:r>
    </w:p>
    <w:p w14:paraId="625FC991">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不符合工作的发现、控制；</w:t>
      </w:r>
    </w:p>
    <w:p w14:paraId="0831F8AA">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改进、纠正；</w:t>
      </w:r>
    </w:p>
    <w:p w14:paraId="1BB95ED0">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内部审核与管理评审；</w:t>
      </w:r>
    </w:p>
    <w:p w14:paraId="1027228D">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人员的教育与培训；</w:t>
      </w:r>
    </w:p>
    <w:p w14:paraId="33C524E6">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实验设施和环境；</w:t>
      </w:r>
    </w:p>
    <w:p w14:paraId="7C2557AC">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设备、试剂和易耗品的管理；</w:t>
      </w:r>
    </w:p>
    <w:p w14:paraId="572A1AF4">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计量溯源性；</w:t>
      </w:r>
    </w:p>
    <w:p w14:paraId="22DFFAD4">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样品管理；</w:t>
      </w:r>
    </w:p>
    <w:p w14:paraId="25CB1F21">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抽（取）样；</w:t>
      </w:r>
    </w:p>
    <w:p w14:paraId="6409004A">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环境保护与安全健康；</w:t>
      </w:r>
    </w:p>
    <w:p w14:paraId="076FD3FD">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研究和开发（适用时）；</w:t>
      </w:r>
    </w:p>
    <w:p w14:paraId="631C071A">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检测结果的质量控制；</w:t>
      </w:r>
    </w:p>
    <w:p w14:paraId="73ED106D">
      <w:pPr>
        <w:pStyle w:val="42"/>
        <w:numPr>
          <w:ilvl w:val="0"/>
          <w:numId w:val="5"/>
        </w:numPr>
        <w:ind w:leftChars="0"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检测结果报告；</w:t>
      </w:r>
    </w:p>
    <w:p w14:paraId="67D7F65A">
      <w:pPr>
        <w:pStyle w:val="42"/>
        <w:numPr>
          <w:ilvl w:val="0"/>
          <w:numId w:val="5"/>
        </w:numPr>
        <w:ind w:leftChars="0" w:firstLine="420" w:firstLineChars="200"/>
        <w:rPr>
          <w:rFonts w:hint="default" w:ascii="Times New Roman" w:hAnsi="Times New Roman" w:cs="Times New Roman"/>
        </w:rPr>
      </w:pPr>
      <w:r>
        <w:rPr>
          <w:rFonts w:hint="eastAsia" w:asciiTheme="minorEastAsia" w:hAnsiTheme="minorEastAsia" w:eastAsiaTheme="minorEastAsia" w:cstheme="minorEastAsia"/>
          <w:lang w:val="en-US" w:eastAsia="zh-CN"/>
        </w:rPr>
        <w:t>实验室信息系统（适用时）和安全。</w:t>
      </w:r>
    </w:p>
    <w:p w14:paraId="5822AAE0">
      <w:pPr>
        <w:pStyle w:val="77"/>
        <w:numPr>
          <w:ilvl w:val="0"/>
          <w:numId w:val="0"/>
        </w:numPr>
        <w:ind w:leftChars="0"/>
        <w:rPr>
          <w:rFonts w:hint="eastAsia"/>
        </w:rPr>
      </w:pPr>
    </w:p>
    <w:p w14:paraId="54122A97">
      <w:pPr>
        <w:pStyle w:val="77"/>
        <w:numPr>
          <w:ilvl w:val="0"/>
          <w:numId w:val="0"/>
        </w:numPr>
        <w:ind w:leftChars="0"/>
        <w:rPr>
          <w:rFonts w:hint="eastAsia"/>
        </w:rPr>
      </w:pPr>
      <w:r>
        <w:rPr>
          <w:rFonts w:hint="eastAsia"/>
        </w:rPr>
        <mc:AlternateContent>
          <mc:Choice Requires="wps">
            <w:drawing>
              <wp:anchor distT="0" distB="0" distL="114300" distR="114300" simplePos="0" relativeHeight="251664384" behindDoc="0" locked="0" layoutInCell="1" allowOverlap="1">
                <wp:simplePos x="0" y="0"/>
                <wp:positionH relativeFrom="column">
                  <wp:posOffset>1485900</wp:posOffset>
                </wp:positionH>
                <wp:positionV relativeFrom="paragraph">
                  <wp:posOffset>354965</wp:posOffset>
                </wp:positionV>
                <wp:extent cx="208597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17pt;margin-top:27.95pt;height:0pt;width:164.25pt;z-index:251664384;mso-width-relative:page;mso-height-relative:page;" filled="f" stroked="t" coordsize="21600,21600" o:gfxdata="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ICHJ2tcAAAAJ&#10;AQAADwAAAAAAAAABACAAAAAiAAAAZHJzL2Rvd25yZXYueG1sUEsBAhQAFAAAAAgAh07iQP169Y3k&#10;AQAAsQMAAA4AAAAAAAAAAQAgAAAAJgEAAGRycy9lMm9Eb2MueG1sUEsFBgAAAAAGAAYAWQEAAHwF&#10;AAAAAA==&#10;">
                <v:fill on="f" focussize="0,0"/>
                <v:stroke weight="0.5pt" color="#000000 [3200]" miterlimit="8" joinstyle="miter"/>
                <v:imagedata o:title=""/>
                <o:lock v:ext="edit" aspectratio="f"/>
              </v:line>
            </w:pict>
          </mc:Fallback>
        </mc:AlternateContent>
      </w:r>
    </w:p>
    <w:sectPr>
      <w:footerReference r:id="rId13" w:type="default"/>
      <w:footerReference r:id="rId14" w:type="even"/>
      <w:pgSz w:w="11906" w:h="16838"/>
      <w:pgMar w:top="1701" w:right="1134" w:bottom="1134" w:left="1418" w:header="1361" w:footer="1134" w:gutter="0"/>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MS Gothic">
    <w:altName w:val="Hiragino Sans"/>
    <w:panose1 w:val="020B0609070205080204"/>
    <w:charset w:val="80"/>
    <w:family w:val="modern"/>
    <w:pitch w:val="default"/>
    <w:sig w:usb0="00000000" w:usb1="00000000" w:usb2="08000012" w:usb3="00000000" w:csb0="4002009F" w:csb1="DFD70000"/>
  </w:font>
  <w:font w:name="Times New Roman Regular">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儷宋 Pro">
    <w:panose1 w:val="02020300000000000000"/>
    <w:charset w:val="88"/>
    <w:family w:val="auto"/>
    <w:pitch w:val="default"/>
    <w:sig w:usb0="80000001" w:usb1="28091800" w:usb2="00000016" w:usb3="00000000" w:csb0="001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57D0E">
    <w:pPr>
      <w:pStyle w:val="11"/>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0C917">
    <w:pPr>
      <w:pStyle w:val="11"/>
      <w:ind w:firstLine="360"/>
      <w:rPr>
        <w:rFonts w:hint="eastAsia"/>
      </w:rPr>
    </w:pPr>
  </w:p>
  <w:p w14:paraId="2E9F31BA">
    <w:pPr>
      <w:pStyle w:val="11"/>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95542">
    <w:pPr>
      <w:pStyle w:val="11"/>
      <w:ind w:firstLine="36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007EA">
    <w:pPr>
      <w:pStyle w:val="57"/>
    </w:pPr>
    <w:r>
      <w:fldChar w:fldCharType="begin"/>
    </w:r>
    <w:r>
      <w:instrText xml:space="preserve"> PAGE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0A77D">
    <w:pPr>
      <w:pStyle w:val="57"/>
    </w:pPr>
    <w:r>
      <w:fldChar w:fldCharType="begin"/>
    </w:r>
    <w:r>
      <w:instrText xml:space="preserve"> PAGE  \* MERGEFORMAT </w:instrText>
    </w:r>
    <w:r>
      <w:fldChar w:fldCharType="separate"/>
    </w:r>
    <w:r>
      <w:t>7</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06CC6">
    <w:pPr>
      <w:pStyle w:val="11"/>
      <w:ind w:firstLine="360"/>
      <w:rPr>
        <w:rFonts w:hint="eastAsia"/>
      </w:rPr>
    </w:pPr>
    <w:r>
      <w:fldChar w:fldCharType="begin"/>
    </w:r>
    <w:r>
      <w:instrText xml:space="preserve">PAGE   \* MERGEFORMAT</w:instrText>
    </w:r>
    <w:r>
      <w:fldChar w:fldCharType="separate"/>
    </w:r>
    <w:r>
      <w:rPr>
        <w:lang w:val="zh-CN"/>
      </w:rPr>
      <w:t>6</w:t>
    </w:r>
    <w:r>
      <w:fldChar w:fldCharType="end"/>
    </w:r>
  </w:p>
  <w:p w14:paraId="4E899E2D">
    <w:pPr>
      <w:pStyle w:val="11"/>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3BA9B">
    <w:pPr>
      <w:ind w:left="420" w:firstLine="0" w:firstLineChars="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48CFA">
    <w:pPr>
      <w:rPr>
        <w:rFonts w:hint="eastAsia"/>
      </w:rPr>
    </w:pPr>
    <w:r>
      <w:t>JC/T XXXXX—20XX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F5F8A">
    <w:pPr>
      <w:pStyle w:val="12"/>
      <w:ind w:firstLine="36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801C7">
    <w:pPr>
      <w:pStyle w:val="58"/>
      <w:spacing w:after="284"/>
    </w:pPr>
    <w:r>
      <w:t>JC/T XXXXX—20XX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trike w:val="0"/>
        <w:sz w:val="21"/>
      </w:rPr>
    </w:lvl>
    <w:lvl w:ilvl="3" w:tentative="0">
      <w:start w:val="1"/>
      <w:numFmt w:val="decimal"/>
      <w:suff w:val="nothing"/>
      <w:lvlText w:val="%1.%2.%3.%4　"/>
      <w:lvlJc w:val="left"/>
      <w:pPr>
        <w:ind w:left="1134"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B2BE19E"/>
    <w:multiLevelType w:val="singleLevel"/>
    <w:tmpl w:val="2B2BE19E"/>
    <w:lvl w:ilvl="0" w:tentative="0">
      <w:start w:val="1"/>
      <w:numFmt w:val="lowerLetter"/>
      <w:suff w:val="space"/>
      <w:lvlText w:val="%1)"/>
      <w:lvlJc w:val="left"/>
    </w:lvl>
  </w:abstractNum>
  <w:abstractNum w:abstractNumId="2">
    <w:nsid w:val="2C5917C3"/>
    <w:multiLevelType w:val="multilevel"/>
    <w:tmpl w:val="2C5917C3"/>
    <w:lvl w:ilvl="0" w:tentative="0">
      <w:start w:val="1"/>
      <w:numFmt w:val="none"/>
      <w:pStyle w:val="78"/>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
    <w:nsid w:val="44C50F90"/>
    <w:multiLevelType w:val="multilevel"/>
    <w:tmpl w:val="44C50F90"/>
    <w:lvl w:ilvl="0" w:tentative="0">
      <w:start w:val="1"/>
      <w:numFmt w:val="lowerLetter"/>
      <w:pStyle w:val="79"/>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4">
    <w:nsid w:val="49DD6F04"/>
    <w:multiLevelType w:val="multilevel"/>
    <w:tmpl w:val="49DD6F04"/>
    <w:lvl w:ilvl="0" w:tentative="0">
      <w:start w:val="1"/>
      <w:numFmt w:val="decimal"/>
      <w:pStyle w:val="67"/>
      <w:suff w:val="nothing"/>
      <w:lvlText w:val="%1  "/>
      <w:lvlJc w:val="left"/>
      <w:pPr>
        <w:ind w:left="3260" w:firstLine="0"/>
      </w:pPr>
      <w:rPr>
        <w:rFonts w:hint="default" w:ascii="Times New Roman" w:hAnsi="Times New Roman" w:eastAsia="黑体" w:cs="Times New Roman"/>
        <w:b/>
        <w:i w:val="0"/>
        <w:caps w:val="0"/>
        <w:smallCaps w:val="0"/>
        <w:strike w:val="0"/>
        <w:dstrike w:val="0"/>
        <w:vanish w:val="0"/>
        <w:color w:val="auto"/>
        <w:spacing w:val="0"/>
        <w:w w:val="100"/>
        <w:kern w:val="21"/>
        <w:position w:val="0"/>
        <w:sz w:val="32"/>
        <w:szCs w:val="32"/>
        <w:u w:val="none"/>
        <w:vertAlign w:val="baseline"/>
        <w14:shadow w14:blurRad="0" w14:dist="0" w14:dir="0" w14:sx="0" w14:sy="0" w14:kx="0" w14:ky="0" w14:algn="none">
          <w14:srgbClr w14:val="000000"/>
        </w14:shadow>
      </w:rPr>
    </w:lvl>
    <w:lvl w:ilvl="1" w:tentative="0">
      <w:start w:val="1"/>
      <w:numFmt w:val="decimal"/>
      <w:suff w:val="nothing"/>
      <w:lvlText w:val="%1.%2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8"/>
        <w:szCs w:val="28"/>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yNzU0MWRmOTdkYzU2MjY1NmUwMWJhMmI1ODc0YjUifQ=="/>
  </w:docVars>
  <w:rsids>
    <w:rsidRoot w:val="33F36BFE"/>
    <w:rsid w:val="00005CDD"/>
    <w:rsid w:val="00007EBF"/>
    <w:rsid w:val="000117DB"/>
    <w:rsid w:val="00012C06"/>
    <w:rsid w:val="00015A41"/>
    <w:rsid w:val="0001687D"/>
    <w:rsid w:val="000211BF"/>
    <w:rsid w:val="00021D81"/>
    <w:rsid w:val="00021E4A"/>
    <w:rsid w:val="00026E7A"/>
    <w:rsid w:val="00033664"/>
    <w:rsid w:val="0003488E"/>
    <w:rsid w:val="000422C7"/>
    <w:rsid w:val="00043208"/>
    <w:rsid w:val="00047012"/>
    <w:rsid w:val="00050908"/>
    <w:rsid w:val="0005209D"/>
    <w:rsid w:val="00055ED8"/>
    <w:rsid w:val="00056E79"/>
    <w:rsid w:val="00061080"/>
    <w:rsid w:val="00062BE7"/>
    <w:rsid w:val="00065639"/>
    <w:rsid w:val="00066CEB"/>
    <w:rsid w:val="0007172C"/>
    <w:rsid w:val="00071EA1"/>
    <w:rsid w:val="00075B5C"/>
    <w:rsid w:val="00080109"/>
    <w:rsid w:val="0008187B"/>
    <w:rsid w:val="00083059"/>
    <w:rsid w:val="000938DF"/>
    <w:rsid w:val="000B584E"/>
    <w:rsid w:val="000C515B"/>
    <w:rsid w:val="000C7395"/>
    <w:rsid w:val="000D12CF"/>
    <w:rsid w:val="000D1A76"/>
    <w:rsid w:val="000D4303"/>
    <w:rsid w:val="000D596B"/>
    <w:rsid w:val="000E0312"/>
    <w:rsid w:val="000E58A9"/>
    <w:rsid w:val="000E6F97"/>
    <w:rsid w:val="000F1363"/>
    <w:rsid w:val="000F34A4"/>
    <w:rsid w:val="000F3649"/>
    <w:rsid w:val="000F48CB"/>
    <w:rsid w:val="000F647A"/>
    <w:rsid w:val="000F7B0D"/>
    <w:rsid w:val="00100F25"/>
    <w:rsid w:val="0010276B"/>
    <w:rsid w:val="00106732"/>
    <w:rsid w:val="001109DE"/>
    <w:rsid w:val="00113E29"/>
    <w:rsid w:val="00122C72"/>
    <w:rsid w:val="001245E9"/>
    <w:rsid w:val="00124798"/>
    <w:rsid w:val="001260FA"/>
    <w:rsid w:val="00127172"/>
    <w:rsid w:val="00132AFE"/>
    <w:rsid w:val="001401A9"/>
    <w:rsid w:val="0014658E"/>
    <w:rsid w:val="0015010B"/>
    <w:rsid w:val="00150EBE"/>
    <w:rsid w:val="00153421"/>
    <w:rsid w:val="00154E1B"/>
    <w:rsid w:val="00161D76"/>
    <w:rsid w:val="00167DC6"/>
    <w:rsid w:val="00171D7D"/>
    <w:rsid w:val="00173C8F"/>
    <w:rsid w:val="00175719"/>
    <w:rsid w:val="00176003"/>
    <w:rsid w:val="00176C89"/>
    <w:rsid w:val="001804CA"/>
    <w:rsid w:val="00181184"/>
    <w:rsid w:val="001931F6"/>
    <w:rsid w:val="00193D78"/>
    <w:rsid w:val="00193F49"/>
    <w:rsid w:val="001963FA"/>
    <w:rsid w:val="001A3CC5"/>
    <w:rsid w:val="001A4329"/>
    <w:rsid w:val="001B22C7"/>
    <w:rsid w:val="001B2D19"/>
    <w:rsid w:val="001C14B8"/>
    <w:rsid w:val="001C29B6"/>
    <w:rsid w:val="001C62E2"/>
    <w:rsid w:val="001D7404"/>
    <w:rsid w:val="001E6D85"/>
    <w:rsid w:val="001F0333"/>
    <w:rsid w:val="0020521F"/>
    <w:rsid w:val="00206995"/>
    <w:rsid w:val="0021372A"/>
    <w:rsid w:val="00215DC7"/>
    <w:rsid w:val="002209E3"/>
    <w:rsid w:val="0022146D"/>
    <w:rsid w:val="002216FA"/>
    <w:rsid w:val="002239FE"/>
    <w:rsid w:val="00224BFC"/>
    <w:rsid w:val="00230B3D"/>
    <w:rsid w:val="00236555"/>
    <w:rsid w:val="002375EE"/>
    <w:rsid w:val="002411C1"/>
    <w:rsid w:val="00241F4D"/>
    <w:rsid w:val="00247902"/>
    <w:rsid w:val="0025153D"/>
    <w:rsid w:val="002516B0"/>
    <w:rsid w:val="002572D0"/>
    <w:rsid w:val="0026245B"/>
    <w:rsid w:val="002630F9"/>
    <w:rsid w:val="0026774A"/>
    <w:rsid w:val="00282680"/>
    <w:rsid w:val="00285BE3"/>
    <w:rsid w:val="00286042"/>
    <w:rsid w:val="00295AA1"/>
    <w:rsid w:val="00296EA2"/>
    <w:rsid w:val="00297B66"/>
    <w:rsid w:val="002A44AE"/>
    <w:rsid w:val="002B05C7"/>
    <w:rsid w:val="002B2BED"/>
    <w:rsid w:val="002B30AB"/>
    <w:rsid w:val="002B6101"/>
    <w:rsid w:val="002C20CE"/>
    <w:rsid w:val="002C54D9"/>
    <w:rsid w:val="002D5AC0"/>
    <w:rsid w:val="002E0D83"/>
    <w:rsid w:val="002E3E0C"/>
    <w:rsid w:val="002E5C42"/>
    <w:rsid w:val="002E65B2"/>
    <w:rsid w:val="002E7A00"/>
    <w:rsid w:val="002F0E75"/>
    <w:rsid w:val="002F170F"/>
    <w:rsid w:val="002F3996"/>
    <w:rsid w:val="002F5532"/>
    <w:rsid w:val="00300392"/>
    <w:rsid w:val="00304382"/>
    <w:rsid w:val="00305BDE"/>
    <w:rsid w:val="003074F0"/>
    <w:rsid w:val="003110BD"/>
    <w:rsid w:val="00314E8E"/>
    <w:rsid w:val="00315681"/>
    <w:rsid w:val="00320970"/>
    <w:rsid w:val="00324E58"/>
    <w:rsid w:val="00333A6A"/>
    <w:rsid w:val="00333CC6"/>
    <w:rsid w:val="00336636"/>
    <w:rsid w:val="0033776C"/>
    <w:rsid w:val="00342B05"/>
    <w:rsid w:val="00342E45"/>
    <w:rsid w:val="00350796"/>
    <w:rsid w:val="003563E1"/>
    <w:rsid w:val="00362295"/>
    <w:rsid w:val="003646E4"/>
    <w:rsid w:val="00374123"/>
    <w:rsid w:val="00376C18"/>
    <w:rsid w:val="003805EB"/>
    <w:rsid w:val="00380E0D"/>
    <w:rsid w:val="00381103"/>
    <w:rsid w:val="00381467"/>
    <w:rsid w:val="0038598A"/>
    <w:rsid w:val="003867A0"/>
    <w:rsid w:val="0039017E"/>
    <w:rsid w:val="003920F3"/>
    <w:rsid w:val="003A00BA"/>
    <w:rsid w:val="003A190F"/>
    <w:rsid w:val="003A61A5"/>
    <w:rsid w:val="003B1B25"/>
    <w:rsid w:val="003B263C"/>
    <w:rsid w:val="003B359E"/>
    <w:rsid w:val="003B6D03"/>
    <w:rsid w:val="003C0DF6"/>
    <w:rsid w:val="003C2F59"/>
    <w:rsid w:val="003C5A2F"/>
    <w:rsid w:val="003C6889"/>
    <w:rsid w:val="003D1235"/>
    <w:rsid w:val="003D42B7"/>
    <w:rsid w:val="003D4BD8"/>
    <w:rsid w:val="003D576E"/>
    <w:rsid w:val="003D7763"/>
    <w:rsid w:val="003E0160"/>
    <w:rsid w:val="003E63B5"/>
    <w:rsid w:val="003E7D4A"/>
    <w:rsid w:val="003F586E"/>
    <w:rsid w:val="00401158"/>
    <w:rsid w:val="00403835"/>
    <w:rsid w:val="00405634"/>
    <w:rsid w:val="00405761"/>
    <w:rsid w:val="00405EBC"/>
    <w:rsid w:val="004114E6"/>
    <w:rsid w:val="00412310"/>
    <w:rsid w:val="004130FF"/>
    <w:rsid w:val="0041485D"/>
    <w:rsid w:val="00414D8E"/>
    <w:rsid w:val="00414FC1"/>
    <w:rsid w:val="00416CDD"/>
    <w:rsid w:val="004171C7"/>
    <w:rsid w:val="00423790"/>
    <w:rsid w:val="004267AF"/>
    <w:rsid w:val="00426CA8"/>
    <w:rsid w:val="004321A0"/>
    <w:rsid w:val="00432220"/>
    <w:rsid w:val="00432718"/>
    <w:rsid w:val="00434DA3"/>
    <w:rsid w:val="004356D3"/>
    <w:rsid w:val="00440B83"/>
    <w:rsid w:val="00447049"/>
    <w:rsid w:val="0044749C"/>
    <w:rsid w:val="004504E3"/>
    <w:rsid w:val="0045117C"/>
    <w:rsid w:val="0045416C"/>
    <w:rsid w:val="00454A83"/>
    <w:rsid w:val="00460EC5"/>
    <w:rsid w:val="00461134"/>
    <w:rsid w:val="00463CED"/>
    <w:rsid w:val="00467ADB"/>
    <w:rsid w:val="00481A7A"/>
    <w:rsid w:val="00482478"/>
    <w:rsid w:val="004824D2"/>
    <w:rsid w:val="004879DB"/>
    <w:rsid w:val="00491103"/>
    <w:rsid w:val="004916C9"/>
    <w:rsid w:val="004A1DDF"/>
    <w:rsid w:val="004A23FF"/>
    <w:rsid w:val="004A2B79"/>
    <w:rsid w:val="004A4480"/>
    <w:rsid w:val="004A4696"/>
    <w:rsid w:val="004B01A5"/>
    <w:rsid w:val="004B3EA5"/>
    <w:rsid w:val="004C1149"/>
    <w:rsid w:val="004C24A1"/>
    <w:rsid w:val="004C4F73"/>
    <w:rsid w:val="004D0F9A"/>
    <w:rsid w:val="004D1D17"/>
    <w:rsid w:val="004D54EC"/>
    <w:rsid w:val="004E1BD3"/>
    <w:rsid w:val="004E5C70"/>
    <w:rsid w:val="004E5FA5"/>
    <w:rsid w:val="004F37ED"/>
    <w:rsid w:val="004F489B"/>
    <w:rsid w:val="00503F1A"/>
    <w:rsid w:val="00507665"/>
    <w:rsid w:val="005104FD"/>
    <w:rsid w:val="00512072"/>
    <w:rsid w:val="00516CEE"/>
    <w:rsid w:val="005203B7"/>
    <w:rsid w:val="005215F2"/>
    <w:rsid w:val="00523797"/>
    <w:rsid w:val="00524670"/>
    <w:rsid w:val="00525C77"/>
    <w:rsid w:val="005346A4"/>
    <w:rsid w:val="005368E4"/>
    <w:rsid w:val="0053746E"/>
    <w:rsid w:val="00540F5D"/>
    <w:rsid w:val="00546306"/>
    <w:rsid w:val="0055033F"/>
    <w:rsid w:val="00551EC3"/>
    <w:rsid w:val="005524B5"/>
    <w:rsid w:val="00556912"/>
    <w:rsid w:val="0056456A"/>
    <w:rsid w:val="00571C26"/>
    <w:rsid w:val="005722F6"/>
    <w:rsid w:val="0057663F"/>
    <w:rsid w:val="00580868"/>
    <w:rsid w:val="005833B2"/>
    <w:rsid w:val="005839BF"/>
    <w:rsid w:val="00584EFE"/>
    <w:rsid w:val="005918FA"/>
    <w:rsid w:val="00591A50"/>
    <w:rsid w:val="00592D41"/>
    <w:rsid w:val="00593519"/>
    <w:rsid w:val="00594207"/>
    <w:rsid w:val="00596DA0"/>
    <w:rsid w:val="005A2AE4"/>
    <w:rsid w:val="005A58BB"/>
    <w:rsid w:val="005C1054"/>
    <w:rsid w:val="005C1CAA"/>
    <w:rsid w:val="005D26DC"/>
    <w:rsid w:val="005D2723"/>
    <w:rsid w:val="005D32FC"/>
    <w:rsid w:val="005D4F45"/>
    <w:rsid w:val="005D7FFA"/>
    <w:rsid w:val="005E1FEA"/>
    <w:rsid w:val="005E65BC"/>
    <w:rsid w:val="005F54F1"/>
    <w:rsid w:val="00603778"/>
    <w:rsid w:val="00604425"/>
    <w:rsid w:val="00605BCF"/>
    <w:rsid w:val="006106B8"/>
    <w:rsid w:val="00621FFE"/>
    <w:rsid w:val="0062291D"/>
    <w:rsid w:val="00642DD8"/>
    <w:rsid w:val="00643071"/>
    <w:rsid w:val="00645ED0"/>
    <w:rsid w:val="00654543"/>
    <w:rsid w:val="00657BE5"/>
    <w:rsid w:val="006601B2"/>
    <w:rsid w:val="006619BE"/>
    <w:rsid w:val="00673855"/>
    <w:rsid w:val="006754E0"/>
    <w:rsid w:val="0067579D"/>
    <w:rsid w:val="006817F6"/>
    <w:rsid w:val="00682229"/>
    <w:rsid w:val="00685FFC"/>
    <w:rsid w:val="006871A7"/>
    <w:rsid w:val="006908D1"/>
    <w:rsid w:val="0069212E"/>
    <w:rsid w:val="0069659E"/>
    <w:rsid w:val="006A16B3"/>
    <w:rsid w:val="006A6657"/>
    <w:rsid w:val="006A6DCF"/>
    <w:rsid w:val="006B1512"/>
    <w:rsid w:val="006B4FA1"/>
    <w:rsid w:val="006C3DC3"/>
    <w:rsid w:val="006C4563"/>
    <w:rsid w:val="006D294C"/>
    <w:rsid w:val="006D3A0D"/>
    <w:rsid w:val="006D46FE"/>
    <w:rsid w:val="006D6F1C"/>
    <w:rsid w:val="006E42C9"/>
    <w:rsid w:val="006E5CBC"/>
    <w:rsid w:val="006E68AA"/>
    <w:rsid w:val="006E694F"/>
    <w:rsid w:val="006E7922"/>
    <w:rsid w:val="006F21BA"/>
    <w:rsid w:val="006F2411"/>
    <w:rsid w:val="00701D22"/>
    <w:rsid w:val="0070217D"/>
    <w:rsid w:val="00705F50"/>
    <w:rsid w:val="00714E27"/>
    <w:rsid w:val="007160D7"/>
    <w:rsid w:val="007216B9"/>
    <w:rsid w:val="00721C72"/>
    <w:rsid w:val="00722C92"/>
    <w:rsid w:val="007243D6"/>
    <w:rsid w:val="00724B0C"/>
    <w:rsid w:val="0072545E"/>
    <w:rsid w:val="007262B9"/>
    <w:rsid w:val="00726C2E"/>
    <w:rsid w:val="00730A82"/>
    <w:rsid w:val="00737AD0"/>
    <w:rsid w:val="00740500"/>
    <w:rsid w:val="00743DF4"/>
    <w:rsid w:val="00747E9D"/>
    <w:rsid w:val="007531EA"/>
    <w:rsid w:val="00753C34"/>
    <w:rsid w:val="007630F9"/>
    <w:rsid w:val="0076359D"/>
    <w:rsid w:val="00764BE9"/>
    <w:rsid w:val="00773A8B"/>
    <w:rsid w:val="00774CBC"/>
    <w:rsid w:val="00775777"/>
    <w:rsid w:val="007768A3"/>
    <w:rsid w:val="0077751B"/>
    <w:rsid w:val="00781E2F"/>
    <w:rsid w:val="007830F3"/>
    <w:rsid w:val="007872E4"/>
    <w:rsid w:val="007920E2"/>
    <w:rsid w:val="00792937"/>
    <w:rsid w:val="007A13D5"/>
    <w:rsid w:val="007A21D3"/>
    <w:rsid w:val="007A44FD"/>
    <w:rsid w:val="007A5242"/>
    <w:rsid w:val="007A6BDD"/>
    <w:rsid w:val="007B0490"/>
    <w:rsid w:val="007B0865"/>
    <w:rsid w:val="007B0FDE"/>
    <w:rsid w:val="007B3181"/>
    <w:rsid w:val="007B6390"/>
    <w:rsid w:val="007B6ECF"/>
    <w:rsid w:val="007C048C"/>
    <w:rsid w:val="007C1148"/>
    <w:rsid w:val="007C1DDE"/>
    <w:rsid w:val="007C748D"/>
    <w:rsid w:val="007D5B8E"/>
    <w:rsid w:val="007E73EA"/>
    <w:rsid w:val="007F2233"/>
    <w:rsid w:val="007F229F"/>
    <w:rsid w:val="007F24C1"/>
    <w:rsid w:val="007F3C8C"/>
    <w:rsid w:val="0080161F"/>
    <w:rsid w:val="008022DF"/>
    <w:rsid w:val="00803AD3"/>
    <w:rsid w:val="00805460"/>
    <w:rsid w:val="008076CA"/>
    <w:rsid w:val="008100F2"/>
    <w:rsid w:val="00822B51"/>
    <w:rsid w:val="00824370"/>
    <w:rsid w:val="008245B0"/>
    <w:rsid w:val="00824D75"/>
    <w:rsid w:val="00825672"/>
    <w:rsid w:val="00826955"/>
    <w:rsid w:val="00830809"/>
    <w:rsid w:val="00842CEC"/>
    <w:rsid w:val="00843C18"/>
    <w:rsid w:val="0084476B"/>
    <w:rsid w:val="0084521F"/>
    <w:rsid w:val="00846521"/>
    <w:rsid w:val="0085009C"/>
    <w:rsid w:val="00851BE4"/>
    <w:rsid w:val="0085548B"/>
    <w:rsid w:val="008603A2"/>
    <w:rsid w:val="00865305"/>
    <w:rsid w:val="008725AA"/>
    <w:rsid w:val="008743DE"/>
    <w:rsid w:val="0087651A"/>
    <w:rsid w:val="00883F7C"/>
    <w:rsid w:val="008931F7"/>
    <w:rsid w:val="00893D0E"/>
    <w:rsid w:val="00896D96"/>
    <w:rsid w:val="00897CD3"/>
    <w:rsid w:val="008A668C"/>
    <w:rsid w:val="008B500D"/>
    <w:rsid w:val="008C1C85"/>
    <w:rsid w:val="008C4814"/>
    <w:rsid w:val="008C4AD8"/>
    <w:rsid w:val="008D0B23"/>
    <w:rsid w:val="008D5D8B"/>
    <w:rsid w:val="008E0DB0"/>
    <w:rsid w:val="008E0E1D"/>
    <w:rsid w:val="008E0F0B"/>
    <w:rsid w:val="008E2EE0"/>
    <w:rsid w:val="008E6072"/>
    <w:rsid w:val="008F255D"/>
    <w:rsid w:val="008F26D2"/>
    <w:rsid w:val="00902E12"/>
    <w:rsid w:val="00903056"/>
    <w:rsid w:val="0092314E"/>
    <w:rsid w:val="00930168"/>
    <w:rsid w:val="00937B66"/>
    <w:rsid w:val="009401D8"/>
    <w:rsid w:val="00940AF2"/>
    <w:rsid w:val="00942727"/>
    <w:rsid w:val="00942CC5"/>
    <w:rsid w:val="00950136"/>
    <w:rsid w:val="00951614"/>
    <w:rsid w:val="009538D3"/>
    <w:rsid w:val="009616F8"/>
    <w:rsid w:val="00962ED9"/>
    <w:rsid w:val="00963A3C"/>
    <w:rsid w:val="00963FB0"/>
    <w:rsid w:val="0096492E"/>
    <w:rsid w:val="00967739"/>
    <w:rsid w:val="00976060"/>
    <w:rsid w:val="00981E01"/>
    <w:rsid w:val="00983AAE"/>
    <w:rsid w:val="009841FB"/>
    <w:rsid w:val="00990790"/>
    <w:rsid w:val="009915BF"/>
    <w:rsid w:val="009A3002"/>
    <w:rsid w:val="009A50DA"/>
    <w:rsid w:val="009A59B2"/>
    <w:rsid w:val="009A6B45"/>
    <w:rsid w:val="009B2006"/>
    <w:rsid w:val="009B2095"/>
    <w:rsid w:val="009B35B3"/>
    <w:rsid w:val="009B3F97"/>
    <w:rsid w:val="009B50E6"/>
    <w:rsid w:val="009C308C"/>
    <w:rsid w:val="009C60D7"/>
    <w:rsid w:val="009E6F2B"/>
    <w:rsid w:val="009E7B69"/>
    <w:rsid w:val="009F07EF"/>
    <w:rsid w:val="009F274F"/>
    <w:rsid w:val="00A02FE9"/>
    <w:rsid w:val="00A030D9"/>
    <w:rsid w:val="00A05BB7"/>
    <w:rsid w:val="00A06A53"/>
    <w:rsid w:val="00A108D4"/>
    <w:rsid w:val="00A124FF"/>
    <w:rsid w:val="00A1325E"/>
    <w:rsid w:val="00A168C1"/>
    <w:rsid w:val="00A1736A"/>
    <w:rsid w:val="00A25AE4"/>
    <w:rsid w:val="00A25CC6"/>
    <w:rsid w:val="00A278DD"/>
    <w:rsid w:val="00A30E2A"/>
    <w:rsid w:val="00A31A4A"/>
    <w:rsid w:val="00A3445E"/>
    <w:rsid w:val="00A37AAE"/>
    <w:rsid w:val="00A43FE3"/>
    <w:rsid w:val="00A45D64"/>
    <w:rsid w:val="00A46B3B"/>
    <w:rsid w:val="00A50429"/>
    <w:rsid w:val="00A529A8"/>
    <w:rsid w:val="00A54352"/>
    <w:rsid w:val="00A755BC"/>
    <w:rsid w:val="00A765DC"/>
    <w:rsid w:val="00A8009F"/>
    <w:rsid w:val="00A828CD"/>
    <w:rsid w:val="00AA021F"/>
    <w:rsid w:val="00AA2A81"/>
    <w:rsid w:val="00AA3A77"/>
    <w:rsid w:val="00AB3578"/>
    <w:rsid w:val="00AB473F"/>
    <w:rsid w:val="00AB5D8B"/>
    <w:rsid w:val="00AB6BA7"/>
    <w:rsid w:val="00AB7BDD"/>
    <w:rsid w:val="00AB7D07"/>
    <w:rsid w:val="00AC6757"/>
    <w:rsid w:val="00AD5563"/>
    <w:rsid w:val="00AD7678"/>
    <w:rsid w:val="00AE00A5"/>
    <w:rsid w:val="00AE00C0"/>
    <w:rsid w:val="00AF197F"/>
    <w:rsid w:val="00AF31E5"/>
    <w:rsid w:val="00AF3943"/>
    <w:rsid w:val="00AF5ED2"/>
    <w:rsid w:val="00AF6980"/>
    <w:rsid w:val="00B00555"/>
    <w:rsid w:val="00B0205F"/>
    <w:rsid w:val="00B0410A"/>
    <w:rsid w:val="00B0433A"/>
    <w:rsid w:val="00B118BA"/>
    <w:rsid w:val="00B13B8F"/>
    <w:rsid w:val="00B14A4F"/>
    <w:rsid w:val="00B156BC"/>
    <w:rsid w:val="00B20E16"/>
    <w:rsid w:val="00B22ABA"/>
    <w:rsid w:val="00B27B78"/>
    <w:rsid w:val="00B307FF"/>
    <w:rsid w:val="00B36A04"/>
    <w:rsid w:val="00B4632F"/>
    <w:rsid w:val="00B55716"/>
    <w:rsid w:val="00B56989"/>
    <w:rsid w:val="00B62381"/>
    <w:rsid w:val="00B6446E"/>
    <w:rsid w:val="00B66C58"/>
    <w:rsid w:val="00B66E91"/>
    <w:rsid w:val="00B77EC1"/>
    <w:rsid w:val="00B80205"/>
    <w:rsid w:val="00B806AC"/>
    <w:rsid w:val="00BA18B8"/>
    <w:rsid w:val="00BA2AA0"/>
    <w:rsid w:val="00BA5CAA"/>
    <w:rsid w:val="00BB2247"/>
    <w:rsid w:val="00BB4D55"/>
    <w:rsid w:val="00BC1598"/>
    <w:rsid w:val="00BC4DAA"/>
    <w:rsid w:val="00BD2656"/>
    <w:rsid w:val="00BD3CB5"/>
    <w:rsid w:val="00BD5F22"/>
    <w:rsid w:val="00BE301D"/>
    <w:rsid w:val="00BE64F1"/>
    <w:rsid w:val="00BE77B4"/>
    <w:rsid w:val="00BF1714"/>
    <w:rsid w:val="00BF3B7B"/>
    <w:rsid w:val="00BF5500"/>
    <w:rsid w:val="00BF7A32"/>
    <w:rsid w:val="00C037AD"/>
    <w:rsid w:val="00C0571A"/>
    <w:rsid w:val="00C10F43"/>
    <w:rsid w:val="00C1189F"/>
    <w:rsid w:val="00C11931"/>
    <w:rsid w:val="00C13F13"/>
    <w:rsid w:val="00C1555A"/>
    <w:rsid w:val="00C161BE"/>
    <w:rsid w:val="00C30D71"/>
    <w:rsid w:val="00C30EC1"/>
    <w:rsid w:val="00C317E7"/>
    <w:rsid w:val="00C32D45"/>
    <w:rsid w:val="00C4210E"/>
    <w:rsid w:val="00C42370"/>
    <w:rsid w:val="00C42A5F"/>
    <w:rsid w:val="00C4432C"/>
    <w:rsid w:val="00C46FDB"/>
    <w:rsid w:val="00C55B7B"/>
    <w:rsid w:val="00C5764F"/>
    <w:rsid w:val="00C6627E"/>
    <w:rsid w:val="00C7175F"/>
    <w:rsid w:val="00C737E0"/>
    <w:rsid w:val="00C74744"/>
    <w:rsid w:val="00C758D9"/>
    <w:rsid w:val="00C84C9C"/>
    <w:rsid w:val="00C876B6"/>
    <w:rsid w:val="00C924CC"/>
    <w:rsid w:val="00C97F29"/>
    <w:rsid w:val="00CA333C"/>
    <w:rsid w:val="00CA36DE"/>
    <w:rsid w:val="00CA3C15"/>
    <w:rsid w:val="00CA6A77"/>
    <w:rsid w:val="00CA76C8"/>
    <w:rsid w:val="00CB1E9D"/>
    <w:rsid w:val="00CB349F"/>
    <w:rsid w:val="00CB772F"/>
    <w:rsid w:val="00CC11C4"/>
    <w:rsid w:val="00CC14A7"/>
    <w:rsid w:val="00CC35DB"/>
    <w:rsid w:val="00CC3EDE"/>
    <w:rsid w:val="00CC5C29"/>
    <w:rsid w:val="00CD0964"/>
    <w:rsid w:val="00CD0E61"/>
    <w:rsid w:val="00CD2467"/>
    <w:rsid w:val="00CE3848"/>
    <w:rsid w:val="00CE7767"/>
    <w:rsid w:val="00CF6682"/>
    <w:rsid w:val="00D018AC"/>
    <w:rsid w:val="00D04B0D"/>
    <w:rsid w:val="00D14C1E"/>
    <w:rsid w:val="00D20EB1"/>
    <w:rsid w:val="00D22C61"/>
    <w:rsid w:val="00D23D7C"/>
    <w:rsid w:val="00D25B13"/>
    <w:rsid w:val="00D31342"/>
    <w:rsid w:val="00D313BF"/>
    <w:rsid w:val="00D324A3"/>
    <w:rsid w:val="00D324CB"/>
    <w:rsid w:val="00D332A3"/>
    <w:rsid w:val="00D33610"/>
    <w:rsid w:val="00D33B36"/>
    <w:rsid w:val="00D33C08"/>
    <w:rsid w:val="00D415B1"/>
    <w:rsid w:val="00D43704"/>
    <w:rsid w:val="00D442D7"/>
    <w:rsid w:val="00D44BDD"/>
    <w:rsid w:val="00D44D32"/>
    <w:rsid w:val="00D46A8A"/>
    <w:rsid w:val="00D54E85"/>
    <w:rsid w:val="00D56418"/>
    <w:rsid w:val="00D60CBD"/>
    <w:rsid w:val="00D67F2E"/>
    <w:rsid w:val="00D71A25"/>
    <w:rsid w:val="00D759F5"/>
    <w:rsid w:val="00D776CF"/>
    <w:rsid w:val="00D81977"/>
    <w:rsid w:val="00D91FC4"/>
    <w:rsid w:val="00D95751"/>
    <w:rsid w:val="00D96548"/>
    <w:rsid w:val="00D97B13"/>
    <w:rsid w:val="00DA1712"/>
    <w:rsid w:val="00DA4754"/>
    <w:rsid w:val="00DA51A6"/>
    <w:rsid w:val="00DA52BC"/>
    <w:rsid w:val="00DA6FDD"/>
    <w:rsid w:val="00DB172E"/>
    <w:rsid w:val="00DB3632"/>
    <w:rsid w:val="00DB6A02"/>
    <w:rsid w:val="00DC0341"/>
    <w:rsid w:val="00DC0B0C"/>
    <w:rsid w:val="00DC71D5"/>
    <w:rsid w:val="00DD040A"/>
    <w:rsid w:val="00DD121E"/>
    <w:rsid w:val="00DD39BD"/>
    <w:rsid w:val="00DD7372"/>
    <w:rsid w:val="00DE09C2"/>
    <w:rsid w:val="00DE2F04"/>
    <w:rsid w:val="00DE3652"/>
    <w:rsid w:val="00DE3815"/>
    <w:rsid w:val="00DF1C33"/>
    <w:rsid w:val="00DF392C"/>
    <w:rsid w:val="00DF535B"/>
    <w:rsid w:val="00DF5512"/>
    <w:rsid w:val="00DF67DD"/>
    <w:rsid w:val="00E005F4"/>
    <w:rsid w:val="00E13D47"/>
    <w:rsid w:val="00E218B7"/>
    <w:rsid w:val="00E27526"/>
    <w:rsid w:val="00E33886"/>
    <w:rsid w:val="00E36260"/>
    <w:rsid w:val="00E3750D"/>
    <w:rsid w:val="00E37A2F"/>
    <w:rsid w:val="00E37E37"/>
    <w:rsid w:val="00E50481"/>
    <w:rsid w:val="00E52419"/>
    <w:rsid w:val="00E53C6F"/>
    <w:rsid w:val="00E54799"/>
    <w:rsid w:val="00E562F9"/>
    <w:rsid w:val="00E606EC"/>
    <w:rsid w:val="00E60B96"/>
    <w:rsid w:val="00E62952"/>
    <w:rsid w:val="00E62F42"/>
    <w:rsid w:val="00E66641"/>
    <w:rsid w:val="00E77C0A"/>
    <w:rsid w:val="00E8165F"/>
    <w:rsid w:val="00E831E0"/>
    <w:rsid w:val="00E853D7"/>
    <w:rsid w:val="00E87485"/>
    <w:rsid w:val="00E90DAB"/>
    <w:rsid w:val="00E951C1"/>
    <w:rsid w:val="00EA2ED9"/>
    <w:rsid w:val="00EB26B8"/>
    <w:rsid w:val="00EB4883"/>
    <w:rsid w:val="00EC06DA"/>
    <w:rsid w:val="00EC28CD"/>
    <w:rsid w:val="00EC3431"/>
    <w:rsid w:val="00EC6510"/>
    <w:rsid w:val="00ED10F1"/>
    <w:rsid w:val="00ED4491"/>
    <w:rsid w:val="00ED65D2"/>
    <w:rsid w:val="00EE0BC0"/>
    <w:rsid w:val="00EE2C33"/>
    <w:rsid w:val="00EF0980"/>
    <w:rsid w:val="00EF1D52"/>
    <w:rsid w:val="00EF301B"/>
    <w:rsid w:val="00EF5B8B"/>
    <w:rsid w:val="00F003A7"/>
    <w:rsid w:val="00F019A7"/>
    <w:rsid w:val="00F06EFB"/>
    <w:rsid w:val="00F1061E"/>
    <w:rsid w:val="00F13125"/>
    <w:rsid w:val="00F15106"/>
    <w:rsid w:val="00F16577"/>
    <w:rsid w:val="00F20320"/>
    <w:rsid w:val="00F228CB"/>
    <w:rsid w:val="00F23D70"/>
    <w:rsid w:val="00F27F7C"/>
    <w:rsid w:val="00F33376"/>
    <w:rsid w:val="00F3424F"/>
    <w:rsid w:val="00F354C8"/>
    <w:rsid w:val="00F3573D"/>
    <w:rsid w:val="00F36A28"/>
    <w:rsid w:val="00F3776E"/>
    <w:rsid w:val="00F42AD3"/>
    <w:rsid w:val="00F42BF7"/>
    <w:rsid w:val="00F43AFE"/>
    <w:rsid w:val="00F5385B"/>
    <w:rsid w:val="00F53A04"/>
    <w:rsid w:val="00F53EAB"/>
    <w:rsid w:val="00F55D32"/>
    <w:rsid w:val="00F568BE"/>
    <w:rsid w:val="00F56FB6"/>
    <w:rsid w:val="00F61BF3"/>
    <w:rsid w:val="00F6231B"/>
    <w:rsid w:val="00F641B7"/>
    <w:rsid w:val="00F6670B"/>
    <w:rsid w:val="00F67C8A"/>
    <w:rsid w:val="00F723AD"/>
    <w:rsid w:val="00F76665"/>
    <w:rsid w:val="00F77274"/>
    <w:rsid w:val="00F82910"/>
    <w:rsid w:val="00F90BC4"/>
    <w:rsid w:val="00F946EE"/>
    <w:rsid w:val="00F96523"/>
    <w:rsid w:val="00FA10DC"/>
    <w:rsid w:val="00FA4FA6"/>
    <w:rsid w:val="00FA6DFA"/>
    <w:rsid w:val="00FB4126"/>
    <w:rsid w:val="00FC1AEA"/>
    <w:rsid w:val="00FC1D3E"/>
    <w:rsid w:val="00FC48BA"/>
    <w:rsid w:val="00FC6918"/>
    <w:rsid w:val="00FD08B5"/>
    <w:rsid w:val="00FD27CF"/>
    <w:rsid w:val="00FD3586"/>
    <w:rsid w:val="00FE73DA"/>
    <w:rsid w:val="00FF1833"/>
    <w:rsid w:val="00FF4808"/>
    <w:rsid w:val="00FF62D2"/>
    <w:rsid w:val="00FF6ABF"/>
    <w:rsid w:val="00FF6CDB"/>
    <w:rsid w:val="00FF6E6E"/>
    <w:rsid w:val="00FF75ED"/>
    <w:rsid w:val="014F64CB"/>
    <w:rsid w:val="01906259"/>
    <w:rsid w:val="01BA178B"/>
    <w:rsid w:val="023932EE"/>
    <w:rsid w:val="026A4959"/>
    <w:rsid w:val="029C290B"/>
    <w:rsid w:val="030329BA"/>
    <w:rsid w:val="032076CE"/>
    <w:rsid w:val="036A374F"/>
    <w:rsid w:val="03B47DC1"/>
    <w:rsid w:val="043B10A6"/>
    <w:rsid w:val="04E2157E"/>
    <w:rsid w:val="04F57CED"/>
    <w:rsid w:val="056A1D11"/>
    <w:rsid w:val="058B60C2"/>
    <w:rsid w:val="061C523F"/>
    <w:rsid w:val="06686C72"/>
    <w:rsid w:val="067547B1"/>
    <w:rsid w:val="072256E2"/>
    <w:rsid w:val="073443D9"/>
    <w:rsid w:val="07CD53CA"/>
    <w:rsid w:val="07FD21B0"/>
    <w:rsid w:val="086E5263"/>
    <w:rsid w:val="08AD31FB"/>
    <w:rsid w:val="094B1549"/>
    <w:rsid w:val="09577B75"/>
    <w:rsid w:val="09D66CC1"/>
    <w:rsid w:val="0A365262"/>
    <w:rsid w:val="0A4A0725"/>
    <w:rsid w:val="0AD91528"/>
    <w:rsid w:val="0C2A3F33"/>
    <w:rsid w:val="0CD7158E"/>
    <w:rsid w:val="0E8813E4"/>
    <w:rsid w:val="10BE733F"/>
    <w:rsid w:val="11202301"/>
    <w:rsid w:val="11447845"/>
    <w:rsid w:val="117C00ED"/>
    <w:rsid w:val="11D90D02"/>
    <w:rsid w:val="133B6A25"/>
    <w:rsid w:val="14C8253B"/>
    <w:rsid w:val="155D7127"/>
    <w:rsid w:val="17416DB6"/>
    <w:rsid w:val="176D0592"/>
    <w:rsid w:val="177B1AE6"/>
    <w:rsid w:val="194C4AAD"/>
    <w:rsid w:val="1ADC5212"/>
    <w:rsid w:val="1B4B7A22"/>
    <w:rsid w:val="1B555E6B"/>
    <w:rsid w:val="1B5604E2"/>
    <w:rsid w:val="1BCF353D"/>
    <w:rsid w:val="1C295179"/>
    <w:rsid w:val="1CB52B35"/>
    <w:rsid w:val="1D714EB2"/>
    <w:rsid w:val="1D9F6A4F"/>
    <w:rsid w:val="1E005FA5"/>
    <w:rsid w:val="1E4C2C3B"/>
    <w:rsid w:val="1E544886"/>
    <w:rsid w:val="1EE04EB1"/>
    <w:rsid w:val="1FC97167"/>
    <w:rsid w:val="1FD52BFC"/>
    <w:rsid w:val="206D3F96"/>
    <w:rsid w:val="20C53DD2"/>
    <w:rsid w:val="20CD1E0F"/>
    <w:rsid w:val="22191DEB"/>
    <w:rsid w:val="22A2772B"/>
    <w:rsid w:val="234E218C"/>
    <w:rsid w:val="240A19EC"/>
    <w:rsid w:val="24C45102"/>
    <w:rsid w:val="24CD6D74"/>
    <w:rsid w:val="24CF7171"/>
    <w:rsid w:val="24D64800"/>
    <w:rsid w:val="25323EDB"/>
    <w:rsid w:val="25332346"/>
    <w:rsid w:val="260D76B9"/>
    <w:rsid w:val="266627FF"/>
    <w:rsid w:val="267E2238"/>
    <w:rsid w:val="26F1465A"/>
    <w:rsid w:val="274C5429"/>
    <w:rsid w:val="283D093C"/>
    <w:rsid w:val="28B21026"/>
    <w:rsid w:val="294008AF"/>
    <w:rsid w:val="294837F2"/>
    <w:rsid w:val="297654F4"/>
    <w:rsid w:val="29CF1658"/>
    <w:rsid w:val="2AB735FF"/>
    <w:rsid w:val="2B91643E"/>
    <w:rsid w:val="2C6426F1"/>
    <w:rsid w:val="2C9D5C03"/>
    <w:rsid w:val="2C9E5875"/>
    <w:rsid w:val="2D145EC5"/>
    <w:rsid w:val="2D5E35E4"/>
    <w:rsid w:val="2DA763C8"/>
    <w:rsid w:val="2FA73189"/>
    <w:rsid w:val="2FAF4C07"/>
    <w:rsid w:val="30093EB8"/>
    <w:rsid w:val="30C3032E"/>
    <w:rsid w:val="30F67906"/>
    <w:rsid w:val="314D0EE2"/>
    <w:rsid w:val="32043FBE"/>
    <w:rsid w:val="32E90F84"/>
    <w:rsid w:val="33663940"/>
    <w:rsid w:val="33F36BFE"/>
    <w:rsid w:val="34690036"/>
    <w:rsid w:val="34BF705E"/>
    <w:rsid w:val="35625557"/>
    <w:rsid w:val="36B747BD"/>
    <w:rsid w:val="384A186B"/>
    <w:rsid w:val="387E0FDF"/>
    <w:rsid w:val="3930052B"/>
    <w:rsid w:val="3A2B1F54"/>
    <w:rsid w:val="3A38784C"/>
    <w:rsid w:val="3A5B1046"/>
    <w:rsid w:val="3A890BA0"/>
    <w:rsid w:val="3AE319F7"/>
    <w:rsid w:val="3B38142F"/>
    <w:rsid w:val="3B5C2526"/>
    <w:rsid w:val="3BA478A4"/>
    <w:rsid w:val="3C3E3F5E"/>
    <w:rsid w:val="3C5E5B29"/>
    <w:rsid w:val="3C907EB2"/>
    <w:rsid w:val="3C933C0E"/>
    <w:rsid w:val="3CE47B2E"/>
    <w:rsid w:val="3CF01CC5"/>
    <w:rsid w:val="3CFA5E5C"/>
    <w:rsid w:val="3D1D7DB7"/>
    <w:rsid w:val="3D2739F3"/>
    <w:rsid w:val="3E9D72A2"/>
    <w:rsid w:val="3EA811A8"/>
    <w:rsid w:val="3EB640DE"/>
    <w:rsid w:val="3F5D36FC"/>
    <w:rsid w:val="3F6820A1"/>
    <w:rsid w:val="407A2832"/>
    <w:rsid w:val="40FF07E3"/>
    <w:rsid w:val="41083934"/>
    <w:rsid w:val="415D16B6"/>
    <w:rsid w:val="41D155B5"/>
    <w:rsid w:val="4235270E"/>
    <w:rsid w:val="42B513CB"/>
    <w:rsid w:val="447B74B4"/>
    <w:rsid w:val="44BA6EFA"/>
    <w:rsid w:val="44ED4117"/>
    <w:rsid w:val="44F63F7F"/>
    <w:rsid w:val="460A0EAE"/>
    <w:rsid w:val="46BB18C2"/>
    <w:rsid w:val="471D19C3"/>
    <w:rsid w:val="479641FB"/>
    <w:rsid w:val="47E651A1"/>
    <w:rsid w:val="4820224D"/>
    <w:rsid w:val="49137B1B"/>
    <w:rsid w:val="49A90486"/>
    <w:rsid w:val="4ABF7A2E"/>
    <w:rsid w:val="4B0704B6"/>
    <w:rsid w:val="4B386D45"/>
    <w:rsid w:val="4B5132A6"/>
    <w:rsid w:val="4B524331"/>
    <w:rsid w:val="4B693428"/>
    <w:rsid w:val="4C6A38FC"/>
    <w:rsid w:val="4C7533AB"/>
    <w:rsid w:val="4C800A2A"/>
    <w:rsid w:val="4CD337E9"/>
    <w:rsid w:val="4CF03923"/>
    <w:rsid w:val="4DC30244"/>
    <w:rsid w:val="4EBB7C58"/>
    <w:rsid w:val="4F0564F1"/>
    <w:rsid w:val="50106568"/>
    <w:rsid w:val="501972E0"/>
    <w:rsid w:val="503B14CF"/>
    <w:rsid w:val="506015E4"/>
    <w:rsid w:val="524C30E6"/>
    <w:rsid w:val="52607EE4"/>
    <w:rsid w:val="54890F5A"/>
    <w:rsid w:val="55300172"/>
    <w:rsid w:val="553B7BF2"/>
    <w:rsid w:val="554967A4"/>
    <w:rsid w:val="55671AE9"/>
    <w:rsid w:val="559612BE"/>
    <w:rsid w:val="568B7EE3"/>
    <w:rsid w:val="578C0FB5"/>
    <w:rsid w:val="580C7B94"/>
    <w:rsid w:val="589C5214"/>
    <w:rsid w:val="589F66DB"/>
    <w:rsid w:val="58B11C11"/>
    <w:rsid w:val="58DF2F7C"/>
    <w:rsid w:val="599F73C0"/>
    <w:rsid w:val="59EE5101"/>
    <w:rsid w:val="5A0007E7"/>
    <w:rsid w:val="5A0F3C17"/>
    <w:rsid w:val="5A8C26D3"/>
    <w:rsid w:val="5AFC3F46"/>
    <w:rsid w:val="5B5D4FDD"/>
    <w:rsid w:val="5B7B7975"/>
    <w:rsid w:val="5CB13BA9"/>
    <w:rsid w:val="5D4D4958"/>
    <w:rsid w:val="5E19638D"/>
    <w:rsid w:val="5F2C67EF"/>
    <w:rsid w:val="5F373FBF"/>
    <w:rsid w:val="5FA559DE"/>
    <w:rsid w:val="5FB94E8F"/>
    <w:rsid w:val="5FC522A6"/>
    <w:rsid w:val="60520D36"/>
    <w:rsid w:val="60640398"/>
    <w:rsid w:val="60894CFD"/>
    <w:rsid w:val="60AD60FE"/>
    <w:rsid w:val="60AE671D"/>
    <w:rsid w:val="626266E7"/>
    <w:rsid w:val="62A87EE4"/>
    <w:rsid w:val="63051A3D"/>
    <w:rsid w:val="644454F5"/>
    <w:rsid w:val="65970E49"/>
    <w:rsid w:val="662305C2"/>
    <w:rsid w:val="678A0557"/>
    <w:rsid w:val="67FE6E91"/>
    <w:rsid w:val="68807A41"/>
    <w:rsid w:val="688E447B"/>
    <w:rsid w:val="68C07592"/>
    <w:rsid w:val="69191871"/>
    <w:rsid w:val="69A23E61"/>
    <w:rsid w:val="6A1C1709"/>
    <w:rsid w:val="6AC05DB9"/>
    <w:rsid w:val="6AE461D0"/>
    <w:rsid w:val="6B276B20"/>
    <w:rsid w:val="6CC664D5"/>
    <w:rsid w:val="6D170ADE"/>
    <w:rsid w:val="6D5F728E"/>
    <w:rsid w:val="6DB427D1"/>
    <w:rsid w:val="6EC71266"/>
    <w:rsid w:val="6EF230AA"/>
    <w:rsid w:val="6F25667C"/>
    <w:rsid w:val="6F547669"/>
    <w:rsid w:val="6FA34B0E"/>
    <w:rsid w:val="6FF9096F"/>
    <w:rsid w:val="701379DF"/>
    <w:rsid w:val="70A1532D"/>
    <w:rsid w:val="71442403"/>
    <w:rsid w:val="7263752C"/>
    <w:rsid w:val="72CC6B13"/>
    <w:rsid w:val="734A5B0A"/>
    <w:rsid w:val="73667E4A"/>
    <w:rsid w:val="73935206"/>
    <w:rsid w:val="752E5863"/>
    <w:rsid w:val="755F069C"/>
    <w:rsid w:val="75DF0A95"/>
    <w:rsid w:val="76E57DB2"/>
    <w:rsid w:val="77BE5CAD"/>
    <w:rsid w:val="77EB5041"/>
    <w:rsid w:val="78126A72"/>
    <w:rsid w:val="7828682C"/>
    <w:rsid w:val="787434C6"/>
    <w:rsid w:val="78D537E3"/>
    <w:rsid w:val="7981729A"/>
    <w:rsid w:val="7A8F6158"/>
    <w:rsid w:val="7B327CBF"/>
    <w:rsid w:val="7BD7640F"/>
    <w:rsid w:val="7D2F03B0"/>
    <w:rsid w:val="7E21356B"/>
    <w:rsid w:val="7E3A23B3"/>
    <w:rsid w:val="7F88D2BF"/>
    <w:rsid w:val="7FB977D3"/>
    <w:rsid w:val="7FEFB9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center" w:pos="4201"/>
        <w:tab w:val="right" w:leader="dot" w:pos="9298"/>
      </w:tabs>
      <w:autoSpaceDE w:val="0"/>
      <w:autoSpaceDN w:val="0"/>
      <w:ind w:firstLine="420" w:firstLineChars="200"/>
      <w:jc w:val="both"/>
    </w:pPr>
    <w:rPr>
      <w:rFonts w:cs="Times New Roman" w:asciiTheme="minorEastAsia" w:hAnsiTheme="minorEastAsia" w:eastAsiaTheme="minorEastAsia"/>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rFonts w:ascii="Times New Roman" w:hAnsi="Times New Roman"/>
      <w:b/>
      <w:kern w:val="44"/>
      <w:sz w:val="44"/>
    </w:rPr>
  </w:style>
  <w:style w:type="paragraph" w:styleId="3">
    <w:name w:val="heading 2"/>
    <w:basedOn w:val="1"/>
    <w:next w:val="1"/>
    <w:link w:val="6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51"/>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tabs>
        <w:tab w:val="left" w:pos="560"/>
        <w:tab w:val="left" w:pos="1120"/>
      </w:tabs>
      <w:spacing w:line="480" w:lineRule="atLeast"/>
      <w:ind w:firstLine="460"/>
    </w:pPr>
    <w:rPr>
      <w:rFonts w:ascii="Arial" w:hAnsi="Arial"/>
      <w:sz w:val="24"/>
      <w:szCs w:val="20"/>
    </w:rPr>
  </w:style>
  <w:style w:type="paragraph" w:styleId="7">
    <w:name w:val="toc 3"/>
    <w:basedOn w:val="1"/>
    <w:next w:val="1"/>
    <w:unhideWhenUsed/>
    <w:qFormat/>
    <w:uiPriority w:val="39"/>
    <w:pPr>
      <w:ind w:left="840" w:leftChars="400"/>
    </w:pPr>
  </w:style>
  <w:style w:type="paragraph" w:styleId="8">
    <w:name w:val="Plain Text"/>
    <w:basedOn w:val="1"/>
    <w:link w:val="63"/>
    <w:qFormat/>
    <w:uiPriority w:val="0"/>
    <w:rPr>
      <w:rFonts w:ascii="宋体" w:hAnsi="Courier New" w:cs="Courier New"/>
      <w:szCs w:val="21"/>
    </w:rPr>
  </w:style>
  <w:style w:type="paragraph" w:styleId="9">
    <w:name w:val="Date"/>
    <w:basedOn w:val="1"/>
    <w:next w:val="1"/>
    <w:link w:val="75"/>
    <w:qFormat/>
    <w:uiPriority w:val="0"/>
    <w:pPr>
      <w:ind w:left="100" w:leftChars="2500"/>
    </w:pPr>
  </w:style>
  <w:style w:type="paragraph" w:styleId="10">
    <w:name w:val="Balloon Text"/>
    <w:basedOn w:val="1"/>
    <w:link w:val="53"/>
    <w:qFormat/>
    <w:uiPriority w:val="0"/>
    <w:rPr>
      <w:sz w:val="18"/>
      <w:szCs w:val="18"/>
    </w:rPr>
  </w:style>
  <w:style w:type="paragraph" w:styleId="11">
    <w:name w:val="footer"/>
    <w:basedOn w:val="1"/>
    <w:link w:val="55"/>
    <w:qFormat/>
    <w:uiPriority w:val="99"/>
    <w:pPr>
      <w:tabs>
        <w:tab w:val="center" w:pos="4153"/>
        <w:tab w:val="right" w:pos="8306"/>
      </w:tabs>
      <w:snapToGrid w:val="0"/>
      <w:jc w:val="left"/>
    </w:pPr>
    <w:rPr>
      <w:sz w:val="18"/>
    </w:rPr>
  </w:style>
  <w:style w:type="paragraph" w:styleId="12">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Body Text Indent 3"/>
    <w:basedOn w:val="1"/>
    <w:qFormat/>
    <w:uiPriority w:val="0"/>
    <w:pPr>
      <w:spacing w:after="120"/>
      <w:ind w:left="420" w:leftChars="200"/>
    </w:pPr>
    <w:rPr>
      <w:sz w:val="16"/>
      <w:szCs w:val="16"/>
    </w:rPr>
  </w:style>
  <w:style w:type="paragraph" w:styleId="15">
    <w:name w:val="toc 2"/>
    <w:basedOn w:val="1"/>
    <w:next w:val="1"/>
    <w:unhideWhenUsed/>
    <w:qFormat/>
    <w:uiPriority w:val="39"/>
    <w:pPr>
      <w:ind w:left="420" w:leftChars="200"/>
    </w:pPr>
  </w:style>
  <w:style w:type="paragraph" w:styleId="16">
    <w:name w:val="Body Text 2"/>
    <w:basedOn w:val="1"/>
    <w:qFormat/>
    <w:uiPriority w:val="0"/>
    <w:rPr>
      <w:rFonts w:ascii="宋体"/>
      <w:sz w:val="18"/>
      <w:szCs w:val="20"/>
    </w:rPr>
  </w:style>
  <w:style w:type="paragraph" w:styleId="17">
    <w:name w:val="Title"/>
    <w:basedOn w:val="1"/>
    <w:next w:val="1"/>
    <w:link w:val="64"/>
    <w:qFormat/>
    <w:uiPriority w:val="0"/>
    <w:pPr>
      <w:spacing w:before="240" w:after="60"/>
      <w:jc w:val="center"/>
      <w:outlineLvl w:val="0"/>
    </w:pPr>
    <w:rPr>
      <w:rFonts w:ascii="Calibri Light" w:hAnsi="Calibri Light"/>
      <w:b/>
      <w:bCs/>
      <w:sz w:val="32"/>
      <w:szCs w:val="32"/>
    </w:rPr>
  </w:style>
  <w:style w:type="paragraph" w:styleId="18">
    <w:name w:val="annotation subject"/>
    <w:basedOn w:val="4"/>
    <w:next w:val="4"/>
    <w:link w:val="52"/>
    <w:qFormat/>
    <w:uiPriority w:val="0"/>
    <w:rPr>
      <w:b/>
      <w:bCs/>
    </w:rPr>
  </w:style>
  <w:style w:type="paragraph" w:styleId="19">
    <w:name w:val="Body Text First Indent"/>
    <w:basedOn w:val="5"/>
    <w:qFormat/>
    <w:uiPriority w:val="0"/>
    <w:pPr>
      <w:ind w:firstLine="100" w:firstLineChars="100"/>
    </w:p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Emphasis"/>
    <w:basedOn w:val="22"/>
    <w:qFormat/>
    <w:uiPriority w:val="20"/>
    <w:rPr>
      <w:i/>
      <w:iCs/>
    </w:rPr>
  </w:style>
  <w:style w:type="character" w:styleId="24">
    <w:name w:val="Hyperlink"/>
    <w:basedOn w:val="22"/>
    <w:unhideWhenUsed/>
    <w:qFormat/>
    <w:uiPriority w:val="99"/>
    <w:rPr>
      <w:color w:val="0000FF"/>
      <w:u w:val="single"/>
    </w:rPr>
  </w:style>
  <w:style w:type="character" w:styleId="25">
    <w:name w:val="annotation reference"/>
    <w:qFormat/>
    <w:uiPriority w:val="0"/>
    <w:rPr>
      <w:sz w:val="21"/>
      <w:szCs w:val="21"/>
    </w:rPr>
  </w:style>
  <w:style w:type="paragraph" w:customStyle="1" w:styleId="26">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2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2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9">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30">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3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szCs w:val="22"/>
      <w:lang w:val="en-US" w:eastAsia="zh-CN" w:bidi="ar-SA"/>
    </w:rPr>
  </w:style>
  <w:style w:type="paragraph" w:customStyle="1" w:styleId="32">
    <w:name w:val="封面标准英文名称"/>
    <w:basedOn w:val="31"/>
    <w:qFormat/>
    <w:uiPriority w:val="0"/>
    <w:pPr>
      <w:framePr w:wrap="around"/>
      <w:spacing w:before="370" w:line="400" w:lineRule="exact"/>
    </w:pPr>
    <w:rPr>
      <w:rFonts w:ascii="Times New Roman"/>
      <w:sz w:val="28"/>
      <w:szCs w:val="28"/>
    </w:rPr>
  </w:style>
  <w:style w:type="paragraph" w:customStyle="1" w:styleId="33">
    <w:name w:val="封面一致性程度标识"/>
    <w:basedOn w:val="32"/>
    <w:qFormat/>
    <w:uiPriority w:val="0"/>
    <w:pPr>
      <w:framePr w:wrap="around"/>
      <w:spacing w:before="440"/>
    </w:pPr>
    <w:rPr>
      <w:rFonts w:ascii="宋体" w:eastAsia="宋体"/>
    </w:rPr>
  </w:style>
  <w:style w:type="paragraph" w:customStyle="1" w:styleId="34">
    <w:name w:val="封面标准文稿类别"/>
    <w:basedOn w:val="33"/>
    <w:qFormat/>
    <w:uiPriority w:val="0"/>
    <w:pPr>
      <w:framePr w:wrap="around"/>
      <w:spacing w:after="160" w:line="240" w:lineRule="auto"/>
    </w:pPr>
    <w:rPr>
      <w:sz w:val="24"/>
    </w:rPr>
  </w:style>
  <w:style w:type="paragraph" w:customStyle="1" w:styleId="35">
    <w:name w:val="封面标准文稿编辑信息"/>
    <w:basedOn w:val="34"/>
    <w:qFormat/>
    <w:uiPriority w:val="0"/>
    <w:pPr>
      <w:framePr w:wrap="around"/>
      <w:spacing w:before="180" w:line="180" w:lineRule="exact"/>
    </w:pPr>
    <w:rPr>
      <w:sz w:val="21"/>
    </w:rPr>
  </w:style>
  <w:style w:type="paragraph" w:customStyle="1" w:styleId="36">
    <w:name w:val="其他发布日期"/>
    <w:basedOn w:val="37"/>
    <w:qFormat/>
    <w:uiPriority w:val="0"/>
    <w:pPr>
      <w:framePr w:wrap="around" w:vAnchor="page" w:hAnchor="text" w:x="1419"/>
    </w:pPr>
  </w:style>
  <w:style w:type="paragraph" w:customStyle="1" w:styleId="37">
    <w:name w:val="发布日期"/>
    <w:qFormat/>
    <w:uiPriority w:val="0"/>
    <w:pPr>
      <w:framePr w:w="3997" w:h="471" w:hRule="exact" w:vSpace="181" w:wrap="around" w:vAnchor="margin" w:hAnchor="page" w:x="7089" w:y="14097" w:anchorLock="1"/>
    </w:pPr>
    <w:rPr>
      <w:rFonts w:ascii="Calibri" w:hAnsi="Calibri" w:eastAsia="黑体" w:cs="Times New Roman"/>
      <w:sz w:val="28"/>
      <w:szCs w:val="22"/>
      <w:lang w:val="en-US" w:eastAsia="zh-CN" w:bidi="ar-SA"/>
    </w:rPr>
  </w:style>
  <w:style w:type="paragraph" w:customStyle="1" w:styleId="38">
    <w:name w:val="其他实施日期"/>
    <w:basedOn w:val="39"/>
    <w:qFormat/>
    <w:uiPriority w:val="0"/>
    <w:pPr>
      <w:framePr w:wrap="around"/>
    </w:pPr>
  </w:style>
  <w:style w:type="paragraph" w:customStyle="1" w:styleId="39">
    <w:name w:val="实施日期"/>
    <w:basedOn w:val="37"/>
    <w:qFormat/>
    <w:uiPriority w:val="0"/>
    <w:pPr>
      <w:framePr w:wrap="around" w:vAnchor="page" w:hAnchor="text"/>
      <w:jc w:val="right"/>
    </w:pPr>
  </w:style>
  <w:style w:type="paragraph" w:customStyle="1" w:styleId="40">
    <w:name w:val="其他发布部门"/>
    <w:basedOn w:val="41"/>
    <w:qFormat/>
    <w:uiPriority w:val="0"/>
    <w:pPr>
      <w:framePr w:wrap="around" w:y="15310"/>
      <w:spacing w:line="0" w:lineRule="atLeast"/>
    </w:pPr>
    <w:rPr>
      <w:rFonts w:ascii="黑体" w:eastAsia="黑体"/>
      <w:b w:val="0"/>
    </w:rPr>
  </w:style>
  <w:style w:type="paragraph" w:customStyle="1" w:styleId="41">
    <w:name w:val="发布部门"/>
    <w:next w:val="42"/>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szCs w:val="22"/>
      <w:lang w:val="en-US" w:eastAsia="zh-CN" w:bidi="ar-SA"/>
    </w:rPr>
  </w:style>
  <w:style w:type="paragraph" w:customStyle="1" w:styleId="42">
    <w:name w:val="段"/>
    <w:link w:val="50"/>
    <w:qFormat/>
    <w:uiPriority w:val="0"/>
    <w:pPr>
      <w:numPr>
        <w:ilvl w:val="1"/>
        <w:numId w:val="1"/>
      </w:numPr>
      <w:tabs>
        <w:tab w:val="center" w:pos="4201"/>
        <w:tab w:val="right" w:leader="dot" w:pos="9298"/>
      </w:tabs>
      <w:autoSpaceDE w:val="0"/>
      <w:autoSpaceDN w:val="0"/>
      <w:spacing w:before="156" w:beforeLines="50" w:after="156" w:afterLines="50"/>
      <w:jc w:val="both"/>
    </w:pPr>
    <w:rPr>
      <w:rFonts w:ascii="黑体" w:hAnsi="黑体" w:eastAsia="黑体" w:cs="Times New Roman"/>
      <w:sz w:val="21"/>
      <w:szCs w:val="22"/>
      <w:lang w:val="en-US" w:eastAsia="zh-CN" w:bidi="ar-SA"/>
    </w:rPr>
  </w:style>
  <w:style w:type="character" w:customStyle="1" w:styleId="43">
    <w:name w:val="发布"/>
    <w:qFormat/>
    <w:uiPriority w:val="0"/>
    <w:rPr>
      <w:rFonts w:ascii="黑体" w:eastAsia="黑体"/>
      <w:spacing w:val="85"/>
      <w:w w:val="100"/>
      <w:position w:val="3"/>
      <w:sz w:val="28"/>
      <w:szCs w:val="28"/>
    </w:rPr>
  </w:style>
  <w:style w:type="paragraph" w:customStyle="1" w:styleId="44">
    <w:name w:val="前言、引言标题"/>
    <w:next w:val="42"/>
    <w:qFormat/>
    <w:uiPriority w:val="0"/>
    <w:pPr>
      <w:keepNext/>
      <w:pageBreakBefore/>
      <w:shd w:val="clear" w:color="FFFFFF" w:fill="FFFFFF"/>
      <w:spacing w:before="640" w:after="560"/>
      <w:jc w:val="center"/>
      <w:outlineLvl w:val="0"/>
    </w:pPr>
    <w:rPr>
      <w:rFonts w:ascii="黑体" w:hAnsi="Calibri" w:eastAsia="黑体" w:cs="Times New Roman"/>
      <w:sz w:val="32"/>
      <w:szCs w:val="22"/>
      <w:lang w:val="en-US" w:eastAsia="zh-CN" w:bidi="ar-SA"/>
    </w:rPr>
  </w:style>
  <w:style w:type="paragraph" w:customStyle="1" w:styleId="45">
    <w:name w:val="目次、标准名称标题"/>
    <w:basedOn w:val="1"/>
    <w:next w:val="42"/>
    <w:qFormat/>
    <w:uiPriority w:val="0"/>
    <w:pPr>
      <w:keepNext/>
      <w:pageBreakBefore/>
      <w:shd w:val="clear" w:color="FFFFFF" w:fill="FFFFFF"/>
      <w:spacing w:before="640" w:after="560" w:line="460" w:lineRule="exact"/>
      <w:jc w:val="center"/>
      <w:outlineLvl w:val="0"/>
    </w:pPr>
    <w:rPr>
      <w:rFonts w:ascii="黑体" w:eastAsia="黑体"/>
      <w:sz w:val="32"/>
      <w:szCs w:val="20"/>
    </w:rPr>
  </w:style>
  <w:style w:type="paragraph" w:customStyle="1" w:styleId="46">
    <w:name w:val="章标题"/>
    <w:next w:val="42"/>
    <w:qFormat/>
    <w:uiPriority w:val="0"/>
    <w:pPr>
      <w:tabs>
        <w:tab w:val="left" w:pos="0"/>
      </w:tabs>
      <w:spacing w:beforeLines="100" w:afterLines="100"/>
      <w:jc w:val="both"/>
      <w:outlineLvl w:val="1"/>
    </w:pPr>
    <w:rPr>
      <w:rFonts w:ascii="黑体" w:hAnsi="Calibri" w:eastAsia="黑体" w:cs="Times New Roman"/>
      <w:sz w:val="21"/>
      <w:szCs w:val="22"/>
      <w:lang w:val="en-US" w:eastAsia="zh-CN" w:bidi="ar-SA"/>
    </w:rPr>
  </w:style>
  <w:style w:type="paragraph" w:customStyle="1" w:styleId="47">
    <w:name w:val="终结线"/>
    <w:basedOn w:val="1"/>
    <w:qFormat/>
    <w:uiPriority w:val="0"/>
    <w:pPr>
      <w:framePr w:hSpace="181" w:vSpace="181" w:wrap="around" w:vAnchor="text" w:hAnchor="margin" w:xAlign="center" w:y="285"/>
    </w:pPr>
  </w:style>
  <w:style w:type="character" w:customStyle="1" w:styleId="48">
    <w:name w:val="页眉 字符"/>
    <w:link w:val="12"/>
    <w:qFormat/>
    <w:uiPriority w:val="99"/>
    <w:rPr>
      <w:kern w:val="2"/>
      <w:sz w:val="18"/>
      <w:szCs w:val="18"/>
    </w:rPr>
  </w:style>
  <w:style w:type="paragraph" w:customStyle="1" w:styleId="49">
    <w:name w:val="修订1"/>
    <w:hidden/>
    <w:unhideWhenUsed/>
    <w:qFormat/>
    <w:uiPriority w:val="99"/>
    <w:rPr>
      <w:rFonts w:ascii="Calibri" w:hAnsi="Calibri" w:eastAsia="宋体" w:cs="Times New Roman"/>
      <w:kern w:val="2"/>
      <w:sz w:val="21"/>
      <w:szCs w:val="24"/>
      <w:lang w:val="en-US" w:eastAsia="zh-CN" w:bidi="ar-SA"/>
    </w:rPr>
  </w:style>
  <w:style w:type="character" w:customStyle="1" w:styleId="50">
    <w:name w:val="段 Char"/>
    <w:link w:val="42"/>
    <w:qFormat/>
    <w:uiPriority w:val="0"/>
    <w:rPr>
      <w:rFonts w:ascii="黑体" w:hAnsi="黑体" w:eastAsia="黑体"/>
      <w:sz w:val="21"/>
      <w:szCs w:val="22"/>
    </w:rPr>
  </w:style>
  <w:style w:type="character" w:customStyle="1" w:styleId="51">
    <w:name w:val="批注文字 字符"/>
    <w:link w:val="4"/>
    <w:qFormat/>
    <w:uiPriority w:val="0"/>
    <w:rPr>
      <w:kern w:val="2"/>
      <w:sz w:val="21"/>
      <w:szCs w:val="24"/>
    </w:rPr>
  </w:style>
  <w:style w:type="character" w:customStyle="1" w:styleId="52">
    <w:name w:val="批注主题 字符"/>
    <w:link w:val="18"/>
    <w:qFormat/>
    <w:uiPriority w:val="0"/>
    <w:rPr>
      <w:b/>
      <w:bCs/>
      <w:kern w:val="2"/>
      <w:sz w:val="21"/>
      <w:szCs w:val="24"/>
    </w:rPr>
  </w:style>
  <w:style w:type="character" w:customStyle="1" w:styleId="53">
    <w:name w:val="批注框文本 字符"/>
    <w:link w:val="10"/>
    <w:qFormat/>
    <w:uiPriority w:val="0"/>
    <w:rPr>
      <w:kern w:val="2"/>
      <w:sz w:val="18"/>
      <w:szCs w:val="18"/>
    </w:rPr>
  </w:style>
  <w:style w:type="paragraph" w:styleId="54">
    <w:name w:val="List Paragraph"/>
    <w:basedOn w:val="1"/>
    <w:qFormat/>
    <w:uiPriority w:val="99"/>
  </w:style>
  <w:style w:type="character" w:customStyle="1" w:styleId="55">
    <w:name w:val="页脚 字符"/>
    <w:link w:val="11"/>
    <w:qFormat/>
    <w:uiPriority w:val="99"/>
    <w:rPr>
      <w:rFonts w:ascii="Calibri" w:hAnsi="Calibri" w:eastAsia="宋体" w:cs="Times New Roman"/>
      <w:kern w:val="2"/>
      <w:sz w:val="18"/>
      <w:szCs w:val="24"/>
    </w:rPr>
  </w:style>
  <w:style w:type="paragraph" w:customStyle="1" w:styleId="56">
    <w:name w:val="一级条标题"/>
    <w:next w:val="42"/>
    <w:qFormat/>
    <w:uiPriority w:val="0"/>
    <w:pPr>
      <w:spacing w:beforeLines="50" w:afterLines="50"/>
      <w:ind w:left="142"/>
      <w:outlineLvl w:val="2"/>
    </w:pPr>
    <w:rPr>
      <w:rFonts w:ascii="黑体" w:hAnsi="Times New Roman" w:eastAsia="黑体" w:cs="Times New Roman"/>
      <w:sz w:val="21"/>
      <w:szCs w:val="21"/>
      <w:lang w:val="en-US" w:eastAsia="zh-CN" w:bidi="ar-SA"/>
    </w:rPr>
  </w:style>
  <w:style w:type="paragraph" w:customStyle="1" w:styleId="5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9">
    <w:name w:val="二级条标题"/>
    <w:basedOn w:val="56"/>
    <w:next w:val="42"/>
    <w:qFormat/>
    <w:uiPriority w:val="0"/>
    <w:pPr>
      <w:spacing w:before="50" w:after="50"/>
      <w:ind w:left="0"/>
      <w:outlineLvl w:val="3"/>
    </w:pPr>
  </w:style>
  <w:style w:type="paragraph" w:customStyle="1" w:styleId="60">
    <w:name w:val="三级条标题"/>
    <w:basedOn w:val="59"/>
    <w:next w:val="42"/>
    <w:qFormat/>
    <w:uiPriority w:val="0"/>
    <w:pPr>
      <w:ind w:left="1134"/>
      <w:outlineLvl w:val="4"/>
    </w:pPr>
  </w:style>
  <w:style w:type="paragraph" w:customStyle="1" w:styleId="61">
    <w:name w:val="四级条标题"/>
    <w:basedOn w:val="60"/>
    <w:next w:val="42"/>
    <w:qFormat/>
    <w:uiPriority w:val="0"/>
    <w:pPr>
      <w:ind w:left="0"/>
      <w:outlineLvl w:val="5"/>
    </w:pPr>
  </w:style>
  <w:style w:type="paragraph" w:customStyle="1" w:styleId="62">
    <w:name w:val="五级条标题"/>
    <w:basedOn w:val="61"/>
    <w:next w:val="42"/>
    <w:qFormat/>
    <w:uiPriority w:val="0"/>
    <w:pPr>
      <w:outlineLvl w:val="6"/>
    </w:pPr>
  </w:style>
  <w:style w:type="character" w:customStyle="1" w:styleId="63">
    <w:name w:val="纯文本 字符"/>
    <w:link w:val="8"/>
    <w:qFormat/>
    <w:uiPriority w:val="0"/>
    <w:rPr>
      <w:rFonts w:ascii="宋体" w:hAnsi="Courier New" w:eastAsia="宋体" w:cs="Courier New"/>
      <w:kern w:val="2"/>
      <w:sz w:val="21"/>
      <w:szCs w:val="21"/>
    </w:rPr>
  </w:style>
  <w:style w:type="character" w:customStyle="1" w:styleId="64">
    <w:name w:val="标题 字符"/>
    <w:link w:val="17"/>
    <w:qFormat/>
    <w:uiPriority w:val="0"/>
    <w:rPr>
      <w:rFonts w:ascii="Calibri Light" w:hAnsi="Calibri Light" w:cs="Times New Roman"/>
      <w:b/>
      <w:bCs/>
      <w:kern w:val="2"/>
      <w:sz w:val="32"/>
      <w:szCs w:val="32"/>
    </w:rPr>
  </w:style>
  <w:style w:type="character" w:styleId="65">
    <w:name w:val="Placeholder Text"/>
    <w:basedOn w:val="22"/>
    <w:semiHidden/>
    <w:qFormat/>
    <w:uiPriority w:val="99"/>
    <w:rPr>
      <w:color w:val="808080"/>
    </w:rPr>
  </w:style>
  <w:style w:type="paragraph" w:customStyle="1" w:styleId="66">
    <w:name w:val="TOC 标题1"/>
    <w:basedOn w:val="2"/>
    <w:next w:val="1"/>
    <w:unhideWhenUsed/>
    <w:qFormat/>
    <w:uiPriority w:val="39"/>
    <w:pPr>
      <w:spacing w:before="240" w:after="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paragraph" w:customStyle="1" w:styleId="67">
    <w:name w:val="章"/>
    <w:basedOn w:val="1"/>
    <w:next w:val="42"/>
    <w:qFormat/>
    <w:uiPriority w:val="0"/>
    <w:pPr>
      <w:numPr>
        <w:ilvl w:val="0"/>
        <w:numId w:val="2"/>
      </w:numPr>
      <w:adjustRightInd w:val="0"/>
      <w:spacing w:before="156" w:beforeLines="50" w:after="156" w:afterLines="50"/>
      <w:ind w:left="0"/>
      <w:jc w:val="center"/>
      <w:outlineLvl w:val="0"/>
    </w:pPr>
    <w:rPr>
      <w:b/>
      <w:kern w:val="21"/>
      <w:sz w:val="32"/>
      <w:szCs w:val="32"/>
    </w:rPr>
  </w:style>
  <w:style w:type="character" w:customStyle="1" w:styleId="68">
    <w:name w:val="标题 2 字符"/>
    <w:basedOn w:val="22"/>
    <w:link w:val="3"/>
    <w:qFormat/>
    <w:uiPriority w:val="0"/>
    <w:rPr>
      <w:rFonts w:asciiTheme="majorHAnsi" w:hAnsiTheme="majorHAnsi" w:eastAsiaTheme="majorEastAsia" w:cstheme="majorBidi"/>
      <w:b/>
      <w:bCs/>
      <w:kern w:val="2"/>
      <w:sz w:val="32"/>
      <w:szCs w:val="32"/>
    </w:rPr>
  </w:style>
  <w:style w:type="paragraph" w:customStyle="1" w:styleId="69">
    <w:name w:val="附录A列表"/>
    <w:basedOn w:val="1"/>
    <w:qFormat/>
    <w:uiPriority w:val="0"/>
    <w:pPr>
      <w:keepNext/>
      <w:spacing w:line="300" w:lineRule="auto"/>
      <w:jc w:val="center"/>
    </w:pPr>
  </w:style>
  <w:style w:type="paragraph" w:customStyle="1" w:styleId="70">
    <w:name w:val="xl26"/>
    <w:basedOn w:val="1"/>
    <w:qFormat/>
    <w:uiPriority w:val="0"/>
    <w:pPr>
      <w:pBdr>
        <w:bottom w:val="single" w:color="auto" w:sz="4" w:space="0"/>
        <w:right w:val="single" w:color="auto" w:sz="4" w:space="0"/>
      </w:pBdr>
      <w:spacing w:before="100" w:beforeAutospacing="1" w:after="100" w:afterAutospacing="1"/>
      <w:jc w:val="center"/>
      <w:textAlignment w:val="center"/>
    </w:pPr>
    <w:rPr>
      <w:szCs w:val="21"/>
    </w:rPr>
  </w:style>
  <w:style w:type="paragraph" w:customStyle="1" w:styleId="71">
    <w:name w:val="正文1"/>
    <w:qFormat/>
    <w:uiPriority w:val="0"/>
    <w:pPr>
      <w:spacing w:line="360" w:lineRule="auto"/>
      <w:ind w:firstLine="200" w:firstLineChars="200"/>
    </w:pPr>
    <w:rPr>
      <w:rFonts w:ascii="Calibri" w:hAnsi="Calibri" w:eastAsia="宋体" w:cs="Times New Roman"/>
      <w:sz w:val="24"/>
      <w:lang w:val="en-US" w:eastAsia="zh-CN" w:bidi="ar-SA"/>
    </w:rPr>
  </w:style>
  <w:style w:type="paragraph" w:customStyle="1" w:styleId="72">
    <w:name w:val="Char1"/>
    <w:basedOn w:val="1"/>
    <w:qFormat/>
    <w:uiPriority w:val="0"/>
    <w:pPr>
      <w:spacing w:before="78" w:beforeLines="25" w:after="78" w:afterLines="25" w:line="360" w:lineRule="auto"/>
      <w:jc w:val="left"/>
    </w:pPr>
    <w:rPr>
      <w:rFonts w:ascii="宋体" w:hAnsi="宋体" w:cs="宋体"/>
      <w:bCs/>
      <w:sz w:val="24"/>
    </w:rPr>
  </w:style>
  <w:style w:type="table" w:customStyle="1" w:styleId="73">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paragraph" w:customStyle="1" w:styleId="74">
    <w:name w:val="TOC 标题2"/>
    <w:basedOn w:val="2"/>
    <w:next w:val="1"/>
    <w:unhideWhenUsed/>
    <w:qFormat/>
    <w:uiPriority w:val="39"/>
    <w:pPr>
      <w:tabs>
        <w:tab w:val="clear" w:pos="4201"/>
        <w:tab w:val="clear" w:pos="9298"/>
      </w:tabs>
      <w:autoSpaceDE/>
      <w:autoSpaceDN/>
      <w:spacing w:before="240" w:after="0" w:line="259" w:lineRule="auto"/>
      <w:ind w:firstLine="0" w:firstLineChars="0"/>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75">
    <w:name w:val="日期 字符"/>
    <w:basedOn w:val="22"/>
    <w:link w:val="9"/>
    <w:qFormat/>
    <w:uiPriority w:val="0"/>
    <w:rPr>
      <w:rFonts w:asciiTheme="minorEastAsia" w:hAnsiTheme="minorEastAsia" w:eastAsiaTheme="minorEastAsia"/>
      <w:sz w:val="21"/>
      <w:szCs w:val="22"/>
    </w:rPr>
  </w:style>
  <w:style w:type="paragraph" w:customStyle="1" w:styleId="76">
    <w:name w:val="一级无"/>
    <w:basedOn w:val="56"/>
    <w:qFormat/>
    <w:uiPriority w:val="0"/>
    <w:pPr>
      <w:spacing w:beforeLines="0" w:afterLines="0"/>
    </w:pPr>
    <w:rPr>
      <w:rFonts w:ascii="宋体" w:eastAsia="宋体"/>
    </w:rPr>
  </w:style>
  <w:style w:type="paragraph" w:customStyle="1" w:styleId="77">
    <w:name w:val="二级无"/>
    <w:basedOn w:val="59"/>
    <w:qFormat/>
    <w:uiPriority w:val="0"/>
    <w:pPr>
      <w:spacing w:before="0" w:beforeLines="0" w:after="0" w:afterLines="0"/>
    </w:pPr>
    <w:rPr>
      <w:rFonts w:ascii="宋体" w:eastAsia="宋体"/>
    </w:rPr>
  </w:style>
  <w:style w:type="paragraph" w:customStyle="1" w:styleId="78">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79">
    <w:name w:val="字母编号列项（一级）"/>
    <w:qFormat/>
    <w:uiPriority w:val="0"/>
    <w:pPr>
      <w:numPr>
        <w:ilvl w:val="0"/>
        <w:numId w:val="4"/>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E421BE-BF48-44D9-BAA3-8C1D04BBD316}">
  <ds:schemaRefs/>
</ds:datastoreItem>
</file>

<file path=docProps/app.xml><?xml version="1.0" encoding="utf-8"?>
<Properties xmlns="http://schemas.openxmlformats.org/officeDocument/2006/extended-properties" xmlns:vt="http://schemas.openxmlformats.org/officeDocument/2006/docPropsVTypes">
  <Template>Normal</Template>
  <Pages>8</Pages>
  <Words>4104</Words>
  <Characters>4509</Characters>
  <Lines>134</Lines>
  <Paragraphs>168</Paragraphs>
  <TotalTime>7</TotalTime>
  <ScaleCrop>false</ScaleCrop>
  <LinksUpToDate>false</LinksUpToDate>
  <CharactersWithSpaces>4594</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2022-06-16T22:02:00Z</dcterms:created>
  <dc:creator>梵高先生 </dc:creator>
  <cp:lastModifiedBy>白乙含</cp:lastModifiedBy>
  <cp:lastPrinted>2022-05-11T19:12:00Z</cp:lastPrinted>
  <dcterms:modified xsi:type="dcterms:W3CDTF">2025-09-12T14:54:09Z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D50571A83822421AAC2F9D6D247BE5B3</vt:lpwstr>
  </property>
  <property fmtid="{D5CDD505-2E9C-101B-9397-08002B2CF9AE}" pid="4" name="KSOTemplateDocerSaveRecord">
    <vt:lpwstr>eyJoZGlkIjoiOTRiM2JjOWQ5YmIxM2NmNzA2YjMyNDliMzczNjFhNWMiLCJ1c2VySWQiOiIxNDQ3NzcxMDQ5In0=</vt:lpwstr>
  </property>
</Properties>
</file>