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2"/>
        <w:framePr w:w="0" w:hRule="auto" w:wrap="auto" w:vAnchor="margin" w:hAnchor="text" w:xAlign="left" w:yAlign="inline"/>
        <w:spacing w:line="360" w:lineRule="auto"/>
        <w:jc w:val="both"/>
      </w:pPr>
    </w:p>
    <w:p>
      <w:pPr>
        <w:pStyle w:val="12"/>
        <w:framePr w:w="0" w:hRule="auto" w:wrap="auto" w:vAnchor="margin" w:hAnchor="text" w:xAlign="left" w:yAlign="inline"/>
        <w:spacing w:line="360" w:lineRule="auto"/>
        <w:jc w:val="both"/>
      </w:pPr>
    </w:p>
    <w:p>
      <w:pPr>
        <w:widowControl/>
        <w:ind w:firstLine="420"/>
        <w:jc w:val="left"/>
        <w:rPr>
          <w:rFonts w:ascii="Arial" w:hAnsi="Arial" w:cs="Arial"/>
          <w:kern w:val="0"/>
        </w:rPr>
      </w:pPr>
    </w:p>
    <w:p>
      <w:pPr>
        <w:pStyle w:val="12"/>
        <w:framePr w:w="0" w:hRule="auto" w:wrap="auto" w:vAnchor="margin" w:hAnchor="text" w:xAlign="left" w:yAlign="inline"/>
        <w:spacing w:line="360" w:lineRule="auto"/>
        <w:rPr>
          <w:rFonts w:hint="eastAsia" w:hAnsi="黑体"/>
          <w:szCs w:val="52"/>
        </w:rPr>
      </w:pPr>
      <w:r>
        <w:rPr>
          <w:rFonts w:hint="eastAsia" w:hAnsi="黑体"/>
          <w:szCs w:val="52"/>
        </w:rPr>
        <w:t>《墙体饰面砂浆应用技术规范》</w:t>
      </w:r>
    </w:p>
    <w:p>
      <w:pPr>
        <w:ind w:firstLine="0" w:firstLineChars="0"/>
        <w:jc w:val="center"/>
        <w:rPr>
          <w:sz w:val="24"/>
        </w:rPr>
      </w:pPr>
      <w:r>
        <w:rPr>
          <w:rFonts w:hint="eastAsia" w:eastAsia="Songti SC"/>
          <w:kern w:val="0"/>
          <w:sz w:val="24"/>
        </w:rPr>
        <w:t>Technical specification for application of decorative render and plaster for wall</w:t>
      </w:r>
    </w:p>
    <w:p>
      <w:pPr>
        <w:ind w:firstLine="0" w:firstLineChars="0"/>
        <w:jc w:val="center"/>
        <w:rPr>
          <w:sz w:val="24"/>
        </w:rPr>
      </w:pPr>
    </w:p>
    <w:p>
      <w:pPr>
        <w:ind w:firstLine="0" w:firstLineChars="0"/>
        <w:jc w:val="center"/>
        <w:rPr>
          <w:rFonts w:hint="eastAsia" w:ascii="黑体" w:hAnsi="黑体" w:eastAsia="黑体"/>
          <w:sz w:val="28"/>
          <w:szCs w:val="28"/>
        </w:rPr>
      </w:pPr>
      <w:r>
        <w:rPr>
          <w:rFonts w:ascii="黑体" w:hAnsi="黑体" w:eastAsia="黑体"/>
          <w:sz w:val="28"/>
          <w:szCs w:val="28"/>
        </w:rPr>
        <w:t>JC/T XXXX-20XX</w:t>
      </w:r>
    </w:p>
    <w:p>
      <w:pPr>
        <w:ind w:firstLine="560"/>
        <w:jc w:val="center"/>
        <w:rPr>
          <w:rFonts w:hint="eastAsia" w:ascii="黑体" w:hAnsi="黑体" w:eastAsia="黑体"/>
          <w:sz w:val="28"/>
          <w:szCs w:val="28"/>
        </w:rPr>
      </w:pPr>
    </w:p>
    <w:p>
      <w:pPr>
        <w:ind w:firstLine="560"/>
        <w:jc w:val="center"/>
        <w:rPr>
          <w:rFonts w:hint="eastAsia" w:ascii="黑体" w:hAnsi="黑体" w:eastAsia="黑体"/>
          <w:sz w:val="28"/>
          <w:szCs w:val="28"/>
        </w:rPr>
      </w:pPr>
    </w:p>
    <w:p>
      <w:pPr>
        <w:ind w:firstLine="0" w:firstLineChars="0"/>
        <w:jc w:val="center"/>
        <w:rPr>
          <w:rFonts w:hint="eastAsia" w:ascii="黑体" w:hAnsi="黑体" w:eastAsia="黑体"/>
          <w:sz w:val="52"/>
          <w:szCs w:val="52"/>
        </w:rPr>
      </w:pPr>
      <w:r>
        <w:rPr>
          <w:rFonts w:hint="eastAsia" w:ascii="黑体" w:hAnsi="黑体" w:eastAsia="黑体"/>
          <w:sz w:val="52"/>
          <w:szCs w:val="52"/>
        </w:rPr>
        <w:t>编制说明</w:t>
      </w:r>
      <w:r>
        <w:rPr>
          <w:rFonts w:hint="eastAsia" w:ascii="黑体" w:hAnsi="黑体" w:eastAsia="黑体"/>
          <w:sz w:val="52"/>
          <w:szCs w:val="52"/>
        </w:rPr>
        <w:br w:type="textWrapping"/>
      </w:r>
      <w:r>
        <w:rPr>
          <w:rFonts w:hint="eastAsia" w:ascii="黑体" w:hAnsi="黑体" w:eastAsia="黑体"/>
          <w:sz w:val="52"/>
          <w:szCs w:val="52"/>
        </w:rPr>
        <w:t>（征求意见稿）</w:t>
      </w:r>
    </w:p>
    <w:p>
      <w:pPr>
        <w:ind w:firstLine="0" w:firstLineChars="0"/>
        <w:rPr>
          <w:sz w:val="52"/>
          <w:szCs w:val="52"/>
        </w:rPr>
      </w:pPr>
    </w:p>
    <w:p>
      <w:pPr>
        <w:ind w:firstLine="0" w:firstLineChars="0"/>
        <w:rPr>
          <w:sz w:val="52"/>
          <w:szCs w:val="52"/>
        </w:rPr>
      </w:pPr>
    </w:p>
    <w:p>
      <w:pPr>
        <w:ind w:firstLine="0" w:firstLineChars="0"/>
        <w:rPr>
          <w:sz w:val="52"/>
          <w:szCs w:val="52"/>
        </w:rPr>
      </w:pPr>
    </w:p>
    <w:p>
      <w:pPr>
        <w:ind w:firstLine="0" w:firstLineChars="0"/>
        <w:rPr>
          <w:sz w:val="52"/>
          <w:szCs w:val="52"/>
        </w:rPr>
      </w:pPr>
    </w:p>
    <w:p>
      <w:pPr>
        <w:jc w:val="center"/>
        <w:rPr>
          <w:sz w:val="52"/>
          <w:szCs w:val="52"/>
        </w:rPr>
      </w:pPr>
    </w:p>
    <w:p>
      <w:pPr>
        <w:jc w:val="center"/>
        <w:rPr>
          <w:sz w:val="52"/>
          <w:szCs w:val="52"/>
        </w:rPr>
      </w:pPr>
    </w:p>
    <w:p>
      <w:pPr>
        <w:pStyle w:val="12"/>
        <w:framePr w:w="0" w:hRule="auto" w:wrap="auto" w:vAnchor="margin" w:hAnchor="text" w:xAlign="left" w:yAlign="inline"/>
        <w:spacing w:line="360" w:lineRule="auto"/>
        <w:rPr>
          <w:rFonts w:hint="eastAsia" w:hAnsi="黑体"/>
          <w:sz w:val="32"/>
          <w:szCs w:val="32"/>
        </w:rPr>
      </w:pPr>
      <w:r>
        <w:rPr>
          <w:rFonts w:hint="eastAsia" w:hAnsi="黑体"/>
          <w:sz w:val="32"/>
          <w:szCs w:val="32"/>
        </w:rPr>
        <w:t>《墙体饰面砂浆应用技术规范》标准编制组</w:t>
      </w:r>
    </w:p>
    <w:p>
      <w:pPr>
        <w:pStyle w:val="12"/>
        <w:framePr w:w="0" w:hRule="auto" w:wrap="auto" w:vAnchor="margin" w:hAnchor="text" w:xAlign="left" w:yAlign="inline"/>
        <w:spacing w:line="360" w:lineRule="auto"/>
        <w:rPr>
          <w:rFonts w:hint="eastAsia" w:hAnsi="黑体"/>
          <w:sz w:val="32"/>
          <w:szCs w:val="32"/>
        </w:rPr>
      </w:pPr>
      <w:r>
        <w:rPr>
          <w:rFonts w:hint="eastAsia" w:hAnsi="黑体"/>
          <w:sz w:val="32"/>
          <w:szCs w:val="32"/>
        </w:rPr>
        <w:t>2025年10月</w:t>
      </w:r>
    </w:p>
    <w:p>
      <w:pPr>
        <w:tabs>
          <w:tab w:val="center" w:pos="4363"/>
        </w:tabs>
        <w:ind w:firstLine="420"/>
        <w:jc w:val="center"/>
        <w:rPr>
          <w:rFonts w:hint="eastAsia" w:ascii="Songti SC" w:hAnsi="Songti SC" w:eastAsia="Songti SC"/>
          <w:b/>
          <w:bCs/>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p>
    <w:p>
      <w:pPr>
        <w:tabs>
          <w:tab w:val="center" w:pos="4363"/>
        </w:tabs>
        <w:ind w:firstLine="562"/>
        <w:jc w:val="center"/>
        <w:rPr>
          <w:rFonts w:hint="eastAsia" w:ascii="宋体" w:hAnsi="宋体"/>
          <w:b/>
          <w:bCs/>
          <w:sz w:val="28"/>
          <w:szCs w:val="36"/>
        </w:rPr>
      </w:pPr>
      <w:r>
        <w:rPr>
          <w:rFonts w:hint="eastAsia" w:ascii="宋体" w:hAnsi="宋体"/>
          <w:b/>
          <w:bCs/>
          <w:sz w:val="28"/>
          <w:szCs w:val="36"/>
        </w:rPr>
        <w:t>目  录</w:t>
      </w:r>
    </w:p>
    <w:p>
      <w:pPr>
        <w:pStyle w:val="7"/>
        <w:tabs>
          <w:tab w:val="right" w:leader="dot" w:pos="8296"/>
        </w:tabs>
        <w:ind w:firstLine="420"/>
        <w:rPr>
          <w:rFonts w:hint="eastAsia" w:asciiTheme="minorHAnsi" w:hAnsiTheme="minorHAnsi" w:eastAsiaTheme="minorEastAsia" w:cstheme="minorBidi"/>
          <w:sz w:val="22"/>
          <w14:ligatures w14:val="standardContextual"/>
        </w:rPr>
      </w:pPr>
      <w:r>
        <w:rPr>
          <w:rFonts w:hint="eastAsia" w:ascii="Songti SC" w:hAnsi="Songti SC" w:eastAsia="Songti SC"/>
          <w:b/>
          <w:bCs/>
        </w:rPr>
        <w:fldChar w:fldCharType="begin"/>
      </w:r>
      <w:r>
        <w:rPr>
          <w:rFonts w:hint="eastAsia" w:ascii="Songti SC" w:hAnsi="Songti SC" w:eastAsia="Songti SC"/>
          <w:b/>
          <w:bCs/>
        </w:rPr>
        <w:instrText xml:space="preserve"> TOC \o "1-2" \h \z \u </w:instrText>
      </w:r>
      <w:r>
        <w:rPr>
          <w:rFonts w:hint="eastAsia" w:ascii="Songti SC" w:hAnsi="Songti SC" w:eastAsia="Songti SC"/>
          <w:b/>
          <w:bCs/>
        </w:rPr>
        <w:fldChar w:fldCharType="separate"/>
      </w:r>
      <w:r>
        <w:fldChar w:fldCharType="begin"/>
      </w:r>
      <w:r>
        <w:instrText xml:space="preserve"> HYPERLINK \l "_Toc211331655" </w:instrText>
      </w:r>
      <w:r>
        <w:fldChar w:fldCharType="separate"/>
      </w:r>
      <w:r>
        <w:rPr>
          <w:rStyle w:val="11"/>
          <w:rFonts w:hint="eastAsia"/>
          <w:kern w:val="0"/>
        </w:rPr>
        <w:t>1 工作简况</w:t>
      </w:r>
      <w:r>
        <w:rPr>
          <w:rFonts w:hint="eastAsia"/>
        </w:rPr>
        <w:tab/>
      </w:r>
      <w:r>
        <w:rPr>
          <w:rFonts w:hint="eastAsia"/>
        </w:rPr>
        <w:fldChar w:fldCharType="begin"/>
      </w:r>
      <w:r>
        <w:rPr>
          <w:rFonts w:hint="eastAsia"/>
        </w:rPr>
        <w:instrText xml:space="preserve"> </w:instrText>
      </w:r>
      <w:r>
        <w:instrText xml:space="preserve">PAGEREF _Toc211331655 \h</w:instrText>
      </w:r>
      <w:r>
        <w:rPr>
          <w:rFonts w:hint="eastAsia"/>
        </w:rPr>
        <w:instrText xml:space="preserve"> </w:instrText>
      </w:r>
      <w:r>
        <w:rPr>
          <w:rFonts w:hint="eastAsia"/>
        </w:rPr>
        <w:fldChar w:fldCharType="separate"/>
      </w:r>
      <w:r>
        <w:t>3</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"_Toc211331656" </w:instrText>
      </w:r>
      <w:r>
        <w:fldChar w:fldCharType="separate"/>
      </w:r>
      <w:r>
        <w:rPr>
          <w:rStyle w:val="11"/>
          <w:rFonts w:hint="eastAsia" w:ascii="Cambria" w:hAnsi="宋体"/>
          <w:kern w:val="0"/>
        </w:rPr>
        <w:t>1.1任务来源</w:t>
      </w:r>
      <w:r>
        <w:rPr>
          <w:rFonts w:hint="eastAsia"/>
        </w:rPr>
        <w:tab/>
      </w:r>
      <w:r>
        <w:rPr>
          <w:rFonts w:hint="eastAsia"/>
        </w:rPr>
        <w:fldChar w:fldCharType="begin"/>
      </w:r>
      <w:r>
        <w:rPr>
          <w:rFonts w:hint="eastAsia"/>
        </w:rPr>
        <w:instrText xml:space="preserve"> </w:instrText>
      </w:r>
      <w:r>
        <w:instrText xml:space="preserve">PAGEREF _Toc211331656 \h</w:instrText>
      </w:r>
      <w:r>
        <w:rPr>
          <w:rFonts w:hint="eastAsia"/>
        </w:rPr>
        <w:instrText xml:space="preserve"> </w:instrText>
      </w:r>
      <w:r>
        <w:rPr>
          <w:rFonts w:hint="eastAsia"/>
        </w:rPr>
        <w:fldChar w:fldCharType="separate"/>
      </w:r>
      <w:r>
        <w:t>3</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"_Toc211331657" </w:instrText>
      </w:r>
      <w:r>
        <w:fldChar w:fldCharType="separate"/>
      </w:r>
      <w:r>
        <w:rPr>
          <w:rStyle w:val="11"/>
          <w:rFonts w:hint="eastAsia" w:ascii="Cambria" w:hAnsi="宋体"/>
          <w:kern w:val="0"/>
        </w:rPr>
        <w:t>1.2 主要工作过程</w:t>
      </w:r>
      <w:r>
        <w:rPr>
          <w:rFonts w:hint="eastAsia"/>
        </w:rPr>
        <w:tab/>
      </w:r>
      <w:r>
        <w:rPr>
          <w:rFonts w:hint="eastAsia"/>
        </w:rPr>
        <w:fldChar w:fldCharType="begin"/>
      </w:r>
      <w:r>
        <w:rPr>
          <w:rFonts w:hint="eastAsia"/>
        </w:rPr>
        <w:instrText xml:space="preserve"> </w:instrText>
      </w:r>
      <w:r>
        <w:instrText xml:space="preserve">PAGEREF _Toc211331657 \h</w:instrText>
      </w:r>
      <w:r>
        <w:rPr>
          <w:rFonts w:hint="eastAsia"/>
        </w:rPr>
        <w:instrText xml:space="preserve"> </w:instrText>
      </w:r>
      <w:r>
        <w:rPr>
          <w:rFonts w:hint="eastAsia"/>
        </w:rPr>
        <w:fldChar w:fldCharType="separate"/>
      </w:r>
      <w:r>
        <w:t>4</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"_Toc211331658" </w:instrText>
      </w:r>
      <w:r>
        <w:fldChar w:fldCharType="separate"/>
      </w:r>
      <w:r>
        <w:rPr>
          <w:rStyle w:val="11"/>
          <w:rFonts w:hint="eastAsia" w:ascii="Cambria" w:hAnsi="宋体"/>
          <w:kern w:val="0"/>
        </w:rPr>
        <w:t>1.3 主要参加单位及工作组成员及其所做工作</w:t>
      </w:r>
      <w:r>
        <w:rPr>
          <w:rFonts w:hint="eastAsia"/>
        </w:rPr>
        <w:tab/>
      </w:r>
      <w:r>
        <w:rPr>
          <w:rFonts w:hint="eastAsia"/>
        </w:rPr>
        <w:fldChar w:fldCharType="begin"/>
      </w:r>
      <w:r>
        <w:rPr>
          <w:rFonts w:hint="eastAsia"/>
        </w:rPr>
        <w:instrText xml:space="preserve"> </w:instrText>
      </w:r>
      <w:r>
        <w:instrText xml:space="preserve">PAGEREF _Toc211331658 \h</w:instrText>
      </w:r>
      <w:r>
        <w:rPr>
          <w:rFonts w:hint="eastAsia"/>
        </w:rPr>
        <w:instrText xml:space="preserve"> </w:instrText>
      </w:r>
      <w:r>
        <w:rPr>
          <w:rFonts w:hint="eastAsia"/>
        </w:rPr>
        <w:fldChar w:fldCharType="separate"/>
      </w:r>
      <w:r>
        <w:t>4</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"_Toc211331659" </w:instrText>
      </w:r>
      <w:r>
        <w:fldChar w:fldCharType="separate"/>
      </w:r>
      <w:r>
        <w:rPr>
          <w:rStyle w:val="11"/>
          <w:rFonts w:hint="eastAsia"/>
          <w:kern w:val="0"/>
        </w:rPr>
        <w:t>2 标准编制的原则和主要内容</w:t>
      </w:r>
      <w:r>
        <w:rPr>
          <w:rFonts w:hint="eastAsia"/>
        </w:rPr>
        <w:tab/>
      </w:r>
      <w:r>
        <w:rPr>
          <w:rFonts w:hint="eastAsia"/>
        </w:rPr>
        <w:fldChar w:fldCharType="begin"/>
      </w:r>
      <w:r>
        <w:rPr>
          <w:rFonts w:hint="eastAsia"/>
        </w:rPr>
        <w:instrText xml:space="preserve"> </w:instrText>
      </w:r>
      <w:r>
        <w:instrText xml:space="preserve">PAGEREF _Toc211331659 \h</w:instrText>
      </w:r>
      <w:r>
        <w:rPr>
          <w:rFonts w:hint="eastAsia"/>
        </w:rPr>
        <w:instrText xml:space="preserve"> </w:instrText>
      </w:r>
      <w:r>
        <w:rPr>
          <w:rFonts w:hint="eastAsia"/>
        </w:rPr>
        <w:fldChar w:fldCharType="separate"/>
      </w:r>
      <w:r>
        <w:t>5</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"_Toc211331660" </w:instrText>
      </w:r>
      <w:r>
        <w:fldChar w:fldCharType="separate"/>
      </w:r>
      <w:r>
        <w:rPr>
          <w:rStyle w:val="11"/>
          <w:rFonts w:hint="eastAsia" w:ascii="Cambria" w:hAnsi="宋体"/>
          <w:kern w:val="0"/>
        </w:rPr>
        <w:t>2.1 标准制定的原则</w:t>
      </w:r>
      <w:r>
        <w:rPr>
          <w:rFonts w:hint="eastAsia"/>
        </w:rPr>
        <w:tab/>
      </w:r>
      <w:r>
        <w:rPr>
          <w:rFonts w:hint="eastAsia"/>
        </w:rPr>
        <w:fldChar w:fldCharType="begin"/>
      </w:r>
      <w:r>
        <w:rPr>
          <w:rFonts w:hint="eastAsia"/>
        </w:rPr>
        <w:instrText xml:space="preserve"> </w:instrText>
      </w:r>
      <w:r>
        <w:instrText xml:space="preserve">PAGEREF _Toc211331660 \h</w:instrText>
      </w:r>
      <w:r>
        <w:rPr>
          <w:rFonts w:hint="eastAsia"/>
        </w:rPr>
        <w:instrText xml:space="preserve"> </w:instrText>
      </w:r>
      <w:r>
        <w:rPr>
          <w:rFonts w:hint="eastAsia"/>
        </w:rPr>
        <w:fldChar w:fldCharType="separate"/>
      </w:r>
      <w:r>
        <w:t>5</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"_Toc211331661" </w:instrText>
      </w:r>
      <w:r>
        <w:fldChar w:fldCharType="separate"/>
      </w:r>
      <w:r>
        <w:rPr>
          <w:rStyle w:val="11"/>
          <w:rFonts w:hint="eastAsia" w:ascii="Cambria" w:hAnsi="宋体"/>
          <w:kern w:val="0"/>
        </w:rPr>
        <w:t>2.2 标准的主要内容</w:t>
      </w:r>
      <w:r>
        <w:rPr>
          <w:rFonts w:hint="eastAsia"/>
        </w:rPr>
        <w:tab/>
      </w:r>
      <w:r>
        <w:rPr>
          <w:rFonts w:hint="eastAsia"/>
        </w:rPr>
        <w:fldChar w:fldCharType="begin"/>
      </w:r>
      <w:r>
        <w:rPr>
          <w:rFonts w:hint="eastAsia"/>
        </w:rPr>
        <w:instrText xml:space="preserve"> </w:instrText>
      </w:r>
      <w:r>
        <w:instrText xml:space="preserve">PAGEREF _Toc211331661 \h</w:instrText>
      </w:r>
      <w:r>
        <w:rPr>
          <w:rFonts w:hint="eastAsia"/>
        </w:rPr>
        <w:instrText xml:space="preserve"> </w:instrText>
      </w:r>
      <w:r>
        <w:rPr>
          <w:rFonts w:hint="eastAsia"/>
        </w:rPr>
        <w:fldChar w:fldCharType="separate"/>
      </w:r>
      <w:r>
        <w:t>5</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"_Toc211331662" </w:instrText>
      </w:r>
      <w:r>
        <w:fldChar w:fldCharType="separate"/>
      </w:r>
      <w:r>
        <w:rPr>
          <w:rStyle w:val="11"/>
          <w:rFonts w:hint="eastAsia"/>
          <w:kern w:val="0"/>
        </w:rPr>
        <w:t>3 主要试验验证情况分析</w:t>
      </w:r>
      <w:r>
        <w:rPr>
          <w:rFonts w:hint="eastAsia"/>
        </w:rPr>
        <w:tab/>
      </w:r>
      <w:r>
        <w:rPr>
          <w:rFonts w:hint="eastAsia"/>
        </w:rPr>
        <w:fldChar w:fldCharType="begin"/>
      </w:r>
      <w:r>
        <w:rPr>
          <w:rFonts w:hint="eastAsia"/>
        </w:rPr>
        <w:instrText xml:space="preserve"> </w:instrText>
      </w:r>
      <w:r>
        <w:instrText xml:space="preserve">PAGEREF _Toc211331662 \h</w:instrText>
      </w:r>
      <w:r>
        <w:rPr>
          <w:rFonts w:hint="eastAsia"/>
        </w:rPr>
        <w:instrText xml:space="preserve"> </w:instrText>
      </w:r>
      <w:r>
        <w:rPr>
          <w:rFonts w:hint="eastAsia"/>
        </w:rPr>
        <w:fldChar w:fldCharType="separate"/>
      </w:r>
      <w:r>
        <w:t>8</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"_Toc211331663" </w:instrText>
      </w:r>
      <w:r>
        <w:fldChar w:fldCharType="separate"/>
      </w:r>
      <w:r>
        <w:rPr>
          <w:rStyle w:val="11"/>
          <w:rFonts w:hint="eastAsia" w:ascii="Cambria" w:hAnsi="宋体"/>
          <w:kern w:val="0"/>
        </w:rPr>
        <w:t>3.1 墙体饰面砂浆</w:t>
      </w:r>
      <w:r>
        <w:rPr>
          <w:rFonts w:hint="eastAsia"/>
        </w:rPr>
        <w:tab/>
      </w:r>
      <w:r>
        <w:rPr>
          <w:rFonts w:hint="eastAsia"/>
        </w:rPr>
        <w:fldChar w:fldCharType="begin"/>
      </w:r>
      <w:r>
        <w:rPr>
          <w:rFonts w:hint="eastAsia"/>
        </w:rPr>
        <w:instrText xml:space="preserve"> </w:instrText>
      </w:r>
      <w:r>
        <w:instrText xml:space="preserve">PAGEREF _Toc211331663 \h</w:instrText>
      </w:r>
      <w:r>
        <w:rPr>
          <w:rFonts w:hint="eastAsia"/>
        </w:rPr>
        <w:instrText xml:space="preserve"> </w:instrText>
      </w:r>
      <w:r>
        <w:rPr>
          <w:rFonts w:hint="eastAsia"/>
        </w:rPr>
        <w:fldChar w:fldCharType="separate"/>
      </w:r>
      <w:r>
        <w:t>8</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"_Toc211331664" </w:instrText>
      </w:r>
      <w:r>
        <w:fldChar w:fldCharType="separate"/>
      </w:r>
      <w:r>
        <w:rPr>
          <w:rStyle w:val="11"/>
          <w:rFonts w:hint="eastAsia" w:ascii="Cambria" w:hAnsi="宋体"/>
          <w:kern w:val="0"/>
        </w:rPr>
        <w:t>3.2 封闭底漆</w:t>
      </w:r>
      <w:r>
        <w:rPr>
          <w:rFonts w:hint="eastAsia"/>
        </w:rPr>
        <w:tab/>
      </w:r>
      <w:r>
        <w:rPr>
          <w:rFonts w:hint="eastAsia"/>
        </w:rPr>
        <w:fldChar w:fldCharType="begin"/>
      </w:r>
      <w:r>
        <w:rPr>
          <w:rFonts w:hint="eastAsia"/>
        </w:rPr>
        <w:instrText xml:space="preserve"> </w:instrText>
      </w:r>
      <w:r>
        <w:instrText xml:space="preserve">PAGEREF _Toc211331664 \h</w:instrText>
      </w:r>
      <w:r>
        <w:rPr>
          <w:rFonts w:hint="eastAsia"/>
        </w:rPr>
        <w:instrText xml:space="preserve"> </w:instrText>
      </w:r>
      <w:r>
        <w:rPr>
          <w:rFonts w:hint="eastAsia"/>
        </w:rPr>
        <w:fldChar w:fldCharType="separate"/>
      </w:r>
      <w:r>
        <w:t>8</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"_Toc211331665" </w:instrText>
      </w:r>
      <w:r>
        <w:fldChar w:fldCharType="separate"/>
      </w:r>
      <w:r>
        <w:rPr>
          <w:rStyle w:val="11"/>
          <w:rFonts w:hint="eastAsia" w:ascii="Cambria" w:hAnsi="宋体"/>
          <w:kern w:val="0"/>
        </w:rPr>
        <w:t>3.3 罩面漆</w:t>
      </w:r>
      <w:r>
        <w:rPr>
          <w:rFonts w:hint="eastAsia"/>
        </w:rPr>
        <w:tab/>
      </w:r>
      <w:r>
        <w:rPr>
          <w:rFonts w:hint="eastAsia"/>
        </w:rPr>
        <w:fldChar w:fldCharType="begin"/>
      </w:r>
      <w:r>
        <w:rPr>
          <w:rFonts w:hint="eastAsia"/>
        </w:rPr>
        <w:instrText xml:space="preserve"> </w:instrText>
      </w:r>
      <w:r>
        <w:instrText xml:space="preserve">PAGEREF _Toc211331665 \h</w:instrText>
      </w:r>
      <w:r>
        <w:rPr>
          <w:rFonts w:hint="eastAsia"/>
        </w:rPr>
        <w:instrText xml:space="preserve"> </w:instrText>
      </w:r>
      <w:r>
        <w:rPr>
          <w:rFonts w:hint="eastAsia"/>
        </w:rPr>
        <w:fldChar w:fldCharType="separate"/>
      </w:r>
      <w:r>
        <w:t>8</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"_Toc211331666" </w:instrText>
      </w:r>
      <w:r>
        <w:fldChar w:fldCharType="separate"/>
      </w:r>
      <w:r>
        <w:rPr>
          <w:rStyle w:val="11"/>
          <w:rFonts w:hint="eastAsia" w:ascii="Cambria" w:hAnsi="宋体"/>
          <w:kern w:val="0"/>
        </w:rPr>
        <w:t>3.4 施工工艺研究</w:t>
      </w:r>
      <w:r>
        <w:rPr>
          <w:rFonts w:hint="eastAsia"/>
        </w:rPr>
        <w:tab/>
      </w:r>
      <w:r>
        <w:rPr>
          <w:rFonts w:hint="eastAsia"/>
        </w:rPr>
        <w:fldChar w:fldCharType="begin"/>
      </w:r>
      <w:r>
        <w:rPr>
          <w:rFonts w:hint="eastAsia"/>
        </w:rPr>
        <w:instrText xml:space="preserve"> </w:instrText>
      </w:r>
      <w:r>
        <w:instrText xml:space="preserve">PAGEREF _Toc211331666 \h</w:instrText>
      </w:r>
      <w:r>
        <w:rPr>
          <w:rFonts w:hint="eastAsia"/>
        </w:rPr>
        <w:instrText xml:space="preserve"> </w:instrText>
      </w:r>
      <w:r>
        <w:rPr>
          <w:rFonts w:hint="eastAsia"/>
        </w:rPr>
        <w:fldChar w:fldCharType="separate"/>
      </w:r>
      <w:r>
        <w:t>13</w:t>
      </w:r>
      <w:r>
        <w:rPr>
          <w:rFonts w:hint="eastAsia"/>
        </w:rPr>
        <w:fldChar w:fldCharType="end"/>
      </w:r>
      <w:r>
        <w:rPr>
          <w:rFonts w:hint="eastAsia"/>
        </w:rPr>
        <w:fldChar w:fldCharType="end"/>
      </w:r>
    </w:p>
    <w:p>
      <w:pPr>
        <w:pStyle w:val="8"/>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"_Toc211331667" </w:instrText>
      </w:r>
      <w:r>
        <w:fldChar w:fldCharType="separate"/>
      </w:r>
      <w:r>
        <w:rPr>
          <w:rStyle w:val="11"/>
          <w:rFonts w:hint="eastAsia" w:ascii="Cambria" w:hAnsi="宋体"/>
          <w:kern w:val="0"/>
        </w:rPr>
        <w:t>3.5 部分工程案例</w:t>
      </w:r>
      <w:r>
        <w:rPr>
          <w:rFonts w:hint="eastAsia"/>
        </w:rPr>
        <w:tab/>
      </w:r>
      <w:r>
        <w:rPr>
          <w:rFonts w:hint="eastAsia"/>
        </w:rPr>
        <w:fldChar w:fldCharType="begin"/>
      </w:r>
      <w:r>
        <w:rPr>
          <w:rFonts w:hint="eastAsia"/>
        </w:rPr>
        <w:instrText xml:space="preserve"> </w:instrText>
      </w:r>
      <w:r>
        <w:instrText xml:space="preserve">PAGEREF _Toc211331667 \h</w:instrText>
      </w:r>
      <w:r>
        <w:rPr>
          <w:rFonts w:hint="eastAsia"/>
        </w:rPr>
        <w:instrText xml:space="preserve"> </w:instrText>
      </w:r>
      <w:r>
        <w:rPr>
          <w:rFonts w:hint="eastAsia"/>
        </w:rPr>
        <w:fldChar w:fldCharType="separate"/>
      </w:r>
      <w:r>
        <w:t>15</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"_Toc211331668" </w:instrText>
      </w:r>
      <w:r>
        <w:fldChar w:fldCharType="separate"/>
      </w:r>
      <w:r>
        <w:rPr>
          <w:rStyle w:val="11"/>
          <w:rFonts w:hint="eastAsia"/>
          <w:kern w:val="0"/>
        </w:rPr>
        <w:t>4 标准中涉及专利情况说明</w:t>
      </w:r>
      <w:bookmarkStart w:id="48" w:name="_GoBack"/>
      <w:bookmarkEnd w:id="48"/>
      <w:r>
        <w:rPr>
          <w:rFonts w:hint="eastAsia"/>
        </w:rPr>
        <w:tab/>
      </w:r>
      <w:r>
        <w:rPr>
          <w:rFonts w:hint="eastAsia"/>
        </w:rPr>
        <w:fldChar w:fldCharType="begin"/>
      </w:r>
      <w:r>
        <w:rPr>
          <w:rFonts w:hint="eastAsia"/>
        </w:rPr>
        <w:instrText xml:space="preserve"> </w:instrText>
      </w:r>
      <w:r>
        <w:instrText xml:space="preserve">PAGEREF _Toc211331668 \h</w:instrText>
      </w:r>
      <w:r>
        <w:rPr>
          <w:rFonts w:hint="eastAsia"/>
        </w:rPr>
        <w:instrText xml:space="preserve"> </w:instrText>
      </w:r>
      <w:r>
        <w:rPr>
          <w:rFonts w:hint="eastAsia"/>
        </w:rPr>
        <w:fldChar w:fldCharType="separate"/>
      </w:r>
      <w:r>
        <w:t>17</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"_Toc211331669" </w:instrText>
      </w:r>
      <w:r>
        <w:fldChar w:fldCharType="separate"/>
      </w:r>
      <w:r>
        <w:rPr>
          <w:rStyle w:val="11"/>
          <w:rFonts w:hint="eastAsia"/>
          <w:kern w:val="0"/>
        </w:rPr>
        <w:t>5 产业化情况</w:t>
      </w:r>
      <w:r>
        <w:rPr>
          <w:rFonts w:hint="eastAsia"/>
        </w:rPr>
        <w:tab/>
      </w:r>
      <w:r>
        <w:rPr>
          <w:rFonts w:hint="eastAsia"/>
        </w:rPr>
        <w:fldChar w:fldCharType="begin"/>
      </w:r>
      <w:r>
        <w:rPr>
          <w:rFonts w:hint="eastAsia"/>
        </w:rPr>
        <w:instrText xml:space="preserve"> </w:instrText>
      </w:r>
      <w:r>
        <w:instrText xml:space="preserve">PAGEREF _Toc211331669 \h</w:instrText>
      </w:r>
      <w:r>
        <w:rPr>
          <w:rFonts w:hint="eastAsia"/>
        </w:rPr>
        <w:instrText xml:space="preserve"> </w:instrText>
      </w:r>
      <w:r>
        <w:rPr>
          <w:rFonts w:hint="eastAsia"/>
        </w:rPr>
        <w:fldChar w:fldCharType="separate"/>
      </w:r>
      <w:r>
        <w:t>17</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"_Toc211331670" </w:instrText>
      </w:r>
      <w:r>
        <w:fldChar w:fldCharType="separate"/>
      </w:r>
      <w:r>
        <w:rPr>
          <w:rStyle w:val="11"/>
          <w:rFonts w:hint="eastAsia"/>
          <w:kern w:val="0"/>
        </w:rPr>
        <w:t>6 采用国际标准和国外先进标准情况，与国际、国外同类标准水平的对比情况</w:t>
      </w:r>
      <w:r>
        <w:rPr>
          <w:rFonts w:hint="eastAsia"/>
        </w:rPr>
        <w:tab/>
      </w:r>
      <w:r>
        <w:rPr>
          <w:rFonts w:hint="eastAsia"/>
        </w:rPr>
        <w:fldChar w:fldCharType="begin"/>
      </w:r>
      <w:r>
        <w:rPr>
          <w:rFonts w:hint="eastAsia"/>
        </w:rPr>
        <w:instrText xml:space="preserve"> </w:instrText>
      </w:r>
      <w:r>
        <w:instrText xml:space="preserve">PAGEREF _Toc211331670 \h</w:instrText>
      </w:r>
      <w:r>
        <w:rPr>
          <w:rFonts w:hint="eastAsia"/>
        </w:rPr>
        <w:instrText xml:space="preserve"> </w:instrText>
      </w:r>
      <w:r>
        <w:rPr>
          <w:rFonts w:hint="eastAsia"/>
        </w:rPr>
        <w:fldChar w:fldCharType="separate"/>
      </w:r>
      <w:r>
        <w:t>17</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"_Toc211331671" </w:instrText>
      </w:r>
      <w:r>
        <w:fldChar w:fldCharType="separate"/>
      </w:r>
      <w:r>
        <w:rPr>
          <w:rStyle w:val="11"/>
          <w:rFonts w:hint="eastAsia"/>
          <w:kern w:val="0"/>
        </w:rPr>
        <w:t>7 与现行相关法律、法规、规章及相关标准，特别是强制性标准的协调性</w:t>
      </w:r>
      <w:r>
        <w:rPr>
          <w:rFonts w:hint="eastAsia"/>
        </w:rPr>
        <w:tab/>
      </w:r>
      <w:r>
        <w:rPr>
          <w:rFonts w:hint="eastAsia"/>
        </w:rPr>
        <w:fldChar w:fldCharType="begin"/>
      </w:r>
      <w:r>
        <w:rPr>
          <w:rFonts w:hint="eastAsia"/>
        </w:rPr>
        <w:instrText xml:space="preserve"> </w:instrText>
      </w:r>
      <w:r>
        <w:instrText xml:space="preserve">PAGEREF _Toc211331671 \h</w:instrText>
      </w:r>
      <w:r>
        <w:rPr>
          <w:rFonts w:hint="eastAsia"/>
        </w:rPr>
        <w:instrText xml:space="preserve"> </w:instrText>
      </w:r>
      <w:r>
        <w:rPr>
          <w:rFonts w:hint="eastAsia"/>
        </w:rPr>
        <w:fldChar w:fldCharType="separate"/>
      </w:r>
      <w:r>
        <w:t>17</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"_Toc211331672" </w:instrText>
      </w:r>
      <w:r>
        <w:fldChar w:fldCharType="separate"/>
      </w:r>
      <w:r>
        <w:rPr>
          <w:rStyle w:val="11"/>
          <w:rFonts w:hint="eastAsia"/>
          <w:kern w:val="0"/>
        </w:rPr>
        <w:t>8 重大分歧意见的处理经过和依据</w:t>
      </w:r>
      <w:r>
        <w:rPr>
          <w:rFonts w:hint="eastAsia"/>
        </w:rPr>
        <w:tab/>
      </w:r>
      <w:r>
        <w:rPr>
          <w:rFonts w:hint="eastAsia"/>
        </w:rPr>
        <w:fldChar w:fldCharType="begin"/>
      </w:r>
      <w:r>
        <w:rPr>
          <w:rFonts w:hint="eastAsia"/>
        </w:rPr>
        <w:instrText xml:space="preserve"> </w:instrText>
      </w:r>
      <w:r>
        <w:instrText xml:space="preserve">PAGEREF _Toc211331672 \h</w:instrText>
      </w:r>
      <w:r>
        <w:rPr>
          <w:rFonts w:hint="eastAsia"/>
        </w:rPr>
        <w:instrText xml:space="preserve"> </w:instrText>
      </w:r>
      <w:r>
        <w:rPr>
          <w:rFonts w:hint="eastAsia"/>
        </w:rPr>
        <w:fldChar w:fldCharType="separate"/>
      </w:r>
      <w:r>
        <w:t>17</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"_Toc211331673" </w:instrText>
      </w:r>
      <w:r>
        <w:fldChar w:fldCharType="separate"/>
      </w:r>
      <w:r>
        <w:rPr>
          <w:rStyle w:val="11"/>
          <w:rFonts w:hint="eastAsia"/>
          <w:kern w:val="0"/>
        </w:rPr>
        <w:t>9 标准性质的建议说明</w:t>
      </w:r>
      <w:r>
        <w:rPr>
          <w:rFonts w:hint="eastAsia"/>
        </w:rPr>
        <w:tab/>
      </w:r>
      <w:r>
        <w:rPr>
          <w:rFonts w:hint="eastAsia"/>
        </w:rPr>
        <w:fldChar w:fldCharType="begin"/>
      </w:r>
      <w:r>
        <w:rPr>
          <w:rFonts w:hint="eastAsia"/>
        </w:rPr>
        <w:instrText xml:space="preserve"> </w:instrText>
      </w:r>
      <w:r>
        <w:instrText xml:space="preserve">PAGEREF _Toc211331673 \h</w:instrText>
      </w:r>
      <w:r>
        <w:rPr>
          <w:rFonts w:hint="eastAsia"/>
        </w:rPr>
        <w:instrText xml:space="preserve"> </w:instrText>
      </w:r>
      <w:r>
        <w:rPr>
          <w:rFonts w:hint="eastAsia"/>
        </w:rPr>
        <w:fldChar w:fldCharType="separate"/>
      </w:r>
      <w:r>
        <w:t>17</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"_Toc211331674" </w:instrText>
      </w:r>
      <w:r>
        <w:fldChar w:fldCharType="separate"/>
      </w:r>
      <w:r>
        <w:rPr>
          <w:rStyle w:val="11"/>
          <w:rFonts w:hint="eastAsia"/>
          <w:kern w:val="0"/>
        </w:rPr>
        <w:t>10 贯彻标准的要求和措施建议</w:t>
      </w:r>
      <w:r>
        <w:rPr>
          <w:rFonts w:hint="eastAsia"/>
        </w:rPr>
        <w:tab/>
      </w:r>
      <w:r>
        <w:rPr>
          <w:rFonts w:hint="eastAsia"/>
        </w:rPr>
        <w:fldChar w:fldCharType="begin"/>
      </w:r>
      <w:r>
        <w:rPr>
          <w:rFonts w:hint="eastAsia"/>
        </w:rPr>
        <w:instrText xml:space="preserve"> </w:instrText>
      </w:r>
      <w:r>
        <w:instrText xml:space="preserve">PAGEREF _Toc211331674 \h</w:instrText>
      </w:r>
      <w:r>
        <w:rPr>
          <w:rFonts w:hint="eastAsia"/>
        </w:rPr>
        <w:instrText xml:space="preserve"> </w:instrText>
      </w:r>
      <w:r>
        <w:rPr>
          <w:rFonts w:hint="eastAsia"/>
        </w:rPr>
        <w:fldChar w:fldCharType="separate"/>
      </w:r>
      <w:r>
        <w:t>18</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"_Toc211331675" </w:instrText>
      </w:r>
      <w:r>
        <w:fldChar w:fldCharType="separate"/>
      </w:r>
      <w:r>
        <w:rPr>
          <w:rStyle w:val="11"/>
          <w:rFonts w:hint="eastAsia"/>
          <w:kern w:val="0"/>
        </w:rPr>
        <w:t>11 废止现行相关标准的建议</w:t>
      </w:r>
      <w:r>
        <w:rPr>
          <w:rFonts w:hint="eastAsia"/>
        </w:rPr>
        <w:tab/>
      </w:r>
      <w:r>
        <w:rPr>
          <w:rFonts w:hint="eastAsia"/>
        </w:rPr>
        <w:fldChar w:fldCharType="begin"/>
      </w:r>
      <w:r>
        <w:rPr>
          <w:rFonts w:hint="eastAsia"/>
        </w:rPr>
        <w:instrText xml:space="preserve"> </w:instrText>
      </w:r>
      <w:r>
        <w:instrText xml:space="preserve">PAGEREF _Toc211331675 \h</w:instrText>
      </w:r>
      <w:r>
        <w:rPr>
          <w:rFonts w:hint="eastAsia"/>
        </w:rPr>
        <w:instrText xml:space="preserve"> </w:instrText>
      </w:r>
      <w:r>
        <w:rPr>
          <w:rFonts w:hint="eastAsia"/>
        </w:rPr>
        <w:fldChar w:fldCharType="separate"/>
      </w:r>
      <w:r>
        <w:t>18</w:t>
      </w:r>
      <w:r>
        <w:rPr>
          <w:rFonts w:hint="eastAsia"/>
        </w:rPr>
        <w:fldChar w:fldCharType="end"/>
      </w:r>
      <w:r>
        <w:rPr>
          <w:rFonts w:hint="eastAsia"/>
        </w:rPr>
        <w:fldChar w:fldCharType="end"/>
      </w:r>
    </w:p>
    <w:p>
      <w:pPr>
        <w:pStyle w:val="7"/>
        <w:tabs>
          <w:tab w:val="right" w:leader="dot" w:pos="8296"/>
        </w:tabs>
        <w:ind w:firstLine="420"/>
        <w:rPr>
          <w:rFonts w:hint="eastAsia" w:asciiTheme="minorHAnsi" w:hAnsiTheme="minorHAnsi" w:eastAsiaTheme="minorEastAsia" w:cstheme="minorBidi"/>
          <w:sz w:val="22"/>
          <w14:ligatures w14:val="standardContextual"/>
        </w:rPr>
      </w:pPr>
      <w:r>
        <w:fldChar w:fldCharType="begin"/>
      </w:r>
      <w:r>
        <w:instrText xml:space="preserve"> HYPERLINK \l "_Toc211331676" </w:instrText>
      </w:r>
      <w:r>
        <w:fldChar w:fldCharType="separate"/>
      </w:r>
      <w:r>
        <w:rPr>
          <w:rStyle w:val="11"/>
          <w:rFonts w:hint="eastAsia"/>
          <w:kern w:val="0"/>
        </w:rPr>
        <w:t>12 其它应予说明的事项</w:t>
      </w:r>
      <w:r>
        <w:rPr>
          <w:rFonts w:hint="eastAsia"/>
        </w:rPr>
        <w:tab/>
      </w:r>
      <w:r>
        <w:rPr>
          <w:rFonts w:hint="eastAsia"/>
        </w:rPr>
        <w:fldChar w:fldCharType="begin"/>
      </w:r>
      <w:r>
        <w:rPr>
          <w:rFonts w:hint="eastAsia"/>
        </w:rPr>
        <w:instrText xml:space="preserve"> </w:instrText>
      </w:r>
      <w:r>
        <w:instrText xml:space="preserve">PAGEREF _Toc211331676 \h</w:instrText>
      </w:r>
      <w:r>
        <w:rPr>
          <w:rFonts w:hint="eastAsia"/>
        </w:rPr>
        <w:instrText xml:space="preserve"> </w:instrText>
      </w:r>
      <w:r>
        <w:rPr>
          <w:rFonts w:hint="eastAsia"/>
        </w:rPr>
        <w:fldChar w:fldCharType="separate"/>
      </w:r>
      <w:r>
        <w:t>18</w:t>
      </w:r>
      <w:r>
        <w:rPr>
          <w:rFonts w:hint="eastAsia"/>
        </w:rPr>
        <w:fldChar w:fldCharType="end"/>
      </w:r>
      <w:r>
        <w:rPr>
          <w:rFonts w:hint="eastAsia"/>
        </w:rPr>
        <w:fldChar w:fldCharType="end"/>
      </w:r>
    </w:p>
    <w:p>
      <w:pPr>
        <w:tabs>
          <w:tab w:val="center" w:pos="4363"/>
        </w:tabs>
        <w:ind w:firstLine="420"/>
        <w:rPr>
          <w:rFonts w:hint="eastAsia" w:ascii="Songti SC" w:hAnsi="Songti SC" w:eastAsia="Songti SC"/>
          <w:b/>
          <w:bCs/>
        </w:rPr>
        <w:sectPr>
          <w:pgSz w:w="11906" w:h="16838"/>
          <w:pgMar w:top="1440" w:right="1800" w:bottom="1440" w:left="1800" w:header="851" w:footer="992" w:gutter="0"/>
          <w:cols w:space="425" w:num="1"/>
          <w:titlePg/>
          <w:docGrid w:type="lines" w:linePitch="312" w:charSpace="0"/>
        </w:sectPr>
      </w:pPr>
      <w:r>
        <w:rPr>
          <w:rFonts w:hint="eastAsia" w:ascii="Songti SC" w:hAnsi="Songti SC" w:eastAsia="Songti SC"/>
          <w:b/>
          <w:bCs/>
        </w:rPr>
        <w:fldChar w:fldCharType="end"/>
      </w:r>
    </w:p>
    <w:p>
      <w:pPr>
        <w:pStyle w:val="2"/>
        <w:keepNext/>
        <w:keepLines/>
        <w:spacing w:before="0" w:beforeAutospacing="0" w:after="0" w:afterAutospacing="0"/>
        <w:ind w:firstLine="0" w:firstLineChars="0"/>
        <w:jc w:val="both"/>
        <w:rPr>
          <w:rFonts w:ascii="Times New Roman" w:hAnsi="Times New Roman"/>
          <w:bCs w:val="0"/>
          <w:kern w:val="0"/>
          <w:sz w:val="28"/>
          <w:szCs w:val="28"/>
        </w:rPr>
      </w:pPr>
      <w:bookmarkStart w:id="0" w:name="_Toc132876131"/>
      <w:bookmarkStart w:id="1" w:name="_Toc211331655"/>
      <w:bookmarkStart w:id="2" w:name="_Toc13953"/>
      <w:bookmarkStart w:id="3" w:name="_Toc32528"/>
      <w:r>
        <w:rPr>
          <w:rFonts w:hint="eastAsia" w:ascii="Times New Roman" w:hAnsi="Times New Roman"/>
          <w:bCs w:val="0"/>
          <w:kern w:val="0"/>
          <w:sz w:val="28"/>
          <w:szCs w:val="28"/>
        </w:rPr>
        <w:t>1</w:t>
      </w:r>
      <w:r>
        <w:rPr>
          <w:rFonts w:ascii="Times New Roman" w:hAnsi="Times New Roman"/>
          <w:bCs w:val="0"/>
          <w:kern w:val="0"/>
          <w:sz w:val="28"/>
          <w:szCs w:val="28"/>
        </w:rPr>
        <w:t xml:space="preserve"> </w:t>
      </w:r>
      <w:r>
        <w:rPr>
          <w:rFonts w:hint="eastAsia" w:ascii="Times New Roman" w:hAnsi="Times New Roman"/>
          <w:bCs w:val="0"/>
          <w:kern w:val="0"/>
          <w:sz w:val="28"/>
          <w:szCs w:val="28"/>
        </w:rPr>
        <w:t>工作简况</w:t>
      </w:r>
      <w:bookmarkEnd w:id="0"/>
      <w:bookmarkEnd w:id="1"/>
    </w:p>
    <w:p>
      <w:pPr>
        <w:pStyle w:val="3"/>
        <w:widowControl/>
        <w:jc w:val="both"/>
        <w:rPr>
          <w:rFonts w:hint="eastAsia" w:ascii="Cambria" w:hAnsi="宋体"/>
          <w:kern w:val="0"/>
          <w:szCs w:val="24"/>
        </w:rPr>
      </w:pPr>
      <w:bookmarkStart w:id="4" w:name="_Toc211331656"/>
      <w:bookmarkStart w:id="5" w:name="_Toc10645669"/>
      <w:bookmarkStart w:id="6" w:name="_Toc132876132"/>
      <w:r>
        <w:rPr>
          <w:rFonts w:hint="eastAsia" w:ascii="Cambria" w:hAnsi="宋体"/>
          <w:kern w:val="0"/>
          <w:szCs w:val="24"/>
        </w:rPr>
        <w:t>1</w:t>
      </w:r>
      <w:r>
        <w:rPr>
          <w:rFonts w:ascii="Cambria" w:hAnsi="宋体"/>
          <w:kern w:val="0"/>
          <w:szCs w:val="24"/>
        </w:rPr>
        <w:t>.1</w:t>
      </w:r>
      <w:r>
        <w:rPr>
          <w:rFonts w:hint="eastAsia" w:ascii="Cambria" w:hAnsi="宋体"/>
          <w:kern w:val="0"/>
          <w:szCs w:val="24"/>
        </w:rPr>
        <w:t>任务来源</w:t>
      </w:r>
      <w:bookmarkEnd w:id="2"/>
      <w:bookmarkEnd w:id="3"/>
      <w:bookmarkEnd w:id="4"/>
      <w:bookmarkEnd w:id="5"/>
      <w:bookmarkEnd w:id="6"/>
    </w:p>
    <w:p>
      <w:pPr>
        <w:ind w:firstLine="420"/>
        <w:rPr>
          <w:rFonts w:hint="eastAsia" w:ascii="宋体" w:hAnsi="宋体"/>
          <w:szCs w:val="21"/>
        </w:rPr>
      </w:pPr>
      <w:r>
        <w:rPr>
          <w:rFonts w:hint="eastAsia" w:ascii="宋体" w:hAnsi="宋体"/>
          <w:szCs w:val="21"/>
        </w:rPr>
        <w:t>建筑装饰行业作为建筑业的三大组成部分之一，是在建筑物主体结构落成后，对水电、墙体、地板、天花板等进行安装和修饰。随着城市化规模的不断扩大和人民生活水平的提高，现代化社会对建筑物外观和居住条件的要求不再局限于基本舒适度，而对优美的建筑环境有了更高的追求。墙体饰面砂浆作为一种新型装饰材料，因其装饰效果自然持久、易加工成各种风格的纹理面、施工方便且环保绿色，正逐渐成为我国现代建筑物内外墙装饰中一道亮丽的风景线。</w:t>
      </w:r>
    </w:p>
    <w:p>
      <w:pPr>
        <w:ind w:firstLine="420"/>
        <w:rPr>
          <w:rFonts w:hint="eastAsia" w:ascii="宋体" w:hAnsi="宋体"/>
          <w:szCs w:val="21"/>
        </w:rPr>
      </w:pPr>
      <w:r>
        <w:rPr>
          <w:rFonts w:hint="eastAsia" w:ascii="宋体" w:hAnsi="宋体"/>
          <w:szCs w:val="21"/>
        </w:rPr>
        <w:t>长期以来，我国绝大多数建筑的内外墙装饰面主要采用瓷砖、涂料两类材料。瓷砖虽然具有强度高、耐久性好、美观大方等优点，但存在能耗高和安全风险问题。涂料是目前市场上的主流产品，市场份额超过50%，其中普通外墙乳胶漆有造价低、安全性好、颜色丰富等优点，但存在耐久性差、吸水率高，易褪色、开裂和脱落等问题，甚至造成墙体渗漏；厚质涂装类产品（真石漆和质感涂料）装饰效果丰富，质感强烈，但耐黄变性、耐水白性和耐沾污性能较差。这些传统材料的局限性为墙体饰面砂浆的发展提供了市场机遇。《原材料工业质量提升三年行动方案（2018-2020年）》中明确提出要丰富矿物功能材料品种，提高绿色建材在新建建筑中的应用比重达到40%。墙体饰面砂浆作为绿色建材的重要组成部分，符合国家节能减排和可持续发展战略方向。</w:t>
      </w:r>
    </w:p>
    <w:p>
      <w:pPr>
        <w:ind w:firstLine="420"/>
        <w:rPr>
          <w:rFonts w:hint="eastAsia" w:ascii="宋体" w:hAnsi="宋体"/>
          <w:szCs w:val="21"/>
        </w:rPr>
      </w:pPr>
      <w:r>
        <w:rPr>
          <w:rFonts w:hint="eastAsia" w:ascii="宋体" w:hAnsi="宋体"/>
          <w:szCs w:val="21"/>
        </w:rPr>
        <w:t>尽管墙体饰面砂浆具有诸多优势，但在实际应用过程中仍然面临着突出问题，其中最突出的是色差、泛碱和开裂问题。这些问题不仅与墙体饰面砂浆产品质量有关，还与基层材料、基层处理、封闭底漆、构造设计、施工工艺、施工环境等因素密切相关，反映出饰面砂浆应用系统的复杂性和整体性。然而，目前我国关于墙体饰面砂浆的相关标准规范体系尚不完善，难以有效指导和规范行业健康发展。虽然产品标准JC/T 1024-2019《墙体饰面砂浆》已经进行了一次修订，技术指标已经达到国际水平，但在实际应用环节仍存在标准空白和规范不足的问题。现行标准体系主要注重产品性能指标，缺乏对应用技术的系统规定；建材与建工标准脱节，未能实现材料性能与工程应用的有效衔接；缺乏专项应用技术标准，无法针对具体应用场景提供详细指导，进而制约了饰面砂浆市场的快速发展。</w:t>
      </w:r>
    </w:p>
    <w:p>
      <w:pPr>
        <w:ind w:firstLine="420"/>
        <w:rPr>
          <w:rFonts w:hint="eastAsia" w:ascii="宋体" w:hAnsi="宋体"/>
          <w:szCs w:val="21"/>
        </w:rPr>
      </w:pPr>
      <w:r>
        <w:rPr>
          <w:rFonts w:hint="eastAsia" w:ascii="宋体" w:hAnsi="宋体"/>
          <w:szCs w:val="21"/>
        </w:rPr>
        <w:t>制定《</w:t>
      </w:r>
      <w:bookmarkStart w:id="7" w:name="OLE_LINK1"/>
      <w:r>
        <w:rPr>
          <w:rFonts w:hint="eastAsia" w:ascii="宋体" w:hAnsi="宋体"/>
          <w:szCs w:val="21"/>
        </w:rPr>
        <w:t>墙体饰面砂浆应用技术规范</w:t>
      </w:r>
      <w:bookmarkEnd w:id="7"/>
      <w:r>
        <w:rPr>
          <w:rFonts w:hint="eastAsia" w:ascii="宋体" w:hAnsi="宋体"/>
          <w:szCs w:val="21"/>
        </w:rPr>
        <w:t>》是解决当前墙体饰面砂浆产品工程应用技术问题、促进技术推广应用、推动产业绿色发展的迫切需求，对提升建筑工程质量、完善标准体系、促进建筑装饰行业可持续发展具有重要意义。按照工信厅科〔2024〕18号《2024 年第一批行业标准制修订计划》，由中国建筑材料联合会预拌砂浆分会牵头组织，北京建筑材料科学研究总院有限公司、东方雨虹砂粉科技集团有限公司、立邦投资有限公司等单位负责起草《墙体饰面砂浆应用技术规范》的编制工作。</w:t>
      </w:r>
    </w:p>
    <w:p>
      <w:pPr>
        <w:pStyle w:val="3"/>
        <w:widowControl/>
        <w:jc w:val="both"/>
        <w:rPr>
          <w:rFonts w:hint="eastAsia" w:ascii="Cambria" w:hAnsi="宋体"/>
          <w:kern w:val="0"/>
          <w:szCs w:val="24"/>
        </w:rPr>
      </w:pPr>
      <w:bookmarkStart w:id="8" w:name="_Toc211331657"/>
      <w:r>
        <w:rPr>
          <w:rFonts w:hint="eastAsia" w:ascii="Cambria" w:hAnsi="宋体"/>
          <w:kern w:val="0"/>
          <w:szCs w:val="24"/>
        </w:rPr>
        <w:t>1.2 主要工作过程</w:t>
      </w:r>
      <w:bookmarkEnd w:id="8"/>
    </w:p>
    <w:p>
      <w:pPr>
        <w:ind w:firstLine="420"/>
        <w:rPr>
          <w:rFonts w:hint="eastAsia" w:ascii="宋体" w:hAnsi="宋体"/>
          <w:szCs w:val="21"/>
        </w:rPr>
      </w:pPr>
      <w:r>
        <w:rPr>
          <w:rFonts w:hint="eastAsia" w:ascii="宋体" w:hAnsi="宋体"/>
          <w:szCs w:val="21"/>
        </w:rPr>
        <w:t>标准制订任务下达后，主编单位着手筹建编制组，并对墙体饰面砂浆产品应用情况和国内外相关标准文件进行广泛调研分析，征集墙体饰面砂浆的工程项目资料，形成工作组讨论稿；</w:t>
      </w:r>
    </w:p>
    <w:p>
      <w:pPr>
        <w:ind w:firstLine="420"/>
        <w:rPr>
          <w:rFonts w:hint="eastAsia" w:ascii="宋体" w:hAnsi="宋体"/>
          <w:szCs w:val="21"/>
        </w:rPr>
      </w:pPr>
      <w:r>
        <w:rPr>
          <w:rFonts w:hint="eastAsia" w:ascii="宋体" w:hAnsi="宋体"/>
          <w:szCs w:val="21"/>
        </w:rPr>
        <w:t>2024年7月25日，在北京组织召开了标准制定启动会及第一次工作会议，来自各地科研院所、生产企业等负责起草与参编单位的领导和专家代表参加了会议。会议讨论了《墙体饰面砂浆应用技术规范》标准讨论稿和编制大纲，并明确了各参编单位的分工及编制工作进度计划，部署了下一步工作；</w:t>
      </w:r>
    </w:p>
    <w:p>
      <w:pPr>
        <w:ind w:firstLine="420"/>
        <w:rPr>
          <w:rFonts w:hint="eastAsia" w:ascii="宋体" w:hAnsi="宋体"/>
          <w:szCs w:val="21"/>
        </w:rPr>
      </w:pPr>
      <w:r>
        <w:rPr>
          <w:rFonts w:hint="eastAsia" w:ascii="宋体" w:hAnsi="宋体"/>
          <w:szCs w:val="21"/>
        </w:rPr>
        <w:t>2024年8月～2025年6月，根据第一次工作会议要求，开展验证试验。样品由各参加标准起草单位和相关生产企业提供；</w:t>
      </w:r>
    </w:p>
    <w:p>
      <w:pPr>
        <w:ind w:firstLine="420"/>
        <w:rPr>
          <w:rFonts w:hint="eastAsia" w:ascii="宋体" w:hAnsi="宋体"/>
          <w:szCs w:val="21"/>
        </w:rPr>
      </w:pPr>
      <w:r>
        <w:rPr>
          <w:rFonts w:hint="eastAsia" w:ascii="宋体" w:hAnsi="宋体"/>
          <w:szCs w:val="21"/>
        </w:rPr>
        <w:t>2025年9月25日，在北京组织召开了第二次标准工作会议。会议对验证试验进行了总结和讨论，编制组对标准初稿进行了逐条讨论，形成具体的修改意见，对各章节的主要技术问题统一了意见，主编单位对标准讨论稿进行了修正，然后在内部征求意见；</w:t>
      </w:r>
    </w:p>
    <w:p>
      <w:pPr>
        <w:ind w:firstLine="420"/>
        <w:rPr>
          <w:rFonts w:hint="eastAsia" w:ascii="宋体" w:hAnsi="宋体"/>
          <w:szCs w:val="21"/>
        </w:rPr>
      </w:pPr>
      <w:r>
        <w:rPr>
          <w:rFonts w:hint="eastAsia" w:ascii="宋体" w:hAnsi="宋体"/>
          <w:szCs w:val="21"/>
        </w:rPr>
        <w:t>2025年9月25日～2025年10月， 继续对标准进行修改和完善，形成标准征求意见稿。</w:t>
      </w:r>
    </w:p>
    <w:p>
      <w:pPr>
        <w:ind w:firstLine="0" w:firstLineChars="0"/>
        <w:outlineLvl w:val="1"/>
        <w:rPr>
          <w:rFonts w:hint="eastAsia" w:ascii="Cambria" w:hAnsi="宋体"/>
          <w:b/>
          <w:kern w:val="0"/>
          <w:sz w:val="24"/>
        </w:rPr>
      </w:pPr>
      <w:bookmarkStart w:id="9" w:name="_Toc211331658"/>
      <w:r>
        <w:rPr>
          <w:rFonts w:ascii="Cambria" w:hAnsi="宋体"/>
          <w:b/>
          <w:kern w:val="0"/>
          <w:sz w:val="24"/>
        </w:rPr>
        <w:t xml:space="preserve">1.3 </w:t>
      </w:r>
      <w:r>
        <w:rPr>
          <w:rFonts w:hint="eastAsia" w:ascii="Cambria" w:hAnsi="宋体"/>
          <w:b/>
          <w:kern w:val="0"/>
          <w:sz w:val="24"/>
        </w:rPr>
        <w:t>主要参加单位及工作组成员及其所做工作</w:t>
      </w:r>
      <w:bookmarkEnd w:id="9"/>
    </w:p>
    <w:p>
      <w:pPr>
        <w:ind w:firstLine="420"/>
        <w:rPr>
          <w:rFonts w:hint="eastAsia" w:ascii="宋体" w:hAnsi="宋体"/>
          <w:szCs w:val="21"/>
        </w:rPr>
      </w:pPr>
      <w:r>
        <w:rPr>
          <w:rFonts w:hint="eastAsia" w:ascii="宋体" w:hAnsi="宋体"/>
          <w:szCs w:val="21"/>
        </w:rPr>
        <w:t>本标准主要起草单位有北京建筑材料科学研究总院有限公司、东方雨虹砂粉科技集团有限公司、立邦投资有限公司等，标准编制组由科研院所、高校、墙体饰面砂浆生产企业、施工企业等组成，涵盖了从产品研究、生产到施工整个产业链，地域包括南方和北方，编制组的组成具有广泛的行业代表性及地域代表性。编制组成员长期从事墙体饰面砂浆的研究及应用，具有较丰富的理论和实践经验，可以胜任本次编制工作。工作组成员及其主要分工见表</w:t>
      </w:r>
      <w:r>
        <w:rPr>
          <w:rFonts w:ascii="宋体" w:hAnsi="宋体"/>
          <w:szCs w:val="21"/>
        </w:rPr>
        <w:t>1</w:t>
      </w:r>
      <w:r>
        <w:rPr>
          <w:rFonts w:hint="eastAsia" w:ascii="宋体" w:hAnsi="宋体"/>
          <w:szCs w:val="21"/>
        </w:rPr>
        <w:t>。</w:t>
      </w:r>
    </w:p>
    <w:p>
      <w:pPr>
        <w:ind w:firstLine="422"/>
        <w:jc w:val="center"/>
        <w:rPr>
          <w:rFonts w:hint="eastAsia" w:ascii="宋体" w:hAnsi="宋体"/>
          <w:b/>
          <w:szCs w:val="21"/>
        </w:rPr>
      </w:pPr>
      <w:r>
        <w:rPr>
          <w:rFonts w:hint="eastAsia" w:ascii="宋体" w:hAnsi="宋体"/>
          <w:b/>
          <w:szCs w:val="21"/>
        </w:rPr>
        <w:t>表</w:t>
      </w:r>
      <w:r>
        <w:rPr>
          <w:rFonts w:ascii="宋体" w:hAnsi="宋体"/>
          <w:b/>
          <w:szCs w:val="21"/>
        </w:rPr>
        <w:t xml:space="preserve">1 </w:t>
      </w:r>
      <w:r>
        <w:rPr>
          <w:rFonts w:hint="eastAsia" w:ascii="宋体" w:hAnsi="宋体"/>
          <w:b/>
          <w:szCs w:val="21"/>
        </w:rPr>
        <w:t>工作组成员及其主要分工</w:t>
      </w:r>
    </w:p>
    <w:tbl>
      <w:tblPr>
        <w:tblStyle w:val="9"/>
        <w:tblW w:w="94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2"/>
        <w:gridCol w:w="2584"/>
        <w:gridCol w:w="60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2"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序号</w:t>
            </w:r>
          </w:p>
        </w:tc>
        <w:tc>
          <w:tcPr>
            <w:tcW w:w="25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主要完成工作</w:t>
            </w:r>
          </w:p>
        </w:tc>
        <w:tc>
          <w:tcPr>
            <w:tcW w:w="608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主要完成单位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2"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1</w:t>
            </w:r>
          </w:p>
        </w:tc>
        <w:tc>
          <w:tcPr>
            <w:tcW w:w="25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行业状况及产品应用的前期调研</w:t>
            </w:r>
          </w:p>
        </w:tc>
        <w:tc>
          <w:tcPr>
            <w:tcW w:w="608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北京建筑材料科学研究总院有限公司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2"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2</w:t>
            </w:r>
          </w:p>
        </w:tc>
        <w:tc>
          <w:tcPr>
            <w:tcW w:w="25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国内外技术材料及相关标准的搜集和翻译</w:t>
            </w:r>
          </w:p>
        </w:tc>
        <w:tc>
          <w:tcPr>
            <w:tcW w:w="608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北京建筑材料科学研究总院有限公司、东方雨虹砂粉科技集团有限公司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2"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3</w:t>
            </w:r>
          </w:p>
        </w:tc>
        <w:tc>
          <w:tcPr>
            <w:tcW w:w="25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确定各项技术要求和检验规则</w:t>
            </w:r>
          </w:p>
        </w:tc>
        <w:tc>
          <w:tcPr>
            <w:tcW w:w="608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编制组全体单位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2"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4</w:t>
            </w:r>
          </w:p>
        </w:tc>
        <w:tc>
          <w:tcPr>
            <w:tcW w:w="25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提供验证试验数据</w:t>
            </w:r>
          </w:p>
        </w:tc>
        <w:tc>
          <w:tcPr>
            <w:tcW w:w="608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编制组全体单位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2"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5</w:t>
            </w:r>
          </w:p>
        </w:tc>
        <w:tc>
          <w:tcPr>
            <w:tcW w:w="25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科技查新及资料汇总整理</w:t>
            </w:r>
          </w:p>
        </w:tc>
        <w:tc>
          <w:tcPr>
            <w:tcW w:w="608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北京建筑材料科学研究总院有限公司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2"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6</w:t>
            </w:r>
          </w:p>
        </w:tc>
        <w:tc>
          <w:tcPr>
            <w:tcW w:w="25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编写及完善编制说明等相关文件</w:t>
            </w:r>
          </w:p>
        </w:tc>
        <w:tc>
          <w:tcPr>
            <w:tcW w:w="608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szCs w:val="21"/>
              </w:rPr>
            </w:pPr>
            <w:r>
              <w:rPr>
                <w:rFonts w:hint="eastAsia" w:ascii="宋体" w:hAnsi="宋体"/>
                <w:szCs w:val="21"/>
              </w:rPr>
              <w:t>北京建筑材料科学研究总院有限公司</w:t>
            </w:r>
          </w:p>
        </w:tc>
      </w:tr>
    </w:tbl>
    <w:p>
      <w:pPr>
        <w:ind w:firstLine="420"/>
        <w:rPr>
          <w:rFonts w:hint="eastAsia" w:ascii="宋体" w:hAnsi="宋体"/>
          <w:szCs w:val="21"/>
        </w:rPr>
      </w:pPr>
    </w:p>
    <w:p>
      <w:pPr>
        <w:keepNext/>
        <w:keepLines/>
        <w:widowControl/>
        <w:ind w:firstLine="0" w:firstLineChars="0"/>
        <w:outlineLvl w:val="0"/>
        <w:rPr>
          <w:b/>
          <w:kern w:val="0"/>
          <w:sz w:val="28"/>
          <w:szCs w:val="28"/>
        </w:rPr>
      </w:pPr>
      <w:bookmarkStart w:id="10" w:name="_Toc211331659"/>
      <w:bookmarkStart w:id="11" w:name="_Toc10645672"/>
      <w:bookmarkStart w:id="12" w:name="_Toc39737507"/>
      <w:r>
        <w:rPr>
          <w:b/>
          <w:kern w:val="0"/>
          <w:sz w:val="28"/>
          <w:szCs w:val="28"/>
        </w:rPr>
        <w:t xml:space="preserve">2 </w:t>
      </w:r>
      <w:r>
        <w:rPr>
          <w:rFonts w:hint="eastAsia"/>
          <w:b/>
          <w:kern w:val="0"/>
          <w:sz w:val="28"/>
          <w:szCs w:val="28"/>
        </w:rPr>
        <w:t>标准编制的原则和主要内容</w:t>
      </w:r>
      <w:bookmarkEnd w:id="10"/>
      <w:bookmarkEnd w:id="11"/>
      <w:bookmarkEnd w:id="12"/>
    </w:p>
    <w:p>
      <w:pPr>
        <w:keepNext/>
        <w:keepLines/>
        <w:widowControl/>
        <w:ind w:firstLine="0" w:firstLineChars="0"/>
        <w:outlineLvl w:val="1"/>
        <w:rPr>
          <w:rFonts w:hint="eastAsia" w:ascii="Cambria" w:hAnsi="宋体"/>
          <w:b/>
          <w:kern w:val="0"/>
          <w:sz w:val="24"/>
        </w:rPr>
      </w:pPr>
      <w:bookmarkStart w:id="13" w:name="_Toc21223"/>
      <w:bookmarkStart w:id="14" w:name="_Toc10645673"/>
      <w:bookmarkStart w:id="15" w:name="_Toc39737508"/>
      <w:bookmarkStart w:id="16" w:name="_Toc211331660"/>
      <w:bookmarkStart w:id="17" w:name="_Toc31873"/>
      <w:r>
        <w:rPr>
          <w:rFonts w:ascii="Cambria" w:hAnsi="宋体"/>
          <w:b/>
          <w:kern w:val="0"/>
          <w:sz w:val="24"/>
        </w:rPr>
        <w:t xml:space="preserve">2.1 </w:t>
      </w:r>
      <w:r>
        <w:rPr>
          <w:rFonts w:hint="eastAsia" w:ascii="Cambria" w:hAnsi="宋体"/>
          <w:b/>
          <w:kern w:val="0"/>
          <w:sz w:val="24"/>
        </w:rPr>
        <w:t>标准制定的原则</w:t>
      </w:r>
      <w:bookmarkEnd w:id="13"/>
      <w:bookmarkEnd w:id="14"/>
      <w:bookmarkEnd w:id="15"/>
      <w:bookmarkEnd w:id="16"/>
      <w:bookmarkEnd w:id="17"/>
    </w:p>
    <w:p>
      <w:pPr>
        <w:ind w:firstLine="420"/>
        <w:rPr>
          <w:rFonts w:hint="eastAsia" w:ascii="宋体" w:hAnsi="宋体"/>
          <w:szCs w:val="21"/>
        </w:rPr>
      </w:pPr>
      <w:r>
        <w:rPr>
          <w:rFonts w:hint="eastAsia" w:ascii="宋体" w:hAnsi="宋体"/>
          <w:szCs w:val="21"/>
        </w:rPr>
        <w:t>本标准根据GB/T1.1-2020《标准化工作导则  第1部分：标准化文件的结构和起草规则》的规则和有关规定进行编制。遵从以下规则：</w:t>
      </w:r>
    </w:p>
    <w:p>
      <w:pPr>
        <w:ind w:firstLine="420"/>
        <w:rPr>
          <w:rFonts w:hint="eastAsia" w:ascii="宋体" w:hAnsi="宋体"/>
          <w:szCs w:val="21"/>
        </w:rPr>
      </w:pPr>
      <w:r>
        <w:rPr>
          <w:rFonts w:hint="eastAsia" w:ascii="宋体" w:hAnsi="宋体"/>
          <w:szCs w:val="21"/>
        </w:rPr>
        <w:t>（</w:t>
      </w:r>
      <w:r>
        <w:rPr>
          <w:rFonts w:ascii="宋体" w:hAnsi="宋体"/>
          <w:szCs w:val="21"/>
        </w:rPr>
        <w:t>1</w:t>
      </w:r>
      <w:r>
        <w:rPr>
          <w:rFonts w:hint="eastAsia" w:ascii="宋体" w:hAnsi="宋体"/>
          <w:szCs w:val="21"/>
        </w:rPr>
        <w:t>）贯彻执行国家的政策、法规，与现行其他国家标准协调一致的原则；</w:t>
      </w:r>
    </w:p>
    <w:p>
      <w:pPr>
        <w:ind w:firstLine="420"/>
        <w:rPr>
          <w:rFonts w:hint="eastAsia" w:ascii="宋体" w:hAnsi="宋体"/>
          <w:szCs w:val="21"/>
        </w:rPr>
      </w:pPr>
      <w:r>
        <w:rPr>
          <w:rFonts w:hint="eastAsia" w:ascii="宋体" w:hAnsi="宋体"/>
          <w:szCs w:val="21"/>
        </w:rPr>
        <w:t>（</w:t>
      </w:r>
      <w:r>
        <w:rPr>
          <w:rFonts w:ascii="宋体" w:hAnsi="宋体"/>
          <w:szCs w:val="21"/>
        </w:rPr>
        <w:t>2</w:t>
      </w:r>
      <w:r>
        <w:rPr>
          <w:rFonts w:hint="eastAsia" w:ascii="宋体" w:hAnsi="宋体"/>
          <w:szCs w:val="21"/>
        </w:rPr>
        <w:t>）技术制定先进可行、规范合理的原则；</w:t>
      </w:r>
    </w:p>
    <w:p>
      <w:pPr>
        <w:ind w:firstLine="420"/>
        <w:rPr>
          <w:rFonts w:hint="eastAsia" w:ascii="宋体" w:hAnsi="宋体"/>
          <w:szCs w:val="21"/>
        </w:rPr>
      </w:pPr>
      <w:r>
        <w:rPr>
          <w:rFonts w:hint="eastAsia" w:ascii="宋体" w:hAnsi="宋体"/>
          <w:szCs w:val="21"/>
        </w:rPr>
        <w:t>（</w:t>
      </w:r>
      <w:r>
        <w:rPr>
          <w:rFonts w:ascii="宋体" w:hAnsi="宋体"/>
          <w:szCs w:val="21"/>
        </w:rPr>
        <w:t>3</w:t>
      </w:r>
      <w:r>
        <w:rPr>
          <w:rFonts w:hint="eastAsia" w:ascii="宋体" w:hAnsi="宋体"/>
          <w:szCs w:val="21"/>
        </w:rPr>
        <w:t>）标准制定促进行业健康发展和技术推广的原则。</w:t>
      </w:r>
    </w:p>
    <w:p>
      <w:pPr>
        <w:ind w:firstLine="420"/>
        <w:rPr>
          <w:rFonts w:hint="eastAsia" w:ascii="宋体" w:hAnsi="宋体"/>
          <w:szCs w:val="21"/>
        </w:rPr>
      </w:pPr>
      <w:r>
        <w:rPr>
          <w:rFonts w:hint="eastAsia" w:ascii="宋体" w:hAnsi="宋体"/>
          <w:szCs w:val="21"/>
        </w:rPr>
        <w:t>标准制定过程中参考了相关的工程建设标准和产品标准，相关材料的指标要求和试验方法主要采用现行的国家标准和行业标准，以保证规程中技术指标的准确性、科学性与可比性。本标准本着安全、环保、实用、经济的原则，按国家有关规范的编写规定进行编制。具体编制过程中，也遵循下列的原则：</w:t>
      </w:r>
    </w:p>
    <w:p>
      <w:pPr>
        <w:ind w:firstLine="420"/>
        <w:rPr>
          <w:rFonts w:hint="eastAsia" w:ascii="宋体" w:hAnsi="宋体"/>
          <w:szCs w:val="21"/>
        </w:rPr>
      </w:pPr>
      <w:r>
        <w:rPr>
          <w:rFonts w:hint="eastAsia" w:ascii="宋体" w:hAnsi="宋体"/>
          <w:szCs w:val="21"/>
        </w:rPr>
        <w:t>（</w:t>
      </w:r>
      <w:r>
        <w:rPr>
          <w:rFonts w:ascii="宋体" w:hAnsi="宋体"/>
          <w:szCs w:val="21"/>
        </w:rPr>
        <w:t>1</w:t>
      </w:r>
      <w:r>
        <w:rPr>
          <w:rFonts w:hint="eastAsia" w:ascii="宋体" w:hAnsi="宋体"/>
          <w:szCs w:val="21"/>
        </w:rPr>
        <w:t>）理论性和实用性相结合，深入和浅出，具有可操作性；</w:t>
      </w:r>
    </w:p>
    <w:p>
      <w:pPr>
        <w:ind w:firstLine="420"/>
        <w:rPr>
          <w:rFonts w:hint="eastAsia" w:ascii="宋体" w:hAnsi="宋体"/>
          <w:szCs w:val="21"/>
        </w:rPr>
      </w:pPr>
      <w:r>
        <w:rPr>
          <w:rFonts w:hint="eastAsia" w:ascii="宋体" w:hAnsi="宋体"/>
          <w:szCs w:val="21"/>
        </w:rPr>
        <w:t>（</w:t>
      </w:r>
      <w:r>
        <w:rPr>
          <w:rFonts w:ascii="宋体" w:hAnsi="宋体"/>
          <w:szCs w:val="21"/>
        </w:rPr>
        <w:t>2</w:t>
      </w:r>
      <w:r>
        <w:rPr>
          <w:rFonts w:hint="eastAsia" w:ascii="宋体" w:hAnsi="宋体"/>
          <w:szCs w:val="21"/>
        </w:rPr>
        <w:t>）依据墙体饰面砂浆的应用技术和工程质量要求及验证试验数据，明确材料、设计、施工、质量验收的具体要求，做到技术先进、安全适用、经济合理；</w:t>
      </w:r>
    </w:p>
    <w:p>
      <w:pPr>
        <w:ind w:firstLine="420"/>
        <w:rPr>
          <w:rFonts w:hint="eastAsia" w:ascii="宋体" w:hAnsi="宋体"/>
          <w:szCs w:val="21"/>
        </w:rPr>
      </w:pPr>
      <w:r>
        <w:rPr>
          <w:rFonts w:hint="eastAsia" w:ascii="宋体" w:hAnsi="宋体"/>
          <w:szCs w:val="21"/>
        </w:rPr>
        <w:t>（3）将已有的成熟的应用技术纳入本标准，尚不成熟的应用技术暂不涉及；</w:t>
      </w:r>
    </w:p>
    <w:p>
      <w:pPr>
        <w:ind w:firstLine="420"/>
        <w:rPr>
          <w:rFonts w:hint="eastAsia" w:ascii="宋体" w:hAnsi="宋体"/>
          <w:szCs w:val="21"/>
        </w:rPr>
      </w:pPr>
      <w:r>
        <w:rPr>
          <w:rFonts w:hint="eastAsia" w:ascii="宋体" w:hAnsi="宋体"/>
          <w:szCs w:val="21"/>
        </w:rPr>
        <w:t>（</w:t>
      </w:r>
      <w:r>
        <w:rPr>
          <w:rFonts w:ascii="宋体" w:hAnsi="宋体"/>
          <w:szCs w:val="21"/>
        </w:rPr>
        <w:t>5</w:t>
      </w:r>
      <w:r>
        <w:rPr>
          <w:rFonts w:hint="eastAsia" w:ascii="宋体" w:hAnsi="宋体"/>
          <w:szCs w:val="21"/>
        </w:rPr>
        <w:t>）本标准除了为墙体饰面砂浆应用技术的设计、施工、质量验收提供科学性外，尚应注意标准的操作性和易用性。</w:t>
      </w:r>
    </w:p>
    <w:p>
      <w:pPr>
        <w:keepNext/>
        <w:keepLines/>
        <w:widowControl/>
        <w:ind w:firstLine="0" w:firstLineChars="0"/>
        <w:outlineLvl w:val="1"/>
        <w:rPr>
          <w:rFonts w:hint="eastAsia" w:ascii="Cambria" w:hAnsi="宋体"/>
          <w:b/>
          <w:kern w:val="0"/>
          <w:sz w:val="24"/>
        </w:rPr>
      </w:pPr>
      <w:bookmarkStart w:id="18" w:name="_Toc10407"/>
      <w:bookmarkStart w:id="19" w:name="_Toc39737509"/>
      <w:bookmarkStart w:id="20" w:name="_Toc11703"/>
      <w:bookmarkStart w:id="21" w:name="_Toc10645674"/>
      <w:bookmarkStart w:id="22" w:name="_Toc211331661"/>
      <w:r>
        <w:rPr>
          <w:rFonts w:ascii="Cambria" w:hAnsi="宋体"/>
          <w:b/>
          <w:kern w:val="0"/>
          <w:sz w:val="24"/>
        </w:rPr>
        <w:t xml:space="preserve">2.2 </w:t>
      </w:r>
      <w:r>
        <w:rPr>
          <w:rFonts w:hint="eastAsia" w:ascii="Cambria" w:hAnsi="宋体"/>
          <w:b/>
          <w:kern w:val="0"/>
          <w:sz w:val="24"/>
        </w:rPr>
        <w:t>标准的主要内容</w:t>
      </w:r>
      <w:bookmarkEnd w:id="18"/>
      <w:bookmarkEnd w:id="19"/>
      <w:bookmarkEnd w:id="20"/>
      <w:bookmarkEnd w:id="21"/>
      <w:bookmarkEnd w:id="22"/>
      <w:r>
        <w:rPr>
          <w:rFonts w:ascii="Cambria" w:hAnsi="宋体"/>
          <w:b/>
          <w:kern w:val="0"/>
          <w:sz w:val="24"/>
        </w:rPr>
        <w:tab/>
      </w:r>
    </w:p>
    <w:p>
      <w:pPr>
        <w:widowControl/>
        <w:ind w:firstLine="0" w:firstLineChars="0"/>
        <w:outlineLvl w:val="2"/>
        <w:rPr>
          <w:rFonts w:hint="eastAsia" w:ascii="宋体" w:hAnsi="宋体"/>
          <w:b/>
          <w:bCs/>
          <w:kern w:val="0"/>
          <w:sz w:val="24"/>
        </w:rPr>
      </w:pPr>
      <w:bookmarkStart w:id="23" w:name="_Toc5171"/>
      <w:bookmarkStart w:id="24" w:name="_Toc11877269"/>
      <w:bookmarkStart w:id="25" w:name="_Toc10645675"/>
      <w:bookmarkStart w:id="26" w:name="_Toc11036"/>
      <w:r>
        <w:rPr>
          <w:rFonts w:hint="eastAsia" w:ascii="宋体" w:hAnsi="宋体"/>
          <w:b/>
          <w:bCs/>
          <w:kern w:val="0"/>
          <w:sz w:val="24"/>
        </w:rPr>
        <w:t xml:space="preserve">2.2.1 </w:t>
      </w:r>
      <w:bookmarkEnd w:id="23"/>
      <w:r>
        <w:rPr>
          <w:rFonts w:hint="eastAsia" w:ascii="宋体" w:hAnsi="宋体"/>
          <w:b/>
          <w:bCs/>
          <w:kern w:val="0"/>
          <w:sz w:val="24"/>
        </w:rPr>
        <w:t>总则</w:t>
      </w:r>
      <w:bookmarkEnd w:id="24"/>
      <w:bookmarkEnd w:id="25"/>
      <w:bookmarkEnd w:id="26"/>
    </w:p>
    <w:p>
      <w:pPr>
        <w:ind w:firstLine="420"/>
      </w:pPr>
      <w:r>
        <w:rPr>
          <w:rFonts w:hint="eastAsia"/>
        </w:rPr>
        <w:t>制定本标准的目的，是为规范墙体饰面砂浆在建筑内、外墙饰面工程中的应用，保障工程质量，做到安全使用、技术先进，质量可靠，经济合理。</w:t>
      </w:r>
    </w:p>
    <w:p>
      <w:pPr>
        <w:ind w:firstLine="420"/>
      </w:pPr>
      <w:r>
        <w:rPr>
          <w:rFonts w:hint="eastAsia"/>
        </w:rPr>
        <w:t>本标准适用于新建、改建和扩建的工业与民用建筑以及既有建筑改造工程中，采用墙体饰面砂浆的内、外墙饰面工程的设计、施工和质量验收。</w:t>
      </w:r>
    </w:p>
    <w:p>
      <w:pPr>
        <w:ind w:firstLine="420"/>
      </w:pPr>
      <w:r>
        <w:rPr>
          <w:rFonts w:hint="eastAsia"/>
        </w:rPr>
        <w:t>墙体饰面砂浆的应用，除应符合本文件外，尚应符合国家现行有关标准的规定。</w:t>
      </w:r>
    </w:p>
    <w:p>
      <w:pPr>
        <w:widowControl/>
        <w:ind w:firstLine="0" w:firstLineChars="0"/>
        <w:outlineLvl w:val="2"/>
        <w:rPr>
          <w:rFonts w:hint="eastAsia" w:ascii="宋体" w:hAnsi="宋体"/>
          <w:b/>
          <w:bCs/>
          <w:kern w:val="0"/>
          <w:sz w:val="24"/>
        </w:rPr>
      </w:pPr>
      <w:r>
        <w:rPr>
          <w:rFonts w:hint="eastAsia" w:ascii="宋体" w:hAnsi="宋体"/>
          <w:b/>
          <w:bCs/>
          <w:kern w:val="0"/>
          <w:sz w:val="24"/>
        </w:rPr>
        <w:t>2.2.2 术语</w:t>
      </w:r>
    </w:p>
    <w:p>
      <w:pPr>
        <w:ind w:firstLine="420"/>
        <w:rPr>
          <w:rFonts w:hint="eastAsia" w:ascii="宋体" w:hAnsi="宋体"/>
          <w:szCs w:val="21"/>
        </w:rPr>
      </w:pPr>
      <w:r>
        <w:rPr>
          <w:rFonts w:hint="eastAsia" w:ascii="宋体" w:hAnsi="宋体"/>
          <w:szCs w:val="21"/>
        </w:rPr>
        <w:t>标准中使用到的大部分术语和定义在其他现行标准中有相应的定义和解释，因此在本标准中就不再重复罗列。此外个别术语因在本标准中的特殊使用规定，与其他现有定义略有不同，为方便使用，因此也进行定义说明。</w:t>
      </w:r>
    </w:p>
    <w:p>
      <w:pPr>
        <w:ind w:firstLine="420"/>
        <w:rPr>
          <w:rFonts w:hint="eastAsia" w:ascii="宋体" w:hAnsi="宋体"/>
          <w:szCs w:val="21"/>
        </w:rPr>
      </w:pPr>
      <w:r>
        <w:rPr>
          <w:rFonts w:hint="eastAsia" w:ascii="宋体" w:hAnsi="宋体"/>
          <w:szCs w:val="21"/>
        </w:rPr>
        <w:t>（1）墙体饰面砂浆：以无机胶凝材料、填料、添加剂和/或骨料等所组成的用于建筑墙面装饰的材料。</w:t>
      </w:r>
    </w:p>
    <w:p>
      <w:pPr>
        <w:ind w:firstLine="420"/>
        <w:rPr>
          <w:rFonts w:hint="eastAsia" w:ascii="宋体" w:hAnsi="宋体"/>
          <w:szCs w:val="21"/>
        </w:rPr>
      </w:pPr>
      <w:r>
        <w:rPr>
          <w:rFonts w:hint="eastAsia" w:ascii="宋体" w:hAnsi="宋体"/>
          <w:szCs w:val="21"/>
        </w:rPr>
        <w:t>（2）封闭底漆：由乳液、化学添加剂等复合而成，用于封闭基层</w:t>
      </w:r>
      <w:r>
        <w:rPr>
          <w:rFonts w:hint="eastAsia" w:ascii="宋体" w:hAnsi="宋体"/>
          <w:szCs w:val="21"/>
          <w:lang w:val="en-US" w:eastAsia="zh-CN"/>
        </w:rPr>
        <w:t>及增强</w:t>
      </w:r>
      <w:r>
        <w:rPr>
          <w:rFonts w:hint="eastAsia" w:ascii="宋体" w:hAnsi="宋体"/>
          <w:szCs w:val="21"/>
        </w:rPr>
        <w:t>附着力，并起到抗泛碱、防潮等作用的乳状材料。</w:t>
      </w:r>
    </w:p>
    <w:p>
      <w:pPr>
        <w:ind w:firstLine="420"/>
        <w:rPr>
          <w:rFonts w:hint="eastAsia" w:ascii="宋体" w:hAnsi="宋体"/>
          <w:szCs w:val="21"/>
        </w:rPr>
      </w:pPr>
      <w:r>
        <w:rPr>
          <w:rFonts w:hint="eastAsia" w:ascii="宋体" w:hAnsi="宋体"/>
          <w:szCs w:val="21"/>
        </w:rPr>
        <w:t>（3）罩面漆：由乳液、化学添加剂等复合而成，用于墙体饰面砂浆表面护理，并起到辅助提高其耐候性、耐沾污性、抗返碱性和防水性等作用的乳状材料。</w:t>
      </w:r>
    </w:p>
    <w:p>
      <w:pPr>
        <w:ind w:firstLine="420"/>
        <w:rPr>
          <w:rFonts w:hint="eastAsia" w:ascii="宋体" w:hAnsi="宋体"/>
          <w:szCs w:val="21"/>
        </w:rPr>
      </w:pPr>
      <w:r>
        <w:rPr>
          <w:rFonts w:hint="eastAsia" w:ascii="宋体" w:hAnsi="宋体"/>
          <w:szCs w:val="21"/>
        </w:rPr>
        <w:t>（4）基层：承受墙体饰面砂浆施工的表层。</w:t>
      </w:r>
    </w:p>
    <w:p>
      <w:pPr>
        <w:ind w:firstLine="420"/>
        <w:rPr>
          <w:rFonts w:hint="eastAsia" w:ascii="宋体" w:hAnsi="宋体"/>
          <w:szCs w:val="21"/>
        </w:rPr>
      </w:pPr>
      <w:r>
        <w:rPr>
          <w:rFonts w:hint="eastAsia" w:ascii="宋体" w:hAnsi="宋体"/>
          <w:szCs w:val="21"/>
        </w:rPr>
        <w:t>（5）墙体饰面砂浆系统：由依附于基层的封闭底漆、墙体饰面砂浆、罩面漆等产品按一定的构造方式组合而成的饰面构造的总称。</w:t>
      </w:r>
    </w:p>
    <w:p>
      <w:pPr>
        <w:ind w:firstLine="420"/>
        <w:rPr>
          <w:rFonts w:hint="eastAsia" w:ascii="宋体" w:hAnsi="宋体"/>
          <w:szCs w:val="21"/>
        </w:rPr>
      </w:pPr>
      <w:r>
        <w:rPr>
          <w:rFonts w:hint="eastAsia" w:ascii="宋体" w:hAnsi="宋体"/>
          <w:szCs w:val="21"/>
        </w:rPr>
        <w:t>（6）墙体饰面砂浆饰面工程：用于墙体饰面砂浆对建筑内、外墙进行装饰和保护的工程。</w:t>
      </w:r>
    </w:p>
    <w:p>
      <w:pPr>
        <w:widowControl/>
        <w:ind w:firstLine="0" w:firstLineChars="0"/>
        <w:outlineLvl w:val="2"/>
        <w:rPr>
          <w:rFonts w:hint="eastAsia" w:ascii="宋体" w:hAnsi="宋体"/>
          <w:b/>
          <w:bCs/>
          <w:kern w:val="0"/>
          <w:sz w:val="24"/>
        </w:rPr>
      </w:pPr>
      <w:r>
        <w:rPr>
          <w:rFonts w:hint="eastAsia" w:ascii="宋体" w:hAnsi="宋体"/>
          <w:b/>
          <w:bCs/>
          <w:kern w:val="0"/>
          <w:sz w:val="24"/>
        </w:rPr>
        <w:t>2.2.3 材料</w:t>
      </w:r>
    </w:p>
    <w:p>
      <w:pPr>
        <w:ind w:firstLine="420"/>
        <w:rPr>
          <w:rFonts w:hint="eastAsia" w:ascii="宋体" w:hAnsi="宋体"/>
          <w:szCs w:val="21"/>
        </w:rPr>
      </w:pPr>
      <w:r>
        <w:rPr>
          <w:rFonts w:hint="eastAsia" w:ascii="宋体" w:hAnsi="宋体"/>
          <w:szCs w:val="21"/>
        </w:rPr>
        <w:t>该章节内容对墙体饰面砂浆、封闭底漆、罩面漆、拌合用水等相关材料提出要求。</w:t>
      </w:r>
    </w:p>
    <w:p>
      <w:pPr>
        <w:ind w:firstLine="420"/>
        <w:rPr>
          <w:rFonts w:hint="eastAsia" w:ascii="宋体" w:hAnsi="宋体"/>
          <w:szCs w:val="21"/>
        </w:rPr>
      </w:pPr>
      <w:r>
        <w:rPr>
          <w:rFonts w:hint="eastAsia" w:ascii="宋体" w:hAnsi="宋体"/>
          <w:szCs w:val="21"/>
        </w:rPr>
        <w:t>（1）墙体饰面砂浆应符合下列规定：</w:t>
      </w:r>
    </w:p>
    <w:p>
      <w:pPr>
        <w:ind w:firstLine="420"/>
        <w:rPr>
          <w:rFonts w:hint="eastAsia" w:ascii="宋体" w:hAnsi="宋体"/>
          <w:szCs w:val="21"/>
        </w:rPr>
      </w:pPr>
      <w:r>
        <w:rPr>
          <w:rFonts w:hint="eastAsia" w:ascii="宋体" w:hAnsi="宋体"/>
          <w:szCs w:val="21"/>
        </w:rPr>
        <w:t xml:space="preserve">1　水泥基外墙饰面砂浆、水泥基内墙饰面砂浆和石膏基内墙饰面砂浆应符合现行行业标准《墙体饰面砂浆》JC/T 1024的规定； </w:t>
      </w:r>
    </w:p>
    <w:p>
      <w:pPr>
        <w:ind w:firstLine="420"/>
        <w:rPr>
          <w:rFonts w:hint="eastAsia" w:ascii="宋体" w:hAnsi="宋体"/>
          <w:szCs w:val="21"/>
        </w:rPr>
      </w:pPr>
      <w:r>
        <w:rPr>
          <w:rFonts w:hint="eastAsia" w:ascii="宋体" w:hAnsi="宋体"/>
          <w:szCs w:val="21"/>
        </w:rPr>
        <w:t>2　石灰基单层装饰砂浆应符合现行行业标准《石灰基单层装饰砂浆》JC/T 2490的规定。</w:t>
      </w:r>
    </w:p>
    <w:p>
      <w:pPr>
        <w:ind w:firstLine="420"/>
        <w:rPr>
          <w:rFonts w:hint="eastAsia" w:ascii="宋体" w:hAnsi="宋体"/>
          <w:szCs w:val="21"/>
        </w:rPr>
      </w:pPr>
      <w:r>
        <w:rPr>
          <w:rFonts w:hint="eastAsia" w:ascii="宋体" w:hAnsi="宋体"/>
          <w:szCs w:val="21"/>
        </w:rPr>
        <w:t>（2）封闭底漆性能应符合现行行业标准《建筑内外墙用底漆》JG/T 210的规定。</w:t>
      </w:r>
    </w:p>
    <w:p>
      <w:pPr>
        <w:ind w:firstLine="420"/>
        <w:rPr>
          <w:rFonts w:hint="eastAsia" w:ascii="宋体" w:hAnsi="宋体"/>
          <w:szCs w:val="21"/>
        </w:rPr>
      </w:pPr>
      <w:r>
        <w:rPr>
          <w:rFonts w:hint="eastAsia" w:ascii="宋体" w:hAnsi="宋体"/>
          <w:szCs w:val="21"/>
        </w:rPr>
        <w:t>（3）罩面漆应符合国家现行标准《合成树脂乳液外墙涂料》GB/T 9755或《建筑涂料用罩光清漆》HG/T 5065的规定。</w:t>
      </w:r>
    </w:p>
    <w:p>
      <w:pPr>
        <w:ind w:firstLine="420"/>
        <w:rPr>
          <w:rFonts w:hint="eastAsia" w:ascii="宋体" w:hAnsi="宋体"/>
          <w:szCs w:val="21"/>
        </w:rPr>
      </w:pPr>
      <w:r>
        <w:rPr>
          <w:rFonts w:hint="eastAsia" w:ascii="宋体" w:hAnsi="宋体"/>
          <w:szCs w:val="21"/>
        </w:rPr>
        <w:t>（4）拌合用水应符合现行行业标准《混凝土用水标准》JGJ 63的规定。</w:t>
      </w:r>
    </w:p>
    <w:p>
      <w:pPr>
        <w:ind w:firstLine="420"/>
        <w:rPr>
          <w:rFonts w:hint="eastAsia" w:ascii="宋体" w:hAnsi="宋体"/>
          <w:szCs w:val="21"/>
        </w:rPr>
      </w:pPr>
      <w:r>
        <w:rPr>
          <w:rFonts w:hint="eastAsia" w:ascii="宋体" w:hAnsi="宋体"/>
          <w:szCs w:val="21"/>
        </w:rPr>
        <w:t>（5）墙体饰面砂浆系统材料宜成套供应，并应具有很好的相容性。</w:t>
      </w:r>
    </w:p>
    <w:p>
      <w:pPr>
        <w:widowControl/>
        <w:ind w:firstLine="0" w:firstLineChars="0"/>
        <w:outlineLvl w:val="2"/>
        <w:rPr>
          <w:rFonts w:hint="eastAsia" w:ascii="宋体" w:hAnsi="宋体"/>
          <w:b/>
          <w:bCs/>
          <w:kern w:val="0"/>
          <w:sz w:val="24"/>
        </w:rPr>
      </w:pPr>
      <w:r>
        <w:rPr>
          <w:rFonts w:hint="eastAsia" w:ascii="宋体" w:hAnsi="宋体"/>
          <w:b/>
          <w:bCs/>
          <w:kern w:val="0"/>
          <w:sz w:val="24"/>
        </w:rPr>
        <w:t>2.2.4 设计</w:t>
      </w:r>
    </w:p>
    <w:p>
      <w:pPr>
        <w:ind w:firstLine="420"/>
        <w:rPr>
          <w:rFonts w:hint="eastAsia" w:ascii="宋体" w:hAnsi="宋体"/>
          <w:szCs w:val="21"/>
        </w:rPr>
      </w:pPr>
      <w:r>
        <w:rPr>
          <w:rFonts w:hint="eastAsia" w:ascii="宋体" w:hAnsi="宋体"/>
          <w:szCs w:val="21"/>
        </w:rPr>
        <w:t>该章节包括一般规定和构造要求两个部分。</w:t>
      </w:r>
    </w:p>
    <w:p>
      <w:pPr>
        <w:ind w:firstLine="420"/>
        <w:rPr>
          <w:rFonts w:hint="eastAsia" w:ascii="宋体" w:hAnsi="宋体"/>
          <w:szCs w:val="21"/>
        </w:rPr>
      </w:pPr>
      <w:r>
        <w:rPr>
          <w:rFonts w:hint="eastAsia" w:ascii="宋体" w:hAnsi="宋体"/>
          <w:szCs w:val="21"/>
        </w:rPr>
        <w:t>（1）根据墙体饰面砂浆应用的特殊施工要求、质量要求、安全要求及装饰美学要求，结合现行相关工程设计、应用标准，规定了墙体饰面砂浆系统的设计原则，包括墙体饰面砂浆的选用、基层、封闭底漆、罩面漆，并对石灰基单层装饰砂浆的构造进行了规定。</w:t>
      </w:r>
    </w:p>
    <w:p>
      <w:pPr>
        <w:ind w:firstLine="420"/>
        <w:rPr>
          <w:rFonts w:hint="eastAsia" w:ascii="宋体" w:hAnsi="宋体"/>
          <w:szCs w:val="21"/>
        </w:rPr>
      </w:pPr>
      <w:r>
        <w:rPr>
          <w:rFonts w:hint="eastAsia" w:ascii="宋体" w:hAnsi="宋体"/>
          <w:szCs w:val="21"/>
        </w:rPr>
        <w:t>（2）对墙体饰面砂浆系统基本构造，檐口、窗台底部，女儿墙及阳台压顶等的做法进行规定。</w:t>
      </w:r>
    </w:p>
    <w:p>
      <w:pPr>
        <w:ind w:firstLine="420"/>
        <w:rPr>
          <w:rFonts w:hint="eastAsia" w:ascii="宋体" w:hAnsi="宋体"/>
          <w:szCs w:val="21"/>
        </w:rPr>
      </w:pPr>
      <w:r>
        <w:rPr>
          <w:rFonts w:hint="eastAsia" w:ascii="宋体" w:hAnsi="宋体"/>
          <w:szCs w:val="21"/>
        </w:rPr>
        <w:t>（3）考虑墙体饰面砂浆的装饰效果，降低面层开裂风险，对外墙用墙体饰面砂浆分隔缝进行规定。</w:t>
      </w:r>
    </w:p>
    <w:p>
      <w:pPr>
        <w:widowControl/>
        <w:ind w:firstLine="0" w:firstLineChars="0"/>
        <w:outlineLvl w:val="2"/>
        <w:rPr>
          <w:rFonts w:hint="eastAsia" w:ascii="宋体" w:hAnsi="宋体"/>
          <w:b/>
          <w:bCs/>
          <w:kern w:val="0"/>
          <w:sz w:val="24"/>
        </w:rPr>
      </w:pPr>
      <w:r>
        <w:rPr>
          <w:rFonts w:hint="eastAsia" w:ascii="宋体" w:hAnsi="宋体"/>
          <w:b/>
          <w:bCs/>
          <w:kern w:val="0"/>
          <w:sz w:val="24"/>
        </w:rPr>
        <w:t>2.2.5 施工</w:t>
      </w:r>
    </w:p>
    <w:p>
      <w:pPr>
        <w:ind w:firstLine="420"/>
        <w:rPr>
          <w:rFonts w:hint="eastAsia" w:ascii="宋体" w:hAnsi="宋体"/>
          <w:szCs w:val="21"/>
        </w:rPr>
      </w:pPr>
      <w:r>
        <w:rPr>
          <w:rFonts w:hint="eastAsia" w:ascii="宋体" w:hAnsi="宋体"/>
          <w:szCs w:val="21"/>
        </w:rPr>
        <w:t>该章节包括一般规定、施工准备、施工要点、成品保护和文明施工。</w:t>
      </w:r>
    </w:p>
    <w:p>
      <w:pPr>
        <w:ind w:firstLine="420"/>
        <w:rPr>
          <w:rFonts w:hint="eastAsia" w:ascii="宋体" w:hAnsi="宋体"/>
          <w:szCs w:val="21"/>
        </w:rPr>
      </w:pPr>
      <w:r>
        <w:rPr>
          <w:rFonts w:hint="eastAsia" w:ascii="宋体" w:hAnsi="宋体"/>
          <w:szCs w:val="21"/>
        </w:rPr>
        <w:t>（1）对施工作业环境、施工条件及施工前的准备工作等，如施工前编制转项施工方案、做好防护措施，同时规定了材料的备料与存放、施工机具和工具的要求等进行规定。</w:t>
      </w:r>
    </w:p>
    <w:p>
      <w:pPr>
        <w:ind w:firstLine="420"/>
        <w:rPr>
          <w:rFonts w:hint="eastAsia" w:ascii="宋体" w:hAnsi="宋体"/>
          <w:szCs w:val="21"/>
        </w:rPr>
      </w:pPr>
      <w:r>
        <w:rPr>
          <w:rFonts w:hint="eastAsia" w:ascii="宋体" w:hAnsi="宋体"/>
          <w:szCs w:val="21"/>
        </w:rPr>
        <w:t>（2）对墙体饰面砂浆饰面工程的主要施工工序，以及基层、封闭底漆、墙体饰面砂浆、罩面漆施工细节等进行规定。对采用批刮法、喷涂法和其他造型要求的墙体饰面砂浆施工也进行了规定。</w:t>
      </w:r>
    </w:p>
    <w:p>
      <w:pPr>
        <w:ind w:firstLine="420"/>
        <w:rPr>
          <w:rFonts w:hint="eastAsia" w:ascii="宋体" w:hAnsi="宋体"/>
          <w:szCs w:val="21"/>
        </w:rPr>
      </w:pPr>
      <w:r>
        <w:rPr>
          <w:rFonts w:hint="eastAsia" w:ascii="宋体" w:hAnsi="宋体"/>
          <w:szCs w:val="21"/>
        </w:rPr>
        <w:t>（3）对墙体饰面砂浆饰面工程施工后成品保护及文明施工进行规定。</w:t>
      </w:r>
    </w:p>
    <w:p>
      <w:pPr>
        <w:widowControl/>
        <w:ind w:firstLine="0" w:firstLineChars="0"/>
        <w:outlineLvl w:val="2"/>
        <w:rPr>
          <w:rFonts w:hint="eastAsia" w:ascii="宋体" w:hAnsi="宋体"/>
          <w:b/>
          <w:bCs/>
          <w:kern w:val="0"/>
          <w:sz w:val="24"/>
        </w:rPr>
      </w:pPr>
      <w:r>
        <w:rPr>
          <w:rFonts w:hint="eastAsia" w:ascii="宋体" w:hAnsi="宋体"/>
          <w:b/>
          <w:bCs/>
          <w:kern w:val="0"/>
          <w:sz w:val="24"/>
        </w:rPr>
        <w:t>2.2.6 质量验收</w:t>
      </w:r>
    </w:p>
    <w:p>
      <w:pPr>
        <w:ind w:firstLine="420"/>
        <w:rPr>
          <w:rFonts w:hint="eastAsia" w:ascii="宋体" w:hAnsi="宋体"/>
          <w:szCs w:val="21"/>
        </w:rPr>
      </w:pPr>
      <w:r>
        <w:rPr>
          <w:rFonts w:hint="eastAsia" w:ascii="宋体" w:hAnsi="宋体"/>
          <w:szCs w:val="21"/>
        </w:rPr>
        <w:t>该章节包括一般规定、主控项目和一般项目。</w:t>
      </w:r>
    </w:p>
    <w:p>
      <w:pPr>
        <w:ind w:firstLine="420"/>
        <w:rPr>
          <w:rFonts w:hint="eastAsia" w:ascii="宋体" w:hAnsi="宋体"/>
          <w:szCs w:val="21"/>
        </w:rPr>
      </w:pPr>
      <w:r>
        <w:rPr>
          <w:rFonts w:hint="eastAsia" w:ascii="宋体" w:hAnsi="宋体"/>
          <w:szCs w:val="21"/>
        </w:rPr>
        <w:t>（1）对材料及施工前后的质量验收共性要求进行规定。</w:t>
      </w:r>
    </w:p>
    <w:p>
      <w:pPr>
        <w:ind w:firstLine="420"/>
        <w:rPr>
          <w:rFonts w:hint="eastAsia" w:ascii="宋体" w:hAnsi="宋体"/>
          <w:szCs w:val="21"/>
        </w:rPr>
      </w:pPr>
      <w:r>
        <w:rPr>
          <w:rFonts w:hint="eastAsia" w:ascii="宋体" w:hAnsi="宋体"/>
          <w:szCs w:val="21"/>
        </w:rPr>
        <w:t>（2）对墙体饰面砂浆饰面工程所用材料品种、型号和性能，构造、颜色、图案以及装饰均匀、粘结牢固等进行规定并规定了检查方法。</w:t>
      </w:r>
    </w:p>
    <w:p>
      <w:pPr>
        <w:ind w:firstLine="420"/>
        <w:rPr>
          <w:rFonts w:hint="eastAsia" w:ascii="宋体" w:hAnsi="宋体"/>
          <w:szCs w:val="21"/>
        </w:rPr>
      </w:pPr>
      <w:r>
        <w:rPr>
          <w:rFonts w:hint="eastAsia" w:ascii="宋体" w:hAnsi="宋体"/>
          <w:szCs w:val="21"/>
        </w:rPr>
        <w:t>（3）对墙体饰面砂浆饰面工程的装饰层质量、基层处理、各构造层之间以及基层之间的施工质量以及饰面工程的装饰线、分色线允许偏差等进行规定并规定了检查方法。</w:t>
      </w:r>
    </w:p>
    <w:p>
      <w:pPr>
        <w:ind w:firstLine="0" w:firstLineChars="0"/>
        <w:rPr>
          <w:rFonts w:hint="eastAsia" w:ascii="宋体" w:hAnsi="宋体"/>
          <w:b/>
          <w:bCs/>
          <w:kern w:val="0"/>
          <w:sz w:val="24"/>
        </w:rPr>
      </w:pPr>
      <w:r>
        <w:rPr>
          <w:rFonts w:ascii="宋体" w:hAnsi="宋体"/>
          <w:b/>
          <w:bCs/>
          <w:kern w:val="0"/>
          <w:sz w:val="24"/>
        </w:rPr>
        <w:t>2.2.</w:t>
      </w:r>
      <w:r>
        <w:rPr>
          <w:rFonts w:hint="eastAsia" w:ascii="宋体" w:hAnsi="宋体"/>
          <w:b/>
          <w:bCs/>
          <w:kern w:val="0"/>
          <w:sz w:val="24"/>
        </w:rPr>
        <w:t>7</w:t>
      </w:r>
      <w:r>
        <w:rPr>
          <w:rFonts w:ascii="宋体" w:hAnsi="宋体"/>
          <w:b/>
          <w:bCs/>
          <w:kern w:val="0"/>
          <w:sz w:val="24"/>
        </w:rPr>
        <w:t xml:space="preserve"> </w:t>
      </w:r>
      <w:r>
        <w:rPr>
          <w:rFonts w:hint="eastAsia" w:ascii="宋体" w:hAnsi="宋体"/>
          <w:b/>
          <w:bCs/>
          <w:kern w:val="0"/>
          <w:sz w:val="24"/>
        </w:rPr>
        <w:t>本文件用词说明</w:t>
      </w:r>
    </w:p>
    <w:p>
      <w:pPr>
        <w:ind w:firstLine="420"/>
        <w:rPr>
          <w:rFonts w:hint="eastAsia" w:ascii="宋体" w:hAnsi="宋体"/>
          <w:szCs w:val="21"/>
          <w:lang w:val="el-GR"/>
        </w:rPr>
      </w:pPr>
      <w:r>
        <w:rPr>
          <w:rFonts w:hint="eastAsia" w:ascii="宋体" w:hAnsi="宋体"/>
          <w:szCs w:val="21"/>
          <w:lang w:val="el-GR"/>
        </w:rPr>
        <w:t>对本标准条文中要求严格程度不同的用词和按其他标准执行的写法进行说明，以方便对本标准的理解和使用。</w:t>
      </w:r>
    </w:p>
    <w:p>
      <w:pPr>
        <w:ind w:firstLine="0" w:firstLineChars="0"/>
        <w:rPr>
          <w:rFonts w:hint="eastAsia" w:ascii="宋体" w:hAnsi="宋体"/>
          <w:b/>
          <w:bCs/>
          <w:kern w:val="0"/>
          <w:sz w:val="24"/>
        </w:rPr>
      </w:pPr>
      <w:r>
        <w:rPr>
          <w:rFonts w:ascii="宋体" w:hAnsi="宋体"/>
          <w:b/>
          <w:bCs/>
          <w:kern w:val="0"/>
          <w:sz w:val="24"/>
        </w:rPr>
        <w:t>2.2.</w:t>
      </w:r>
      <w:r>
        <w:rPr>
          <w:rFonts w:hint="eastAsia" w:ascii="宋体" w:hAnsi="宋体"/>
          <w:b/>
          <w:bCs/>
          <w:kern w:val="0"/>
          <w:sz w:val="24"/>
        </w:rPr>
        <w:t>8</w:t>
      </w:r>
      <w:r>
        <w:rPr>
          <w:rFonts w:ascii="宋体" w:hAnsi="宋体"/>
          <w:b/>
          <w:bCs/>
          <w:kern w:val="0"/>
          <w:sz w:val="24"/>
        </w:rPr>
        <w:t xml:space="preserve"> </w:t>
      </w:r>
      <w:r>
        <w:rPr>
          <w:rFonts w:hint="eastAsia" w:ascii="宋体" w:hAnsi="宋体"/>
          <w:b/>
          <w:bCs/>
          <w:kern w:val="0"/>
          <w:sz w:val="24"/>
        </w:rPr>
        <w:t>引用标准名录</w:t>
      </w:r>
    </w:p>
    <w:p>
      <w:pPr>
        <w:ind w:firstLine="420"/>
        <w:rPr>
          <w:rFonts w:hint="eastAsia" w:ascii="宋体" w:hAnsi="宋体"/>
          <w:szCs w:val="21"/>
        </w:rPr>
      </w:pPr>
      <w:r>
        <w:rPr>
          <w:rFonts w:hint="eastAsia" w:ascii="宋体" w:hAnsi="宋体"/>
          <w:szCs w:val="21"/>
        </w:rPr>
        <w:t>标准中共引用了5项现行国家标准和7项行业标准。凡是注日期的引用标准，仅所注日期的版本适用于本标准；凡是不注日期的引用标准，其最新版本（包括所有的修改单）适用于本标准。</w:t>
      </w:r>
    </w:p>
    <w:p>
      <w:pPr>
        <w:ind w:firstLine="0" w:firstLineChars="0"/>
        <w:rPr>
          <w:rFonts w:hint="eastAsia" w:ascii="宋体" w:hAnsi="宋体"/>
          <w:b/>
          <w:bCs/>
          <w:kern w:val="0"/>
          <w:sz w:val="24"/>
        </w:rPr>
      </w:pPr>
      <w:r>
        <w:rPr>
          <w:rFonts w:ascii="宋体" w:hAnsi="宋体"/>
          <w:b/>
          <w:bCs/>
          <w:kern w:val="0"/>
          <w:sz w:val="24"/>
        </w:rPr>
        <w:t>2.2.</w:t>
      </w:r>
      <w:r>
        <w:rPr>
          <w:rFonts w:hint="eastAsia" w:ascii="宋体" w:hAnsi="宋体"/>
          <w:b/>
          <w:bCs/>
          <w:kern w:val="0"/>
          <w:sz w:val="24"/>
        </w:rPr>
        <w:t>9</w:t>
      </w:r>
      <w:r>
        <w:rPr>
          <w:rFonts w:ascii="宋体" w:hAnsi="宋体"/>
          <w:b/>
          <w:bCs/>
          <w:kern w:val="0"/>
          <w:sz w:val="24"/>
        </w:rPr>
        <w:t xml:space="preserve"> </w:t>
      </w:r>
      <w:r>
        <w:rPr>
          <w:rFonts w:hint="eastAsia" w:ascii="宋体" w:hAnsi="宋体"/>
          <w:b/>
          <w:bCs/>
          <w:kern w:val="0"/>
          <w:sz w:val="24"/>
        </w:rPr>
        <w:t>条文说明</w:t>
      </w:r>
    </w:p>
    <w:p>
      <w:pPr>
        <w:ind w:firstLine="420"/>
        <w:rPr>
          <w:rFonts w:hint="eastAsia" w:ascii="宋体" w:hAnsi="宋体"/>
          <w:szCs w:val="21"/>
        </w:rPr>
      </w:pPr>
      <w:r>
        <w:rPr>
          <w:rFonts w:hint="eastAsia" w:ascii="宋体" w:hAnsi="宋体"/>
          <w:szCs w:val="21"/>
        </w:rPr>
        <w:t>为便于广大设计、施工、科研、学校等单位有关人员在使用本标准时能正确理解和执行条文规定，编制组编制了本标准的条文说明，对条文规定的目的、依据以及执行中需注意的有关事项进行了说明。但条文说明不具备与标准正文同等的标准效力，仅供读者作为理解和把握标准规定的参考。</w:t>
      </w:r>
    </w:p>
    <w:p>
      <w:pPr>
        <w:ind w:firstLine="0" w:firstLineChars="0"/>
        <w:outlineLvl w:val="0"/>
        <w:rPr>
          <w:b/>
          <w:kern w:val="0"/>
          <w:sz w:val="24"/>
        </w:rPr>
      </w:pPr>
      <w:bookmarkStart w:id="27" w:name="_Toc211331662"/>
      <w:r>
        <w:rPr>
          <w:b/>
          <w:kern w:val="0"/>
          <w:sz w:val="24"/>
        </w:rPr>
        <w:t xml:space="preserve">3 </w:t>
      </w:r>
      <w:r>
        <w:rPr>
          <w:rFonts w:hint="eastAsia"/>
          <w:b/>
          <w:kern w:val="0"/>
          <w:sz w:val="24"/>
        </w:rPr>
        <w:t>主要试验验证情况分析</w:t>
      </w:r>
      <w:bookmarkEnd w:id="27"/>
    </w:p>
    <w:p>
      <w:pPr>
        <w:ind w:firstLine="420"/>
        <w:rPr>
          <w:rFonts w:hint="eastAsia" w:ascii="宋体" w:hAnsi="宋体"/>
          <w:szCs w:val="21"/>
        </w:rPr>
      </w:pPr>
      <w:r>
        <w:rPr>
          <w:rFonts w:hint="eastAsia" w:ascii="宋体" w:hAnsi="宋体"/>
          <w:szCs w:val="21"/>
        </w:rPr>
        <w:t>为保证规程项目要求的合理性，标准编制组在中国建筑材料联合会预拌砂浆分会的支持下，对墙体饰面砂浆应用工程进行技术信息和数据收集，作为标准制定的重要依据。</w:t>
      </w:r>
    </w:p>
    <w:p>
      <w:pPr>
        <w:keepNext/>
        <w:keepLines/>
        <w:widowControl/>
        <w:ind w:firstLine="0" w:firstLineChars="0"/>
        <w:outlineLvl w:val="1"/>
        <w:rPr>
          <w:rFonts w:hint="eastAsia" w:ascii="Cambria" w:hAnsi="宋体"/>
          <w:b/>
          <w:kern w:val="0"/>
          <w:sz w:val="24"/>
        </w:rPr>
      </w:pPr>
      <w:bookmarkStart w:id="28" w:name="_Toc211331663"/>
      <w:r>
        <w:rPr>
          <w:rFonts w:hint="eastAsia" w:ascii="Cambria" w:hAnsi="宋体"/>
          <w:b/>
          <w:kern w:val="0"/>
          <w:sz w:val="24"/>
        </w:rPr>
        <w:t>3</w:t>
      </w:r>
      <w:r>
        <w:rPr>
          <w:rFonts w:ascii="Cambria" w:hAnsi="宋体"/>
          <w:b/>
          <w:kern w:val="0"/>
          <w:sz w:val="24"/>
        </w:rPr>
        <w:t xml:space="preserve">.1 </w:t>
      </w:r>
      <w:r>
        <w:rPr>
          <w:rFonts w:hint="eastAsia" w:ascii="Cambria" w:hAnsi="宋体"/>
          <w:b/>
          <w:kern w:val="0"/>
          <w:sz w:val="24"/>
        </w:rPr>
        <w:t>墙体饰面砂浆</w:t>
      </w:r>
      <w:bookmarkEnd w:id="28"/>
    </w:p>
    <w:p>
      <w:pPr>
        <w:ind w:firstLine="420"/>
        <w:rPr>
          <w:rFonts w:hint="eastAsia" w:ascii="宋体" w:hAnsi="宋体"/>
          <w:szCs w:val="21"/>
        </w:rPr>
      </w:pPr>
      <w:r>
        <w:rPr>
          <w:rFonts w:hint="eastAsia" w:ascii="宋体" w:hAnsi="宋体"/>
          <w:szCs w:val="21"/>
        </w:rPr>
        <w:t>墙体饰面砂浆的验证试验按照现行行业标准《墙体饰面砂浆》JC/T 1024进行，结果见表2。</w:t>
      </w:r>
    </w:p>
    <w:p>
      <w:pPr>
        <w:keepNext/>
        <w:keepLines/>
        <w:widowControl/>
        <w:ind w:firstLine="0" w:firstLineChars="0"/>
        <w:outlineLvl w:val="1"/>
        <w:rPr>
          <w:rFonts w:hint="eastAsia" w:ascii="Cambria" w:hAnsi="宋体"/>
          <w:b/>
          <w:kern w:val="0"/>
          <w:sz w:val="24"/>
        </w:rPr>
      </w:pPr>
      <w:bookmarkStart w:id="29" w:name="_Toc211331664"/>
      <w:r>
        <w:rPr>
          <w:rFonts w:hint="eastAsia" w:ascii="Cambria" w:hAnsi="宋体"/>
          <w:b/>
          <w:kern w:val="0"/>
          <w:sz w:val="24"/>
        </w:rPr>
        <w:t>3</w:t>
      </w:r>
      <w:r>
        <w:rPr>
          <w:rFonts w:ascii="Cambria" w:hAnsi="宋体"/>
          <w:b/>
          <w:kern w:val="0"/>
          <w:sz w:val="24"/>
        </w:rPr>
        <w:t>.</w:t>
      </w:r>
      <w:r>
        <w:rPr>
          <w:rFonts w:hint="eastAsia" w:ascii="Cambria" w:hAnsi="宋体"/>
          <w:b/>
          <w:kern w:val="0"/>
          <w:sz w:val="24"/>
        </w:rPr>
        <w:t>2</w:t>
      </w:r>
      <w:r>
        <w:rPr>
          <w:rFonts w:ascii="Cambria" w:hAnsi="宋体"/>
          <w:b/>
          <w:kern w:val="0"/>
          <w:sz w:val="24"/>
        </w:rPr>
        <w:t xml:space="preserve"> </w:t>
      </w:r>
      <w:r>
        <w:rPr>
          <w:rFonts w:hint="eastAsia" w:ascii="Cambria" w:hAnsi="宋体"/>
          <w:b/>
          <w:kern w:val="0"/>
          <w:sz w:val="24"/>
        </w:rPr>
        <w:t>封闭底漆</w:t>
      </w:r>
      <w:bookmarkEnd w:id="29"/>
    </w:p>
    <w:p>
      <w:pPr>
        <w:ind w:firstLine="420"/>
        <w:rPr>
          <w:rFonts w:hint="eastAsia" w:ascii="宋体" w:hAnsi="宋体"/>
          <w:szCs w:val="21"/>
        </w:rPr>
      </w:pPr>
      <w:r>
        <w:rPr>
          <w:rFonts w:hint="eastAsia" w:ascii="宋体" w:hAnsi="宋体"/>
          <w:szCs w:val="21"/>
        </w:rPr>
        <w:t>封闭底漆的验证试验按照现行行业标准《建筑内外墙用底漆》JG/T 210进行，结果见表3。</w:t>
      </w:r>
    </w:p>
    <w:p>
      <w:pPr>
        <w:keepNext/>
        <w:keepLines/>
        <w:widowControl/>
        <w:ind w:firstLine="0" w:firstLineChars="0"/>
        <w:outlineLvl w:val="1"/>
        <w:rPr>
          <w:rFonts w:hint="eastAsia" w:ascii="Cambria" w:hAnsi="宋体"/>
          <w:b/>
          <w:kern w:val="0"/>
          <w:sz w:val="24"/>
        </w:rPr>
      </w:pPr>
      <w:bookmarkStart w:id="30" w:name="_Toc211331665"/>
      <w:r>
        <w:rPr>
          <w:rFonts w:hint="eastAsia" w:ascii="Cambria" w:hAnsi="宋体"/>
          <w:b/>
          <w:kern w:val="0"/>
          <w:sz w:val="24"/>
        </w:rPr>
        <w:t>3</w:t>
      </w:r>
      <w:r>
        <w:rPr>
          <w:rFonts w:ascii="Cambria" w:hAnsi="宋体"/>
          <w:b/>
          <w:kern w:val="0"/>
          <w:sz w:val="24"/>
        </w:rPr>
        <w:t>.</w:t>
      </w:r>
      <w:r>
        <w:rPr>
          <w:rFonts w:hint="eastAsia" w:ascii="Cambria" w:hAnsi="宋体"/>
          <w:b/>
          <w:kern w:val="0"/>
          <w:sz w:val="24"/>
        </w:rPr>
        <w:t>3</w:t>
      </w:r>
      <w:r>
        <w:rPr>
          <w:rFonts w:ascii="Cambria" w:hAnsi="宋体"/>
          <w:b/>
          <w:kern w:val="0"/>
          <w:sz w:val="24"/>
        </w:rPr>
        <w:t xml:space="preserve"> </w:t>
      </w:r>
      <w:r>
        <w:rPr>
          <w:rFonts w:hint="eastAsia" w:ascii="Cambria" w:hAnsi="宋体"/>
          <w:b/>
          <w:kern w:val="0"/>
          <w:sz w:val="24"/>
        </w:rPr>
        <w:t>罩面漆</w:t>
      </w:r>
      <w:bookmarkEnd w:id="30"/>
    </w:p>
    <w:p>
      <w:pPr>
        <w:ind w:firstLine="420"/>
        <w:rPr>
          <w:rFonts w:hint="eastAsia" w:ascii="宋体" w:hAnsi="宋体"/>
          <w:szCs w:val="21"/>
        </w:rPr>
        <w:sectPr>
          <w:pgSz w:w="11906" w:h="16838"/>
          <w:pgMar w:top="1440" w:right="1800" w:bottom="1440" w:left="1800" w:header="851" w:footer="992" w:gutter="0"/>
          <w:cols w:space="425" w:num="1"/>
          <w:docGrid w:type="lines" w:linePitch="312" w:charSpace="0"/>
        </w:sectPr>
      </w:pPr>
      <w:r>
        <w:rPr>
          <w:rFonts w:hint="eastAsia" w:ascii="宋体" w:hAnsi="宋体"/>
          <w:szCs w:val="21"/>
        </w:rPr>
        <w:t>罩面漆的验证试验按照现行行业标准</w:t>
      </w:r>
      <w:bookmarkStart w:id="31" w:name="OLE_LINK9"/>
      <w:r>
        <w:rPr>
          <w:rFonts w:hint="eastAsia" w:ascii="宋体" w:hAnsi="宋体"/>
          <w:szCs w:val="21"/>
        </w:rPr>
        <w:t>《建筑涂料用罩光清漆》</w:t>
      </w:r>
      <w:r>
        <w:rPr>
          <w:rFonts w:ascii="宋体" w:hAnsi="宋体"/>
          <w:szCs w:val="21"/>
        </w:rPr>
        <w:t>HG/T 5065</w:t>
      </w:r>
      <w:bookmarkEnd w:id="31"/>
      <w:r>
        <w:rPr>
          <w:rFonts w:hint="eastAsia" w:ascii="宋体" w:hAnsi="宋体"/>
          <w:szCs w:val="21"/>
        </w:rPr>
        <w:t>进行，结果见表4。</w:t>
      </w:r>
    </w:p>
    <w:p>
      <w:pPr>
        <w:ind w:firstLine="0" w:firstLineChars="0"/>
        <w:jc w:val="center"/>
        <w:rPr>
          <w:rFonts w:hint="eastAsia" w:ascii="宋体" w:hAnsi="宋体"/>
          <w:b/>
          <w:szCs w:val="21"/>
        </w:rPr>
      </w:pPr>
      <w:r>
        <w:rPr>
          <w:rFonts w:hint="eastAsia" w:ascii="宋体" w:hAnsi="宋体"/>
          <w:b/>
          <w:szCs w:val="21"/>
        </w:rPr>
        <w:t>表2  墙体饰面砂浆的验证试验结果</w:t>
      </w:r>
    </w:p>
    <w:tbl>
      <w:tblPr>
        <w:tblStyle w:val="9"/>
        <w:tblW w:w="5137" w:type="pct"/>
        <w:jc w:val="center"/>
        <w:tblLayout w:type="autofit"/>
        <w:tblCellMar>
          <w:top w:w="0" w:type="dxa"/>
          <w:left w:w="108" w:type="dxa"/>
          <w:bottom w:w="0" w:type="dxa"/>
          <w:right w:w="108" w:type="dxa"/>
        </w:tblCellMar>
      </w:tblPr>
      <w:tblGrid>
        <w:gridCol w:w="576"/>
        <w:gridCol w:w="756"/>
        <w:gridCol w:w="2204"/>
        <w:gridCol w:w="2204"/>
        <w:gridCol w:w="2204"/>
        <w:gridCol w:w="2204"/>
        <w:gridCol w:w="2204"/>
        <w:gridCol w:w="2210"/>
      </w:tblGrid>
      <w:tr>
        <w:tblPrEx>
          <w:tblCellMar>
            <w:top w:w="0" w:type="dxa"/>
            <w:left w:w="108" w:type="dxa"/>
            <w:bottom w:w="0" w:type="dxa"/>
            <w:right w:w="108" w:type="dxa"/>
          </w:tblCellMar>
        </w:tblPrEx>
        <w:trPr>
          <w:trHeight w:val="285" w:hRule="atLeast"/>
          <w:jc w:val="center"/>
        </w:trPr>
        <w:tc>
          <w:tcPr>
            <w:tcW w:w="459" w:type="pct"/>
            <w:gridSpan w:val="2"/>
            <w:vMerge w:val="restart"/>
            <w:tcBorders>
              <w:top w:val="single" w:color="auto" w:sz="4" w:space="0"/>
              <w:left w:val="single" w:color="auto" w:sz="4" w:space="0"/>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项目</w:t>
            </w:r>
          </w:p>
        </w:tc>
        <w:tc>
          <w:tcPr>
            <w:tcW w:w="4540" w:type="pct"/>
            <w:gridSpan w:val="6"/>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试样编号</w:t>
            </w:r>
          </w:p>
        </w:tc>
      </w:tr>
      <w:tr>
        <w:tblPrEx>
          <w:tblCellMar>
            <w:top w:w="0" w:type="dxa"/>
            <w:left w:w="108" w:type="dxa"/>
            <w:bottom w:w="0" w:type="dxa"/>
            <w:right w:w="108" w:type="dxa"/>
          </w:tblCellMar>
        </w:tblPrEx>
        <w:trPr>
          <w:trHeight w:val="285" w:hRule="atLeast"/>
          <w:jc w:val="center"/>
        </w:trPr>
        <w:tc>
          <w:tcPr>
            <w:tcW w:w="459" w:type="pct"/>
            <w:gridSpan w:val="2"/>
            <w:vMerge w:val="continue"/>
            <w:tcBorders>
              <w:top w:val="single" w:color="auto" w:sz="4" w:space="0"/>
              <w:left w:val="single" w:color="auto" w:sz="4" w:space="0"/>
              <w:bottom w:val="single" w:color="auto" w:sz="4" w:space="0"/>
              <w:right w:val="single" w:color="auto" w:sz="4" w:space="0"/>
            </w:tcBorders>
            <w:vAlign w:val="center"/>
          </w:tcPr>
          <w:p>
            <w:pPr>
              <w:ind w:firstLine="361"/>
              <w:jc w:val="center"/>
              <w:rPr>
                <w:rFonts w:hint="eastAsia" w:ascii="宋体" w:hAnsi="宋体"/>
                <w:b w:val="0"/>
                <w:bCs w:val="0"/>
                <w:sz w:val="18"/>
                <w:szCs w:val="18"/>
              </w:rPr>
            </w:pP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3</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5</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6</w:t>
            </w:r>
          </w:p>
        </w:tc>
      </w:tr>
      <w:tr>
        <w:tblPrEx>
          <w:tblCellMar>
            <w:top w:w="0" w:type="dxa"/>
            <w:left w:w="108" w:type="dxa"/>
            <w:bottom w:w="0" w:type="dxa"/>
            <w:right w:w="108" w:type="dxa"/>
          </w:tblCellMar>
        </w:tblPrEx>
        <w:trPr>
          <w:trHeight w:val="285" w:hRule="atLeast"/>
          <w:jc w:val="center"/>
        </w:trPr>
        <w:tc>
          <w:tcPr>
            <w:tcW w:w="459" w:type="pct"/>
            <w:gridSpan w:val="2"/>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外观</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均匀、无结块、无杂物</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均匀、无结块、无杂物</w:t>
            </w:r>
          </w:p>
        </w:tc>
        <w:tc>
          <w:tcPr>
            <w:tcW w:w="756" w:type="pct"/>
            <w:tcBorders>
              <w:top w:val="single" w:color="auto" w:sz="4" w:space="0"/>
              <w:left w:val="nil"/>
              <w:bottom w:val="single" w:color="auto" w:sz="4" w:space="0"/>
              <w:right w:val="single" w:color="auto" w:sz="4" w:space="0"/>
            </w:tcBorders>
            <w:noWrap/>
          </w:tcPr>
          <w:p>
            <w:pPr>
              <w:ind w:firstLine="0" w:firstLineChars="0"/>
              <w:jc w:val="center"/>
              <w:rPr>
                <w:rFonts w:hint="eastAsia" w:ascii="宋体" w:hAnsi="宋体"/>
                <w:b w:val="0"/>
                <w:bCs w:val="0"/>
                <w:sz w:val="18"/>
                <w:szCs w:val="18"/>
              </w:rPr>
            </w:pPr>
            <w:r>
              <w:rPr>
                <w:rFonts w:hint="eastAsia" w:ascii="宋体" w:hAnsi="宋体"/>
                <w:b w:val="0"/>
                <w:bCs w:val="0"/>
                <w:sz w:val="18"/>
                <w:szCs w:val="18"/>
              </w:rPr>
              <w:t>均匀、无结块、无杂物</w:t>
            </w:r>
          </w:p>
        </w:tc>
        <w:tc>
          <w:tcPr>
            <w:tcW w:w="756" w:type="pct"/>
            <w:tcBorders>
              <w:top w:val="single" w:color="auto" w:sz="4" w:space="0"/>
              <w:left w:val="nil"/>
              <w:bottom w:val="single" w:color="auto" w:sz="4" w:space="0"/>
              <w:right w:val="single" w:color="auto" w:sz="4" w:space="0"/>
            </w:tcBorders>
            <w:noWrap/>
          </w:tcPr>
          <w:p>
            <w:pPr>
              <w:ind w:firstLine="0" w:firstLineChars="0"/>
              <w:jc w:val="center"/>
              <w:rPr>
                <w:rFonts w:hint="eastAsia" w:ascii="宋体" w:hAnsi="宋体"/>
                <w:b w:val="0"/>
                <w:bCs w:val="0"/>
                <w:sz w:val="18"/>
                <w:szCs w:val="18"/>
              </w:rPr>
            </w:pPr>
            <w:r>
              <w:rPr>
                <w:rFonts w:hint="eastAsia" w:ascii="宋体" w:hAnsi="宋体"/>
                <w:b w:val="0"/>
                <w:bCs w:val="0"/>
                <w:sz w:val="18"/>
                <w:szCs w:val="18"/>
              </w:rPr>
              <w:t>均匀、无结块、无杂物</w:t>
            </w:r>
          </w:p>
        </w:tc>
        <w:tc>
          <w:tcPr>
            <w:tcW w:w="756" w:type="pct"/>
            <w:tcBorders>
              <w:top w:val="single" w:color="auto" w:sz="4" w:space="0"/>
              <w:left w:val="nil"/>
              <w:bottom w:val="single" w:color="auto" w:sz="4" w:space="0"/>
              <w:right w:val="single" w:color="auto" w:sz="4" w:space="0"/>
            </w:tcBorders>
            <w:noWrap/>
          </w:tcPr>
          <w:p>
            <w:pPr>
              <w:ind w:firstLine="0" w:firstLineChars="0"/>
              <w:jc w:val="center"/>
              <w:rPr>
                <w:rFonts w:hint="eastAsia" w:ascii="宋体" w:hAnsi="宋体"/>
                <w:b w:val="0"/>
                <w:bCs w:val="0"/>
                <w:sz w:val="18"/>
                <w:szCs w:val="18"/>
              </w:rPr>
            </w:pPr>
            <w:r>
              <w:rPr>
                <w:rFonts w:hint="eastAsia" w:ascii="宋体" w:hAnsi="宋体"/>
                <w:b w:val="0"/>
                <w:bCs w:val="0"/>
                <w:sz w:val="18"/>
                <w:szCs w:val="18"/>
              </w:rPr>
              <w:t>均匀、无结块、无杂物</w:t>
            </w:r>
          </w:p>
        </w:tc>
        <w:tc>
          <w:tcPr>
            <w:tcW w:w="756" w:type="pct"/>
            <w:tcBorders>
              <w:top w:val="single" w:color="auto" w:sz="4" w:space="0"/>
              <w:left w:val="nil"/>
              <w:bottom w:val="single" w:color="auto" w:sz="4" w:space="0"/>
              <w:right w:val="single" w:color="auto" w:sz="4" w:space="0"/>
            </w:tcBorders>
            <w:noWrap/>
          </w:tcPr>
          <w:p>
            <w:pPr>
              <w:ind w:firstLine="0" w:firstLineChars="0"/>
              <w:jc w:val="center"/>
              <w:rPr>
                <w:rFonts w:hint="eastAsia" w:ascii="宋体" w:hAnsi="宋体"/>
                <w:b w:val="0"/>
                <w:bCs w:val="0"/>
                <w:sz w:val="18"/>
                <w:szCs w:val="18"/>
              </w:rPr>
            </w:pPr>
            <w:r>
              <w:rPr>
                <w:rFonts w:hint="eastAsia" w:ascii="宋体" w:hAnsi="宋体"/>
                <w:b w:val="0"/>
                <w:bCs w:val="0"/>
                <w:sz w:val="18"/>
                <w:szCs w:val="18"/>
              </w:rPr>
              <w:t>均匀、无结块、无杂物</w:t>
            </w:r>
          </w:p>
        </w:tc>
      </w:tr>
      <w:tr>
        <w:tblPrEx>
          <w:tblCellMar>
            <w:top w:w="0" w:type="dxa"/>
            <w:left w:w="108" w:type="dxa"/>
            <w:bottom w:w="0" w:type="dxa"/>
            <w:right w:w="108" w:type="dxa"/>
          </w:tblCellMar>
        </w:tblPrEx>
        <w:trPr>
          <w:trHeight w:val="285" w:hRule="atLeast"/>
          <w:jc w:val="center"/>
        </w:trPr>
        <w:tc>
          <w:tcPr>
            <w:tcW w:w="459" w:type="pct"/>
            <w:gridSpan w:val="2"/>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可操作时间（60min）</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刮涂无障碍</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刮涂无障碍</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刮涂无障碍</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刮涂无障碍</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刮涂无障碍</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刮涂无障碍</w:t>
            </w:r>
          </w:p>
        </w:tc>
      </w:tr>
      <w:tr>
        <w:tblPrEx>
          <w:tblCellMar>
            <w:top w:w="0" w:type="dxa"/>
            <w:left w:w="108" w:type="dxa"/>
            <w:bottom w:w="0" w:type="dxa"/>
            <w:right w:w="108" w:type="dxa"/>
          </w:tblCellMar>
        </w:tblPrEx>
        <w:trPr>
          <w:trHeight w:val="285" w:hRule="atLeast"/>
          <w:jc w:val="center"/>
        </w:trPr>
        <w:tc>
          <w:tcPr>
            <w:tcW w:w="459" w:type="pct"/>
            <w:gridSpan w:val="2"/>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初期干燥抗裂性</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无裂纹</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无裂纹</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无裂纹</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无裂纹</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无裂纹</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无裂纹</w:t>
            </w:r>
          </w:p>
        </w:tc>
      </w:tr>
      <w:tr>
        <w:tblPrEx>
          <w:tblCellMar>
            <w:top w:w="0" w:type="dxa"/>
            <w:left w:w="108" w:type="dxa"/>
            <w:bottom w:w="0" w:type="dxa"/>
            <w:right w:w="108" w:type="dxa"/>
          </w:tblCellMar>
        </w:tblPrEx>
        <w:trPr>
          <w:trHeight w:val="235" w:hRule="atLeast"/>
          <w:jc w:val="center"/>
        </w:trPr>
        <w:tc>
          <w:tcPr>
            <w:tcW w:w="198" w:type="pct"/>
            <w:vMerge w:val="restart"/>
            <w:tcBorders>
              <w:top w:val="single" w:color="auto" w:sz="4" w:space="0"/>
              <w:left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吸水量，g</w:t>
            </w:r>
          </w:p>
        </w:tc>
        <w:tc>
          <w:tcPr>
            <w:tcW w:w="261" w:type="pct"/>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30min</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0.6</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0.7</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0.2</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1.9</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0.8</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1.5</w:t>
            </w:r>
          </w:p>
        </w:tc>
      </w:tr>
      <w:tr>
        <w:tblPrEx>
          <w:tblCellMar>
            <w:top w:w="0" w:type="dxa"/>
            <w:left w:w="108" w:type="dxa"/>
            <w:bottom w:w="0" w:type="dxa"/>
            <w:right w:w="108" w:type="dxa"/>
          </w:tblCellMar>
        </w:tblPrEx>
        <w:trPr>
          <w:trHeight w:val="235" w:hRule="atLeast"/>
          <w:jc w:val="center"/>
        </w:trPr>
        <w:tc>
          <w:tcPr>
            <w:tcW w:w="198" w:type="pct"/>
            <w:vMerge w:val="continue"/>
            <w:tcBorders>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p>
        </w:tc>
        <w:tc>
          <w:tcPr>
            <w:tcW w:w="261" w:type="pct"/>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240min</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1.3</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1.7</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0.4</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4.9</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1.8</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2.6</w:t>
            </w:r>
          </w:p>
        </w:tc>
      </w:tr>
      <w:tr>
        <w:tblPrEx>
          <w:tblCellMar>
            <w:top w:w="0" w:type="dxa"/>
            <w:left w:w="108" w:type="dxa"/>
            <w:bottom w:w="0" w:type="dxa"/>
            <w:right w:w="108" w:type="dxa"/>
          </w:tblCellMar>
        </w:tblPrEx>
        <w:trPr>
          <w:trHeight w:val="92" w:hRule="atLeast"/>
          <w:jc w:val="center"/>
        </w:trPr>
        <w:tc>
          <w:tcPr>
            <w:tcW w:w="198" w:type="pct"/>
            <w:vMerge w:val="restart"/>
            <w:tcBorders>
              <w:top w:val="single" w:color="auto" w:sz="4" w:space="0"/>
              <w:left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强度，MPa</w:t>
            </w:r>
          </w:p>
        </w:tc>
        <w:tc>
          <w:tcPr>
            <w:tcW w:w="261" w:type="pct"/>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抗折强度</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4.3</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3.2</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2.52</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2.57</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2.7</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3.1</w:t>
            </w:r>
          </w:p>
        </w:tc>
      </w:tr>
      <w:tr>
        <w:tblPrEx>
          <w:tblCellMar>
            <w:top w:w="0" w:type="dxa"/>
            <w:left w:w="108" w:type="dxa"/>
            <w:bottom w:w="0" w:type="dxa"/>
            <w:right w:w="108" w:type="dxa"/>
          </w:tblCellMar>
        </w:tblPrEx>
        <w:trPr>
          <w:trHeight w:val="90" w:hRule="atLeast"/>
          <w:jc w:val="center"/>
        </w:trPr>
        <w:tc>
          <w:tcPr>
            <w:tcW w:w="198" w:type="pct"/>
            <w:vMerge w:val="continue"/>
            <w:tcBorders>
              <w:left w:val="single" w:color="auto" w:sz="4" w:space="0"/>
              <w:right w:val="single" w:color="auto" w:sz="4" w:space="0"/>
            </w:tcBorders>
            <w:vAlign w:val="center"/>
          </w:tcPr>
          <w:p>
            <w:pPr>
              <w:ind w:firstLine="0" w:firstLineChars="0"/>
              <w:jc w:val="center"/>
              <w:rPr>
                <w:rFonts w:hint="eastAsia" w:ascii="宋体" w:hAnsi="宋体"/>
                <w:b w:val="0"/>
                <w:bCs w:val="0"/>
                <w:sz w:val="18"/>
                <w:szCs w:val="18"/>
              </w:rPr>
            </w:pPr>
          </w:p>
        </w:tc>
        <w:tc>
          <w:tcPr>
            <w:tcW w:w="261" w:type="pct"/>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抗压强度</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9.1</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6.3</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4.55</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5.26</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4.7</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6.9</w:t>
            </w:r>
          </w:p>
        </w:tc>
      </w:tr>
      <w:tr>
        <w:tblPrEx>
          <w:tblCellMar>
            <w:top w:w="0" w:type="dxa"/>
            <w:left w:w="108" w:type="dxa"/>
            <w:bottom w:w="0" w:type="dxa"/>
            <w:right w:w="108" w:type="dxa"/>
          </w:tblCellMar>
        </w:tblPrEx>
        <w:trPr>
          <w:trHeight w:val="90" w:hRule="atLeast"/>
          <w:jc w:val="center"/>
        </w:trPr>
        <w:tc>
          <w:tcPr>
            <w:tcW w:w="198" w:type="pct"/>
            <w:vMerge w:val="continue"/>
            <w:tcBorders>
              <w:left w:val="single" w:color="auto" w:sz="4" w:space="0"/>
              <w:right w:val="single" w:color="auto" w:sz="4" w:space="0"/>
            </w:tcBorders>
            <w:vAlign w:val="center"/>
          </w:tcPr>
          <w:p>
            <w:pPr>
              <w:ind w:firstLine="0" w:firstLineChars="0"/>
              <w:jc w:val="center"/>
              <w:rPr>
                <w:rFonts w:hint="eastAsia" w:ascii="宋体" w:hAnsi="宋体"/>
                <w:b w:val="0"/>
                <w:bCs w:val="0"/>
                <w:sz w:val="18"/>
                <w:szCs w:val="18"/>
              </w:rPr>
            </w:pPr>
          </w:p>
        </w:tc>
        <w:tc>
          <w:tcPr>
            <w:tcW w:w="261" w:type="pct"/>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拉伸粘结原强度</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0.68</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1.4</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1.36</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1.08</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0.54</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0.8</w:t>
            </w:r>
          </w:p>
        </w:tc>
      </w:tr>
      <w:tr>
        <w:tblPrEx>
          <w:tblCellMar>
            <w:top w:w="0" w:type="dxa"/>
            <w:left w:w="108" w:type="dxa"/>
            <w:bottom w:w="0" w:type="dxa"/>
            <w:right w:w="108" w:type="dxa"/>
          </w:tblCellMar>
        </w:tblPrEx>
        <w:trPr>
          <w:trHeight w:val="90" w:hRule="atLeast"/>
          <w:jc w:val="center"/>
        </w:trPr>
        <w:tc>
          <w:tcPr>
            <w:tcW w:w="198" w:type="pct"/>
            <w:vMerge w:val="continue"/>
            <w:tcBorders>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p>
        </w:tc>
        <w:tc>
          <w:tcPr>
            <w:tcW w:w="261" w:type="pct"/>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老化循环拉伸粘结强度</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0.58</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1.2</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0.94</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1.01</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0.43</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0.6</w:t>
            </w:r>
          </w:p>
        </w:tc>
      </w:tr>
      <w:tr>
        <w:tblPrEx>
          <w:tblCellMar>
            <w:top w:w="0" w:type="dxa"/>
            <w:left w:w="108" w:type="dxa"/>
            <w:bottom w:w="0" w:type="dxa"/>
            <w:right w:w="108" w:type="dxa"/>
          </w:tblCellMar>
        </w:tblPrEx>
        <w:trPr>
          <w:trHeight w:val="285" w:hRule="atLeast"/>
          <w:jc w:val="center"/>
        </w:trPr>
        <w:tc>
          <w:tcPr>
            <w:tcW w:w="459" w:type="pct"/>
            <w:gridSpan w:val="2"/>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抗泛碱性</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无可见泛碱痕迹，不掉粉</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无可见泛碱痕迹，不掉粉</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无可见泛碱痕迹，不掉粉</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无可见泛碱痕迹，不掉粉</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无可见泛碱痕迹，不掉粉</w:t>
            </w:r>
          </w:p>
        </w:tc>
        <w:tc>
          <w:tcPr>
            <w:tcW w:w="756" w:type="pct"/>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无可见泛碱痕迹，不掉粉</w:t>
            </w:r>
          </w:p>
        </w:tc>
      </w:tr>
    </w:tbl>
    <w:p>
      <w:pPr>
        <w:ind w:firstLine="420"/>
        <w:rPr>
          <w:rFonts w:hint="eastAsia" w:ascii="宋体" w:hAnsi="宋体"/>
          <w:szCs w:val="21"/>
        </w:rPr>
      </w:pPr>
    </w:p>
    <w:p>
      <w:pPr>
        <w:ind w:firstLine="0" w:firstLineChars="0"/>
        <w:jc w:val="center"/>
        <w:rPr>
          <w:rFonts w:hint="eastAsia" w:ascii="宋体" w:hAnsi="宋体"/>
          <w:b/>
          <w:szCs w:val="21"/>
        </w:rPr>
      </w:pPr>
      <w:bookmarkStart w:id="32" w:name="_Hlk211255342"/>
      <w:r>
        <w:rPr>
          <w:rFonts w:hint="eastAsia" w:ascii="宋体" w:hAnsi="宋体"/>
          <w:b/>
          <w:szCs w:val="21"/>
        </w:rPr>
        <w:t>表3  封闭底漆的验证试验结果</w:t>
      </w:r>
    </w:p>
    <w:tbl>
      <w:tblPr>
        <w:tblStyle w:val="9"/>
        <w:tblW w:w="0" w:type="auto"/>
        <w:jc w:val="center"/>
        <w:tblLayout w:type="autofit"/>
        <w:tblCellMar>
          <w:top w:w="0" w:type="dxa"/>
          <w:left w:w="108" w:type="dxa"/>
          <w:bottom w:w="0" w:type="dxa"/>
          <w:right w:w="108" w:type="dxa"/>
        </w:tblCellMar>
      </w:tblPr>
      <w:tblGrid>
        <w:gridCol w:w="1142"/>
        <w:gridCol w:w="2172"/>
        <w:gridCol w:w="2172"/>
        <w:gridCol w:w="2172"/>
        <w:gridCol w:w="2172"/>
        <w:gridCol w:w="2172"/>
        <w:gridCol w:w="2172"/>
      </w:tblGrid>
      <w:tr>
        <w:tblPrEx>
          <w:tblCellMar>
            <w:top w:w="0" w:type="dxa"/>
            <w:left w:w="108" w:type="dxa"/>
            <w:bottom w:w="0" w:type="dxa"/>
            <w:right w:w="108" w:type="dxa"/>
          </w:tblCellMar>
        </w:tblPrEx>
        <w:trPr>
          <w:trHeight w:val="285" w:hRule="atLeast"/>
          <w:jc w:val="center"/>
        </w:trPr>
        <w:tc>
          <w:tcPr>
            <w:tcW w:w="1243" w:type="dxa"/>
            <w:vMerge w:val="restart"/>
            <w:tcBorders>
              <w:top w:val="single" w:color="auto" w:sz="4" w:space="0"/>
              <w:left w:val="single" w:color="auto" w:sz="4" w:space="0"/>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项目</w:t>
            </w:r>
          </w:p>
        </w:tc>
        <w:tc>
          <w:tcPr>
            <w:tcW w:w="0" w:type="auto"/>
            <w:gridSpan w:val="6"/>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试样编号</w:t>
            </w:r>
          </w:p>
        </w:tc>
      </w:tr>
      <w:tr>
        <w:tblPrEx>
          <w:tblCellMar>
            <w:top w:w="0" w:type="dxa"/>
            <w:left w:w="108" w:type="dxa"/>
            <w:bottom w:w="0" w:type="dxa"/>
            <w:right w:w="108" w:type="dxa"/>
          </w:tblCellMar>
        </w:tblPrEx>
        <w:trPr>
          <w:trHeight w:val="285" w:hRule="atLeast"/>
          <w:jc w:val="center"/>
        </w:trPr>
        <w:tc>
          <w:tcPr>
            <w:tcW w:w="1243" w:type="dxa"/>
            <w:vMerge w:val="continue"/>
            <w:tcBorders>
              <w:top w:val="single" w:color="auto" w:sz="4" w:space="0"/>
              <w:left w:val="single" w:color="auto" w:sz="4" w:space="0"/>
              <w:bottom w:val="single" w:color="auto" w:sz="4" w:space="0"/>
              <w:right w:val="single" w:color="auto" w:sz="4" w:space="0"/>
            </w:tcBorders>
            <w:vAlign w:val="center"/>
          </w:tcPr>
          <w:p>
            <w:pPr>
              <w:ind w:firstLine="361"/>
              <w:jc w:val="center"/>
              <w:rPr>
                <w:rFonts w:hint="eastAsia" w:ascii="宋体" w:hAnsi="宋体"/>
                <w:b w:val="0"/>
                <w:bCs w:val="0"/>
                <w:sz w:val="18"/>
                <w:szCs w:val="18"/>
              </w:rPr>
            </w:pP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3</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5</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6</w:t>
            </w:r>
          </w:p>
        </w:tc>
      </w:tr>
      <w:bookmarkEnd w:id="32"/>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容器中状态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无硬块，搅拌后呈均匀状态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无硬块，搅拌后呈均匀状态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无硬块，搅拌后呈均匀状态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无硬块，搅拌后呈均匀状态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无硬块，搅拌后呈均匀状态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无硬块，搅拌后呈均匀状态</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施工性</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刷涂无障碍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刷涂无障碍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刷涂无障碍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刷涂无障碍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刷涂无障碍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刷涂无障碍</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低温稳定性</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涂膜外观</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干燥时间（表干）</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1h</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50min</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1h</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1h</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50min</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1h</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耐水性</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96h无异常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96h无异常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96h无异常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96h无异常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96h无异常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96h无异常</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耐碱性</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48h无异常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48h无异常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48h无异常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48h无异常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48h无异常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48h无异常</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透水性，mL</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0.3</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0.2</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0.2</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0.2</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0.2</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0.2</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抗泛盐碱性</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120h无异常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120h无异常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120h无异常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120h无异常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120h无异常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120h无异常</w:t>
            </w:r>
          </w:p>
        </w:tc>
      </w:tr>
      <w:tr>
        <w:tblPrEx>
          <w:tblCellMar>
            <w:top w:w="0" w:type="dxa"/>
            <w:left w:w="108" w:type="dxa"/>
            <w:bottom w:w="0" w:type="dxa"/>
            <w:right w:w="108" w:type="dxa"/>
          </w:tblCellMar>
        </w:tblPrEx>
        <w:trPr>
          <w:trHeight w:val="285" w:hRule="atLeast"/>
          <w:jc w:val="center"/>
        </w:trPr>
        <w:tc>
          <w:tcPr>
            <w:tcW w:w="1243"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与下道涂层的适应性</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r>
    </w:tbl>
    <w:p>
      <w:pPr>
        <w:ind w:firstLine="420"/>
        <w:rPr>
          <w:rFonts w:hint="eastAsia" w:ascii="宋体" w:hAnsi="宋体"/>
          <w:szCs w:val="21"/>
        </w:rPr>
      </w:pPr>
    </w:p>
    <w:p>
      <w:pPr>
        <w:ind w:firstLine="0" w:firstLineChars="0"/>
        <w:jc w:val="center"/>
        <w:rPr>
          <w:rFonts w:hint="eastAsia" w:ascii="宋体" w:hAnsi="宋体"/>
          <w:b/>
          <w:szCs w:val="21"/>
        </w:rPr>
      </w:pPr>
      <w:r>
        <w:rPr>
          <w:rFonts w:hint="eastAsia" w:ascii="宋体" w:hAnsi="宋体"/>
          <w:b/>
          <w:szCs w:val="21"/>
        </w:rPr>
        <w:t>表4  罩面漆的验证试验结果</w:t>
      </w:r>
    </w:p>
    <w:tbl>
      <w:tblPr>
        <w:tblStyle w:val="9"/>
        <w:tblW w:w="13752" w:type="dxa"/>
        <w:jc w:val="center"/>
        <w:tblLayout w:type="autofit"/>
        <w:tblCellMar>
          <w:top w:w="0" w:type="dxa"/>
          <w:left w:w="108" w:type="dxa"/>
          <w:bottom w:w="0" w:type="dxa"/>
          <w:right w:w="108" w:type="dxa"/>
        </w:tblCellMar>
      </w:tblPr>
      <w:tblGrid>
        <w:gridCol w:w="850"/>
        <w:gridCol w:w="2385"/>
        <w:gridCol w:w="2385"/>
        <w:gridCol w:w="1667"/>
        <w:gridCol w:w="1695"/>
        <w:gridCol w:w="2385"/>
        <w:gridCol w:w="2385"/>
      </w:tblGrid>
      <w:tr>
        <w:tblPrEx>
          <w:tblCellMar>
            <w:top w:w="0" w:type="dxa"/>
            <w:left w:w="108" w:type="dxa"/>
            <w:bottom w:w="0" w:type="dxa"/>
            <w:right w:w="108" w:type="dxa"/>
          </w:tblCellMar>
        </w:tblPrEx>
        <w:trPr>
          <w:trHeight w:val="285" w:hRule="atLeast"/>
          <w:jc w:val="center"/>
        </w:trPr>
        <w:tc>
          <w:tcPr>
            <w:tcW w:w="850" w:type="dxa"/>
            <w:vMerge w:val="restart"/>
            <w:tcBorders>
              <w:top w:val="single" w:color="auto" w:sz="4" w:space="0"/>
              <w:left w:val="single" w:color="auto" w:sz="4" w:space="0"/>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项目</w:t>
            </w:r>
          </w:p>
        </w:tc>
        <w:tc>
          <w:tcPr>
            <w:tcW w:w="0" w:type="auto"/>
            <w:gridSpan w:val="6"/>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试样编号</w:t>
            </w:r>
          </w:p>
        </w:tc>
      </w:tr>
      <w:tr>
        <w:tblPrEx>
          <w:tblCellMar>
            <w:top w:w="0" w:type="dxa"/>
            <w:left w:w="108" w:type="dxa"/>
            <w:bottom w:w="0" w:type="dxa"/>
            <w:right w:w="108" w:type="dxa"/>
          </w:tblCellMar>
        </w:tblPrEx>
        <w:trPr>
          <w:trHeight w:val="285" w:hRule="atLeast"/>
          <w:jc w:val="center"/>
        </w:trPr>
        <w:tc>
          <w:tcPr>
            <w:tcW w:w="850" w:type="dxa"/>
            <w:vMerge w:val="continue"/>
            <w:tcBorders>
              <w:top w:val="single" w:color="auto" w:sz="4" w:space="0"/>
              <w:left w:val="single" w:color="auto" w:sz="4" w:space="0"/>
              <w:bottom w:val="single" w:color="auto" w:sz="4" w:space="0"/>
              <w:right w:val="single" w:color="auto" w:sz="4" w:space="0"/>
            </w:tcBorders>
            <w:vAlign w:val="center"/>
          </w:tcPr>
          <w:p>
            <w:pPr>
              <w:ind w:firstLine="361"/>
              <w:jc w:val="center"/>
              <w:rPr>
                <w:rFonts w:hint="eastAsia" w:ascii="宋体" w:hAnsi="宋体"/>
                <w:b w:val="0"/>
                <w:bCs w:val="0"/>
                <w:sz w:val="18"/>
                <w:szCs w:val="18"/>
              </w:rPr>
            </w:pP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1</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2</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3</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4</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5</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6</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在容器中状态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搅拌后无硬块，呈均匀状态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搅拌后无硬块，呈均匀状态</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搅拌后无硬块，呈均匀状态</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搅拌后无硬块，呈均匀状态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搅拌后无硬块，呈均匀状态</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搅拌后无硬块，呈均匀状态</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低温稳定性（3次循环）</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不变质</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施工性</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施涂无障碍</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施涂无障碍</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施涂无障碍</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施涂无障碍</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涂膜外观</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正常</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透光率</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99%</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99%</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99%</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99%</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99%</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99%</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耐水性（96h）</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耐酸雨性（48h）</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耐碱性（48h）</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r>
      <w:tr>
        <w:tblPrEx>
          <w:tblCellMar>
            <w:top w:w="0" w:type="dxa"/>
            <w:left w:w="108" w:type="dxa"/>
            <w:bottom w:w="0" w:type="dxa"/>
            <w:right w:w="108" w:type="dxa"/>
          </w:tblCellMar>
        </w:tblPrEx>
        <w:trPr>
          <w:trHeight w:val="285" w:hRule="atLeast"/>
          <w:jc w:val="center"/>
        </w:trPr>
        <w:tc>
          <w:tcPr>
            <w:tcW w:w="850"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涂层耐温变性（3次循环）</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67"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1695" w:type="dxa"/>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c>
          <w:tcPr>
            <w:tcW w:w="0" w:type="auto"/>
            <w:tcBorders>
              <w:top w:val="single" w:color="auto" w:sz="4" w:space="0"/>
              <w:left w:val="nil"/>
              <w:bottom w:val="single" w:color="auto" w:sz="4" w:space="0"/>
              <w:right w:val="single" w:color="auto" w:sz="4" w:space="0"/>
            </w:tcBorders>
            <w:noWrap/>
            <w:vAlign w:val="center"/>
          </w:tcPr>
          <w:p>
            <w:pPr>
              <w:ind w:firstLine="0" w:firstLineChars="0"/>
              <w:jc w:val="center"/>
              <w:rPr>
                <w:rFonts w:hint="eastAsia" w:ascii="宋体" w:hAnsi="宋体"/>
                <w:b w:val="0"/>
                <w:bCs w:val="0"/>
                <w:sz w:val="18"/>
                <w:szCs w:val="18"/>
              </w:rPr>
            </w:pPr>
            <w:r>
              <w:rPr>
                <w:rFonts w:hint="eastAsia" w:ascii="宋体" w:hAnsi="宋体"/>
                <w:b w:val="0"/>
                <w:bCs w:val="0"/>
                <w:sz w:val="18"/>
                <w:szCs w:val="18"/>
              </w:rPr>
              <w:t>无异常</w:t>
            </w:r>
          </w:p>
        </w:tc>
      </w:tr>
    </w:tbl>
    <w:p>
      <w:pPr>
        <w:widowControl/>
        <w:spacing w:line="240" w:lineRule="auto"/>
        <w:ind w:firstLine="0" w:firstLineChars="0"/>
        <w:jc w:val="left"/>
        <w:rPr>
          <w:rFonts w:hint="eastAsia" w:ascii="宋体" w:hAnsi="宋体"/>
          <w:szCs w:val="21"/>
        </w:rPr>
        <w:sectPr>
          <w:pgSz w:w="16838" w:h="11906" w:orient="landscape"/>
          <w:pgMar w:top="1800" w:right="1440" w:bottom="1800" w:left="1440" w:header="851" w:footer="992" w:gutter="0"/>
          <w:cols w:space="425" w:num="1"/>
          <w:docGrid w:type="lines" w:linePitch="312" w:charSpace="0"/>
        </w:sectPr>
      </w:pPr>
    </w:p>
    <w:p>
      <w:pPr>
        <w:keepNext/>
        <w:keepLines/>
        <w:widowControl/>
        <w:ind w:firstLine="0" w:firstLineChars="0"/>
        <w:outlineLvl w:val="1"/>
        <w:rPr>
          <w:rFonts w:hint="eastAsia" w:ascii="Cambria" w:hAnsi="宋体"/>
          <w:b/>
          <w:kern w:val="0"/>
          <w:sz w:val="24"/>
        </w:rPr>
      </w:pPr>
      <w:bookmarkStart w:id="33" w:name="_Toc211331666"/>
      <w:r>
        <w:rPr>
          <w:rFonts w:hint="eastAsia" w:ascii="Cambria" w:hAnsi="宋体"/>
          <w:b/>
          <w:kern w:val="0"/>
          <w:sz w:val="24"/>
        </w:rPr>
        <w:t>3</w:t>
      </w:r>
      <w:r>
        <w:rPr>
          <w:rFonts w:ascii="Cambria" w:hAnsi="宋体"/>
          <w:b/>
          <w:kern w:val="0"/>
          <w:sz w:val="24"/>
        </w:rPr>
        <w:t>.</w:t>
      </w:r>
      <w:r>
        <w:rPr>
          <w:rFonts w:hint="eastAsia" w:ascii="Cambria" w:hAnsi="宋体"/>
          <w:b/>
          <w:kern w:val="0"/>
          <w:sz w:val="24"/>
        </w:rPr>
        <w:t>4</w:t>
      </w:r>
      <w:r>
        <w:rPr>
          <w:rFonts w:ascii="Cambria" w:hAnsi="宋体"/>
          <w:b/>
          <w:kern w:val="0"/>
          <w:sz w:val="24"/>
        </w:rPr>
        <w:t xml:space="preserve"> </w:t>
      </w:r>
      <w:r>
        <w:rPr>
          <w:rFonts w:hint="eastAsia" w:ascii="Cambria" w:hAnsi="宋体"/>
          <w:b/>
          <w:kern w:val="0"/>
          <w:sz w:val="24"/>
        </w:rPr>
        <w:t>施工</w:t>
      </w:r>
      <w:r>
        <w:rPr>
          <w:rFonts w:hint="eastAsia" w:ascii="Cambria" w:hAnsi="宋体"/>
          <w:b/>
          <w:kern w:val="0"/>
          <w:sz w:val="24"/>
          <w:lang w:val="en-US" w:eastAsia="zh-CN"/>
        </w:rPr>
        <w:t>环境对强度饰面砂浆工程质量的影响</w:t>
      </w:r>
      <w:r>
        <w:rPr>
          <w:rFonts w:hint="eastAsia" w:ascii="Cambria" w:hAnsi="宋体"/>
          <w:b/>
          <w:kern w:val="0"/>
          <w:sz w:val="24"/>
        </w:rPr>
        <w:t>研究</w:t>
      </w:r>
      <w:bookmarkEnd w:id="33"/>
    </w:p>
    <w:p>
      <w:pPr>
        <w:ind w:firstLine="0" w:firstLineChars="0"/>
        <w:rPr>
          <w:rFonts w:hint="eastAsia" w:ascii="宋体" w:hAnsi="宋体"/>
          <w:b/>
          <w:bCs/>
          <w:kern w:val="0"/>
          <w:sz w:val="24"/>
        </w:rPr>
      </w:pPr>
      <w:r>
        <w:rPr>
          <w:rFonts w:hint="eastAsia" w:ascii="宋体" w:hAnsi="宋体"/>
          <w:b/>
          <w:bCs/>
          <w:kern w:val="0"/>
          <w:sz w:val="24"/>
        </w:rPr>
        <w:t>3</w:t>
      </w:r>
      <w:r>
        <w:rPr>
          <w:rFonts w:ascii="宋体" w:hAnsi="宋体"/>
          <w:b/>
          <w:bCs/>
          <w:kern w:val="0"/>
          <w:sz w:val="24"/>
        </w:rPr>
        <w:t>.</w:t>
      </w:r>
      <w:r>
        <w:rPr>
          <w:rFonts w:hint="eastAsia" w:ascii="宋体" w:hAnsi="宋体"/>
          <w:b/>
          <w:bCs/>
          <w:kern w:val="0"/>
          <w:sz w:val="24"/>
        </w:rPr>
        <w:t>4</w:t>
      </w:r>
      <w:r>
        <w:rPr>
          <w:rFonts w:ascii="宋体" w:hAnsi="宋体"/>
          <w:b/>
          <w:bCs/>
          <w:kern w:val="0"/>
          <w:sz w:val="24"/>
        </w:rPr>
        <w:t>.</w:t>
      </w:r>
      <w:r>
        <w:rPr>
          <w:rFonts w:hint="eastAsia" w:ascii="宋体" w:hAnsi="宋体"/>
          <w:b/>
          <w:bCs/>
          <w:kern w:val="0"/>
          <w:sz w:val="24"/>
        </w:rPr>
        <w:t>1</w:t>
      </w:r>
      <w:r>
        <w:rPr>
          <w:rFonts w:ascii="宋体" w:hAnsi="宋体"/>
          <w:b/>
          <w:bCs/>
          <w:kern w:val="0"/>
          <w:sz w:val="24"/>
        </w:rPr>
        <w:t xml:space="preserve"> </w:t>
      </w:r>
      <w:r>
        <w:rPr>
          <w:rFonts w:hint="eastAsia" w:ascii="宋体" w:hAnsi="宋体"/>
          <w:b/>
          <w:bCs/>
          <w:kern w:val="0"/>
          <w:sz w:val="24"/>
        </w:rPr>
        <w:t>湿度对墙体饰面砂浆饰面工程</w:t>
      </w:r>
      <w:r>
        <w:rPr>
          <w:rFonts w:hint="eastAsia" w:ascii="宋体" w:hAnsi="宋体"/>
          <w:b/>
          <w:bCs/>
          <w:kern w:val="0"/>
          <w:sz w:val="24"/>
          <w:lang w:val="en-US" w:eastAsia="zh-CN"/>
        </w:rPr>
        <w:t>表面质量</w:t>
      </w:r>
      <w:r>
        <w:rPr>
          <w:rFonts w:hint="eastAsia" w:ascii="宋体" w:hAnsi="宋体"/>
          <w:b/>
          <w:bCs/>
          <w:kern w:val="0"/>
          <w:sz w:val="24"/>
        </w:rPr>
        <w:t>影响研究</w:t>
      </w:r>
    </w:p>
    <w:p>
      <w:pPr>
        <w:ind w:firstLine="420"/>
        <w:rPr>
          <w:rFonts w:hint="eastAsia" w:ascii="宋体" w:hAnsi="宋体"/>
          <w:szCs w:val="21"/>
        </w:rPr>
      </w:pPr>
      <w:r>
        <w:rPr>
          <w:rFonts w:hint="eastAsia" w:ascii="宋体" w:hAnsi="宋体"/>
          <w:szCs w:val="21"/>
        </w:rPr>
        <w:t>（1）试验室模拟湿度对墙体饰面砂浆饰面工程</w:t>
      </w:r>
      <w:r>
        <w:rPr>
          <w:rFonts w:hint="eastAsia" w:ascii="宋体" w:hAnsi="宋体"/>
          <w:szCs w:val="21"/>
          <w:lang w:eastAsia="zh-CN"/>
        </w:rPr>
        <w:t>表面</w:t>
      </w:r>
      <w:r>
        <w:rPr>
          <w:rFonts w:hint="eastAsia" w:ascii="宋体" w:hAnsi="宋体"/>
          <w:szCs w:val="21"/>
          <w:lang w:val="en-US" w:eastAsia="zh-CN"/>
        </w:rPr>
        <w:t>质量</w:t>
      </w:r>
      <w:r>
        <w:rPr>
          <w:rFonts w:hint="eastAsia" w:ascii="宋体" w:hAnsi="宋体"/>
          <w:szCs w:val="21"/>
        </w:rPr>
        <w:t>影响研究</w:t>
      </w:r>
    </w:p>
    <w:p>
      <w:pPr>
        <w:ind w:firstLine="420"/>
        <w:rPr>
          <w:rFonts w:hint="default" w:ascii="宋体" w:hAnsi="宋体" w:eastAsia="宋体"/>
          <w:szCs w:val="21"/>
          <w:lang w:val="en-US" w:eastAsia="zh-CN"/>
        </w:rPr>
      </w:pPr>
      <w:r>
        <w:rPr>
          <w:rFonts w:hint="eastAsia" w:ascii="宋体" w:hAnsi="宋体"/>
          <w:szCs w:val="21"/>
        </w:rPr>
        <w:t>在试验室模拟墙体饰面砂浆饰面工程施工作业环境：将试件1放置标准养护室，温度22.3-23.0℃，湿度50%-55%。24h后观察，试件</w:t>
      </w:r>
      <w:r>
        <w:rPr>
          <w:rFonts w:hint="eastAsia" w:ascii="宋体" w:hAnsi="宋体"/>
          <w:szCs w:val="21"/>
          <w:lang w:eastAsia="zh-CN"/>
        </w:rPr>
        <w:t>表面</w:t>
      </w:r>
      <w:r>
        <w:rPr>
          <w:rFonts w:hint="eastAsia" w:ascii="宋体" w:hAnsi="宋体"/>
          <w:szCs w:val="21"/>
        </w:rPr>
        <w:t>无明显发白、泛碱现象，大面无明显色差，见图1（a）；试件2放置在塑料密封箱内支架上，支架底部有明水，温度23.1-23.8℃，湿度</w:t>
      </w:r>
      <w:r>
        <w:rPr>
          <w:rFonts w:hint="eastAsia" w:ascii="宋体" w:hAnsi="宋体"/>
          <w:szCs w:val="21"/>
          <w:highlight w:val="none"/>
        </w:rPr>
        <w:t>＞85%</w:t>
      </w:r>
      <w:r>
        <w:rPr>
          <w:rFonts w:hint="eastAsia" w:ascii="宋体" w:hAnsi="宋体"/>
          <w:szCs w:val="21"/>
        </w:rPr>
        <w:t>。24h后观察，试件</w:t>
      </w:r>
      <w:r>
        <w:rPr>
          <w:rFonts w:hint="eastAsia" w:ascii="宋体" w:hAnsi="宋体"/>
          <w:szCs w:val="21"/>
          <w:lang w:eastAsia="zh-CN"/>
        </w:rPr>
        <w:t>表面</w:t>
      </w:r>
      <w:r>
        <w:rPr>
          <w:rFonts w:hint="eastAsia" w:ascii="宋体" w:hAnsi="宋体"/>
          <w:szCs w:val="21"/>
        </w:rPr>
        <w:t>有明显发白，泛碱现象，大面积发花,见图1（b）。</w:t>
      </w:r>
      <w:r>
        <w:rPr>
          <w:rFonts w:hint="eastAsia" w:ascii="宋体" w:hAnsi="宋体"/>
          <w:szCs w:val="21"/>
          <w:lang w:val="en-US" w:eastAsia="zh-CN"/>
        </w:rPr>
        <w:t>试验表明湿度越低，墙体饰面砂浆的表面质量越好，不会出现明显发白、泛碱现象，因此需要严格控制施工时环境湿度。</w:t>
      </w:r>
    </w:p>
    <w:p>
      <w:pPr>
        <w:ind w:firstLine="0" w:firstLineChars="0"/>
        <w:jc w:val="center"/>
      </w:pPr>
      <w:r>
        <w:rPr>
          <w:rFonts w:ascii="宋体" w:hAnsi="宋体"/>
          <w:szCs w:val="21"/>
        </w:rPr>
        <w:drawing>
          <wp:inline distT="0" distB="0" distL="0" distR="0">
            <wp:extent cx="2255520" cy="1691005"/>
            <wp:effectExtent l="0" t="0" r="0" b="4445"/>
            <wp:docPr id="15" name="图片 14" descr="墙上的海报&#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墙上的海报&#10;&#10;AI 生成的内容可能不正确。"/>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69190" cy="1701358"/>
                    </a:xfrm>
                    <a:prstGeom prst="rect">
                      <a:avLst/>
                    </a:prstGeom>
                  </pic:spPr>
                </pic:pic>
              </a:graphicData>
            </a:graphic>
          </wp:inline>
        </w:drawing>
      </w:r>
      <w:r>
        <w:rPr>
          <w:rFonts w:hint="eastAsia"/>
        </w:rPr>
        <w:t xml:space="preserve"> </w:t>
      </w:r>
      <w:r>
        <w:rPr>
          <w:rFonts w:ascii="宋体" w:hAnsi="宋体"/>
          <w:szCs w:val="21"/>
        </w:rPr>
        <w:drawing>
          <wp:inline distT="0" distB="0" distL="0" distR="0">
            <wp:extent cx="2272665" cy="1703705"/>
            <wp:effectExtent l="0" t="0" r="0" b="0"/>
            <wp:docPr id="13" name="图片 12" descr="棕色的椅子&#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descr="棕色的椅子&#10;&#10;AI 生成的内容可能不正确。"/>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93781" cy="1719796"/>
                    </a:xfrm>
                    <a:prstGeom prst="rect">
                      <a:avLst/>
                    </a:prstGeom>
                  </pic:spPr>
                </pic:pic>
              </a:graphicData>
            </a:graphic>
          </wp:inline>
        </w:drawing>
      </w:r>
    </w:p>
    <w:p>
      <w:pPr>
        <w:ind w:firstLine="1470" w:firstLineChars="700"/>
        <w:rPr>
          <w:rFonts w:hint="eastAsia" w:ascii="宋体" w:hAnsi="宋体"/>
          <w:szCs w:val="21"/>
        </w:rPr>
      </w:pPr>
      <w:r>
        <w:rPr>
          <w:rFonts w:hint="eastAsia" w:ascii="宋体" w:hAnsi="宋体"/>
          <w:szCs w:val="21"/>
        </w:rPr>
        <w:t>（a）湿度50%-55%                 （b）湿度</w:t>
      </w:r>
      <w:r>
        <w:rPr>
          <w:rFonts w:hint="eastAsia" w:ascii="宋体" w:hAnsi="宋体"/>
          <w:szCs w:val="21"/>
          <w:highlight w:val="none"/>
        </w:rPr>
        <w:t>＞85%</w:t>
      </w:r>
    </w:p>
    <w:p>
      <w:pPr>
        <w:ind w:firstLine="0" w:firstLineChars="0"/>
        <w:jc w:val="center"/>
        <w:rPr>
          <w:rFonts w:hint="eastAsia" w:ascii="宋体" w:hAnsi="宋体"/>
          <w:b/>
          <w:bCs/>
          <w:szCs w:val="21"/>
        </w:rPr>
      </w:pPr>
      <w:r>
        <w:rPr>
          <w:rFonts w:hint="eastAsia" w:ascii="宋体" w:hAnsi="宋体"/>
          <w:b/>
          <w:bCs/>
          <w:szCs w:val="21"/>
        </w:rPr>
        <w:t>图1 试验室模拟湿度对墙体饰面砂浆饰面工程</w:t>
      </w:r>
      <w:r>
        <w:rPr>
          <w:rFonts w:hint="eastAsia" w:ascii="宋体" w:hAnsi="宋体"/>
          <w:b/>
          <w:bCs/>
          <w:szCs w:val="21"/>
          <w:lang w:eastAsia="zh-CN"/>
        </w:rPr>
        <w:t>表面</w:t>
      </w:r>
      <w:r>
        <w:rPr>
          <w:rFonts w:hint="eastAsia" w:ascii="宋体" w:hAnsi="宋体"/>
          <w:b/>
          <w:bCs/>
          <w:szCs w:val="21"/>
          <w:lang w:val="en-US" w:eastAsia="zh-CN"/>
        </w:rPr>
        <w:t>质量</w:t>
      </w:r>
      <w:r>
        <w:rPr>
          <w:rFonts w:hint="eastAsia" w:ascii="宋体" w:hAnsi="宋体"/>
          <w:b/>
          <w:bCs/>
          <w:szCs w:val="21"/>
        </w:rPr>
        <w:t>影响研究</w:t>
      </w:r>
    </w:p>
    <w:p>
      <w:pPr>
        <w:ind w:firstLine="420"/>
        <w:rPr>
          <w:rFonts w:hint="eastAsia" w:ascii="宋体" w:hAnsi="宋体"/>
          <w:szCs w:val="21"/>
        </w:rPr>
      </w:pPr>
      <w:r>
        <w:rPr>
          <w:rFonts w:hint="eastAsia" w:ascii="宋体" w:hAnsi="宋体"/>
          <w:szCs w:val="21"/>
        </w:rPr>
        <w:t>（2）大面积试验环境湿度对墙体饰面砂浆饰面工程</w:t>
      </w:r>
      <w:r>
        <w:rPr>
          <w:rFonts w:hint="eastAsia" w:ascii="宋体" w:hAnsi="宋体"/>
          <w:szCs w:val="21"/>
          <w:lang w:eastAsia="zh-CN"/>
        </w:rPr>
        <w:t>表面</w:t>
      </w:r>
      <w:r>
        <w:rPr>
          <w:rFonts w:hint="eastAsia" w:ascii="宋体" w:hAnsi="宋体"/>
          <w:szCs w:val="21"/>
          <w:lang w:val="en-US" w:eastAsia="zh-CN"/>
        </w:rPr>
        <w:t>质量</w:t>
      </w:r>
      <w:r>
        <w:rPr>
          <w:rFonts w:hint="eastAsia" w:ascii="宋体" w:hAnsi="宋体"/>
          <w:szCs w:val="21"/>
        </w:rPr>
        <w:t>影响研究</w:t>
      </w:r>
    </w:p>
    <w:p>
      <w:pPr>
        <w:ind w:firstLine="420"/>
        <w:rPr>
          <w:rFonts w:hint="default" w:ascii="宋体" w:hAnsi="宋体" w:eastAsia="宋体"/>
          <w:szCs w:val="21"/>
          <w:lang w:val="en-US" w:eastAsia="zh-CN"/>
        </w:rPr>
      </w:pPr>
      <w:r>
        <w:rPr>
          <w:rFonts w:hint="eastAsia" w:ascii="宋体" w:hAnsi="宋体"/>
          <w:szCs w:val="21"/>
        </w:rPr>
        <w:t>在室外进行大面积测试：试件3环境温度26.5-30.4℃，环境湿度：26%-35%。7d后观察</w:t>
      </w:r>
      <w:r>
        <w:rPr>
          <w:rFonts w:hint="eastAsia" w:ascii="宋体" w:hAnsi="宋体"/>
          <w:szCs w:val="21"/>
          <w:lang w:eastAsia="zh-CN"/>
        </w:rPr>
        <w:t>表面</w:t>
      </w:r>
      <w:r>
        <w:rPr>
          <w:rFonts w:hint="eastAsia" w:ascii="宋体" w:hAnsi="宋体"/>
          <w:szCs w:val="21"/>
        </w:rPr>
        <w:t>无明显发白、泛碱现象，大面颜色基本一致，见图2（a）；试件4环境温度</w:t>
      </w:r>
      <w:r>
        <w:rPr>
          <w:rFonts w:hint="eastAsia"/>
        </w:rPr>
        <w:t xml:space="preserve"> </w:t>
      </w:r>
      <w:r>
        <w:rPr>
          <w:rFonts w:hint="eastAsia" w:ascii="宋体" w:hAnsi="宋体"/>
          <w:szCs w:val="21"/>
        </w:rPr>
        <w:t>28.5-32.4℃ ， 环境湿度：72%-78%。7d后观察</w:t>
      </w:r>
      <w:r>
        <w:rPr>
          <w:rFonts w:hint="eastAsia" w:ascii="宋体" w:hAnsi="宋体"/>
          <w:szCs w:val="21"/>
          <w:lang w:eastAsia="zh-CN"/>
        </w:rPr>
        <w:t>表面</w:t>
      </w:r>
      <w:r>
        <w:rPr>
          <w:rFonts w:hint="eastAsia" w:ascii="宋体" w:hAnsi="宋体"/>
          <w:szCs w:val="21"/>
        </w:rPr>
        <w:t>有明显发白、泛碱现象，大面色差明显见图2（b）。</w:t>
      </w:r>
      <w:r>
        <w:rPr>
          <w:rFonts w:hint="eastAsia" w:ascii="宋体" w:hAnsi="宋体"/>
          <w:szCs w:val="21"/>
          <w:lang w:val="en-US" w:eastAsia="zh-CN"/>
        </w:rPr>
        <w:t>由大面积试验结果可以看出，当环境湿度为72%-78%时，墙体饰面砂浆表面仍然出现了明显发白、泛碱现象，因此结合工程实际，保障墙体饰面砂饰面工程质量，提出湿度宜低于70%以下。</w:t>
      </w:r>
    </w:p>
    <w:p>
      <w:pPr>
        <w:ind w:firstLine="420"/>
        <w:rPr>
          <w:rFonts w:hint="eastAsia" w:ascii="宋体" w:hAnsi="宋体"/>
          <w:szCs w:val="21"/>
        </w:rPr>
      </w:pPr>
      <w:r>
        <w:rPr>
          <w:rFonts w:ascii="宋体" w:hAnsi="宋体"/>
          <w:szCs w:val="21"/>
        </w:rPr>
        <w:drawing>
          <wp:inline distT="0" distB="0" distL="0" distR="0">
            <wp:extent cx="2329180" cy="1804035"/>
            <wp:effectExtent l="0" t="0" r="0" b="5715"/>
            <wp:docPr id="9698942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894224" name="图片 10"/>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346926" cy="1817815"/>
                    </a:xfrm>
                    <a:prstGeom prst="rect">
                      <a:avLst/>
                    </a:prstGeom>
                  </pic:spPr>
                </pic:pic>
              </a:graphicData>
            </a:graphic>
          </wp:inline>
        </w:drawing>
      </w:r>
      <w:r>
        <w:rPr>
          <w:rFonts w:hint="eastAsia" w:ascii="宋体" w:hAnsi="宋体"/>
          <w:szCs w:val="21"/>
        </w:rPr>
        <w:t xml:space="preserve"> </w:t>
      </w:r>
      <w:r>
        <w:rPr>
          <w:rFonts w:ascii="宋体" w:hAnsi="宋体"/>
          <w:szCs w:val="21"/>
        </w:rPr>
        <w:drawing>
          <wp:inline distT="0" distB="0" distL="0" distR="0">
            <wp:extent cx="2568575" cy="1734185"/>
            <wp:effectExtent l="0" t="0" r="3175" b="0"/>
            <wp:docPr id="9" name="图片 8" descr="砖墙上的海报&#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砖墙上的海报&#10;&#10;AI 生成的内容可能不正确。"/>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77613" cy="1740424"/>
                    </a:xfrm>
                    <a:prstGeom prst="rect">
                      <a:avLst/>
                    </a:prstGeom>
                  </pic:spPr>
                </pic:pic>
              </a:graphicData>
            </a:graphic>
          </wp:inline>
        </w:drawing>
      </w:r>
    </w:p>
    <w:p>
      <w:pPr>
        <w:ind w:firstLine="1470" w:firstLineChars="700"/>
        <w:rPr>
          <w:rFonts w:hint="eastAsia" w:ascii="宋体" w:hAnsi="宋体"/>
          <w:szCs w:val="21"/>
        </w:rPr>
      </w:pPr>
      <w:r>
        <w:rPr>
          <w:rFonts w:hint="eastAsia" w:ascii="宋体" w:hAnsi="宋体"/>
          <w:szCs w:val="21"/>
        </w:rPr>
        <w:t>（a）湿度26%-35%                 （b）湿度</w:t>
      </w:r>
      <w:r>
        <w:rPr>
          <w:rFonts w:ascii="宋体" w:hAnsi="宋体"/>
          <w:szCs w:val="21"/>
        </w:rPr>
        <w:t>72%-78%</w:t>
      </w:r>
    </w:p>
    <w:p>
      <w:pPr>
        <w:ind w:firstLine="0" w:firstLineChars="0"/>
        <w:jc w:val="center"/>
        <w:rPr>
          <w:rFonts w:hint="eastAsia" w:ascii="宋体" w:hAnsi="宋体"/>
          <w:b/>
          <w:bCs/>
          <w:szCs w:val="21"/>
        </w:rPr>
      </w:pPr>
      <w:r>
        <w:rPr>
          <w:rFonts w:hint="eastAsia" w:ascii="宋体" w:hAnsi="宋体"/>
          <w:b/>
          <w:bCs/>
          <w:szCs w:val="21"/>
        </w:rPr>
        <w:t>图2 大面积试验环境湿度对墙体饰面砂浆饰面工程</w:t>
      </w:r>
      <w:r>
        <w:rPr>
          <w:rFonts w:hint="eastAsia" w:ascii="宋体" w:hAnsi="宋体"/>
          <w:b/>
          <w:bCs/>
          <w:szCs w:val="21"/>
          <w:lang w:eastAsia="zh-CN"/>
        </w:rPr>
        <w:t>表面</w:t>
      </w:r>
      <w:r>
        <w:rPr>
          <w:rFonts w:hint="eastAsia" w:ascii="宋体" w:hAnsi="宋体"/>
          <w:b/>
          <w:bCs/>
          <w:szCs w:val="21"/>
          <w:lang w:val="en-US" w:eastAsia="zh-CN"/>
        </w:rPr>
        <w:t>质量</w:t>
      </w:r>
      <w:r>
        <w:rPr>
          <w:rFonts w:hint="eastAsia" w:ascii="宋体" w:hAnsi="宋体"/>
          <w:b/>
          <w:bCs/>
          <w:szCs w:val="21"/>
        </w:rPr>
        <w:t>影响研究</w:t>
      </w:r>
    </w:p>
    <w:p>
      <w:pPr>
        <w:ind w:firstLine="420"/>
        <w:rPr>
          <w:rFonts w:hint="eastAsia" w:ascii="宋体" w:hAnsi="宋体"/>
          <w:szCs w:val="21"/>
        </w:rPr>
      </w:pPr>
      <w:r>
        <w:rPr>
          <w:rFonts w:hint="eastAsia" w:ascii="宋体" w:hAnsi="宋体"/>
          <w:szCs w:val="21"/>
        </w:rPr>
        <w:t>由图1和图2可知，施工后 48 h内，空气相对湿度宜小于 70%。</w:t>
      </w:r>
    </w:p>
    <w:p>
      <w:pPr>
        <w:ind w:firstLine="0" w:firstLineChars="0"/>
        <w:rPr>
          <w:rFonts w:hint="eastAsia" w:ascii="宋体" w:hAnsi="宋体"/>
          <w:b/>
          <w:bCs/>
          <w:kern w:val="0"/>
          <w:sz w:val="24"/>
        </w:rPr>
      </w:pPr>
      <w:r>
        <w:rPr>
          <w:rFonts w:hint="eastAsia" w:ascii="宋体" w:hAnsi="宋体"/>
          <w:b/>
          <w:bCs/>
          <w:kern w:val="0"/>
          <w:sz w:val="24"/>
        </w:rPr>
        <w:t>3</w:t>
      </w:r>
      <w:r>
        <w:rPr>
          <w:rFonts w:ascii="宋体" w:hAnsi="宋体"/>
          <w:b/>
          <w:bCs/>
          <w:kern w:val="0"/>
          <w:sz w:val="24"/>
        </w:rPr>
        <w:t>.</w:t>
      </w:r>
      <w:r>
        <w:rPr>
          <w:rFonts w:hint="eastAsia" w:ascii="宋体" w:hAnsi="宋体"/>
          <w:b/>
          <w:bCs/>
          <w:kern w:val="0"/>
          <w:sz w:val="24"/>
        </w:rPr>
        <w:t>4</w:t>
      </w:r>
      <w:r>
        <w:rPr>
          <w:rFonts w:ascii="宋体" w:hAnsi="宋体"/>
          <w:b/>
          <w:bCs/>
          <w:kern w:val="0"/>
          <w:sz w:val="24"/>
        </w:rPr>
        <w:t>.</w:t>
      </w:r>
      <w:r>
        <w:rPr>
          <w:rFonts w:hint="eastAsia" w:ascii="宋体" w:hAnsi="宋体"/>
          <w:b/>
          <w:bCs/>
          <w:kern w:val="0"/>
          <w:sz w:val="24"/>
        </w:rPr>
        <w:t>2</w:t>
      </w:r>
      <w:r>
        <w:rPr>
          <w:rFonts w:ascii="宋体" w:hAnsi="宋体"/>
          <w:b/>
          <w:bCs/>
          <w:kern w:val="0"/>
          <w:sz w:val="24"/>
        </w:rPr>
        <w:t xml:space="preserve"> </w:t>
      </w:r>
      <w:r>
        <w:rPr>
          <w:rFonts w:hint="eastAsia" w:ascii="宋体" w:hAnsi="宋体"/>
          <w:b/>
          <w:bCs/>
          <w:kern w:val="0"/>
          <w:sz w:val="24"/>
        </w:rPr>
        <w:t>封闭底漆施工要点</w:t>
      </w:r>
    </w:p>
    <w:p>
      <w:pPr>
        <w:ind w:firstLine="420"/>
        <w:rPr>
          <w:rFonts w:hint="default" w:ascii="宋体" w:hAnsi="宋体" w:eastAsia="宋体"/>
          <w:szCs w:val="21"/>
          <w:lang w:val="en-US" w:eastAsia="zh-CN"/>
        </w:rPr>
      </w:pPr>
      <w:r>
        <w:rPr>
          <w:rFonts w:hint="eastAsia" w:ascii="宋体" w:hAnsi="宋体"/>
          <w:szCs w:val="21"/>
        </w:rPr>
        <w:t>封闭底漆施工时，如出现漏刷、涂刷不均匀，导致基层吸水率不一致，会造成面层装饰砂浆泛碱或发花，试验结果如图3所示。</w:t>
      </w:r>
      <w:r>
        <w:rPr>
          <w:rFonts w:hint="eastAsia" w:ascii="宋体" w:hAnsi="宋体"/>
          <w:szCs w:val="21"/>
          <w:lang w:val="en-US" w:eastAsia="zh-CN"/>
        </w:rPr>
        <w:t>因此在墙体饰面砂浆施工前需要对基层涂刷封闭底层，从而保证墙体饰面砂浆工程质量。</w:t>
      </w:r>
    </w:p>
    <w:p>
      <w:pPr>
        <w:ind w:firstLine="420"/>
        <w:rPr>
          <w:rFonts w:hint="eastAsia" w:ascii="宋体" w:hAnsi="宋体"/>
          <w:szCs w:val="21"/>
        </w:rPr>
      </w:pPr>
      <w:r>
        <w:drawing>
          <wp:inline distT="0" distB="0" distL="0" distR="0">
            <wp:extent cx="2280920" cy="2161540"/>
            <wp:effectExtent l="0" t="0" r="5080" b="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6">
                      <a:extLst>
                        <a:ext uri="{28A0092B-C50C-407E-A947-70E740481C1C}">
                          <a14:useLocalDpi xmlns:a14="http://schemas.microsoft.com/office/drawing/2010/main" val="0"/>
                        </a:ext>
                      </a:extLst>
                    </a:blip>
                    <a:srcRect b="13093"/>
                    <a:stretch>
                      <a:fillRect/>
                    </a:stretch>
                  </pic:blipFill>
                  <pic:spPr>
                    <a:xfrm>
                      <a:off x="0" y="0"/>
                      <a:ext cx="2283488" cy="2163660"/>
                    </a:xfrm>
                    <a:prstGeom prst="rect">
                      <a:avLst/>
                    </a:prstGeom>
                    <a:ln>
                      <a:noFill/>
                    </a:ln>
                  </pic:spPr>
                </pic:pic>
              </a:graphicData>
            </a:graphic>
          </wp:inline>
        </w:drawing>
      </w:r>
      <w:r>
        <w:rPr>
          <w:rFonts w:hint="eastAsia" w:ascii="宋体" w:hAnsi="宋体"/>
          <w:szCs w:val="21"/>
        </w:rPr>
        <w:t xml:space="preserve"> </w:t>
      </w:r>
      <w:r>
        <w:drawing>
          <wp:inline distT="0" distB="0" distL="0" distR="0">
            <wp:extent cx="2494280" cy="2145665"/>
            <wp:effectExtent l="0" t="0" r="1270" b="6985"/>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7">
                      <a:extLst>
                        <a:ext uri="{28A0092B-C50C-407E-A947-70E740481C1C}">
                          <a14:useLocalDpi xmlns:a14="http://schemas.microsoft.com/office/drawing/2010/main" val="0"/>
                        </a:ext>
                      </a:extLst>
                    </a:blip>
                    <a:srcRect b="8837"/>
                    <a:stretch>
                      <a:fillRect/>
                    </a:stretch>
                  </pic:blipFill>
                  <pic:spPr>
                    <a:xfrm>
                      <a:off x="0" y="0"/>
                      <a:ext cx="2494280" cy="2145665"/>
                    </a:xfrm>
                    <a:prstGeom prst="rect">
                      <a:avLst/>
                    </a:prstGeom>
                    <a:ln>
                      <a:noFill/>
                    </a:ln>
                  </pic:spPr>
                </pic:pic>
              </a:graphicData>
            </a:graphic>
          </wp:inline>
        </w:drawing>
      </w:r>
      <w:r>
        <w:rPr>
          <w:rFonts w:hint="eastAsia" w:ascii="宋体" w:hAnsi="宋体"/>
          <w:szCs w:val="21"/>
        </w:rPr>
        <w:t xml:space="preserve">  </w:t>
      </w:r>
    </w:p>
    <w:p>
      <w:pPr>
        <w:ind w:firstLine="0" w:firstLineChars="0"/>
        <w:jc w:val="center"/>
        <w:rPr>
          <w:rFonts w:hint="eastAsia" w:ascii="宋体" w:hAnsi="宋体"/>
          <w:b/>
          <w:bCs/>
          <w:szCs w:val="21"/>
        </w:rPr>
      </w:pPr>
      <w:r>
        <w:rPr>
          <w:rFonts w:hint="eastAsia" w:ascii="宋体" w:hAnsi="宋体"/>
          <w:b/>
          <w:bCs/>
          <w:szCs w:val="21"/>
        </w:rPr>
        <w:t>图3  墙体饰面砂浆泛碱（左）和发花（右）</w:t>
      </w:r>
    </w:p>
    <w:p>
      <w:pPr>
        <w:ind w:firstLine="0" w:firstLineChars="0"/>
        <w:rPr>
          <w:rFonts w:hint="eastAsia" w:ascii="宋体" w:hAnsi="宋体"/>
          <w:b/>
          <w:bCs/>
          <w:kern w:val="0"/>
          <w:sz w:val="24"/>
        </w:rPr>
      </w:pPr>
      <w:r>
        <w:rPr>
          <w:rFonts w:hint="eastAsia" w:ascii="宋体" w:hAnsi="宋体"/>
          <w:b/>
          <w:bCs/>
          <w:kern w:val="0"/>
          <w:sz w:val="24"/>
        </w:rPr>
        <w:t>3</w:t>
      </w:r>
      <w:r>
        <w:rPr>
          <w:rFonts w:ascii="宋体" w:hAnsi="宋体"/>
          <w:b/>
          <w:bCs/>
          <w:kern w:val="0"/>
          <w:sz w:val="24"/>
        </w:rPr>
        <w:t>.</w:t>
      </w:r>
      <w:r>
        <w:rPr>
          <w:rFonts w:hint="eastAsia" w:ascii="宋体" w:hAnsi="宋体"/>
          <w:b/>
          <w:bCs/>
          <w:kern w:val="0"/>
          <w:sz w:val="24"/>
        </w:rPr>
        <w:t>4</w:t>
      </w:r>
      <w:r>
        <w:rPr>
          <w:rFonts w:ascii="宋体" w:hAnsi="宋体"/>
          <w:b/>
          <w:bCs/>
          <w:kern w:val="0"/>
          <w:sz w:val="24"/>
        </w:rPr>
        <w:t>.</w:t>
      </w:r>
      <w:r>
        <w:rPr>
          <w:rFonts w:hint="eastAsia" w:ascii="宋体" w:hAnsi="宋体"/>
          <w:b/>
          <w:bCs/>
          <w:kern w:val="0"/>
          <w:sz w:val="24"/>
        </w:rPr>
        <w:t>3</w:t>
      </w:r>
      <w:r>
        <w:rPr>
          <w:rFonts w:ascii="宋体" w:hAnsi="宋体"/>
          <w:b/>
          <w:bCs/>
          <w:kern w:val="0"/>
          <w:sz w:val="24"/>
        </w:rPr>
        <w:t xml:space="preserve"> </w:t>
      </w:r>
      <w:r>
        <w:rPr>
          <w:rFonts w:hint="eastAsia" w:ascii="宋体" w:hAnsi="宋体"/>
          <w:b/>
          <w:bCs/>
          <w:kern w:val="0"/>
          <w:sz w:val="24"/>
        </w:rPr>
        <w:t>墙体饰面砂浆施工要点</w:t>
      </w:r>
    </w:p>
    <w:p>
      <w:pPr>
        <w:ind w:firstLine="420"/>
        <w:rPr>
          <w:rFonts w:hint="eastAsia" w:ascii="宋体" w:hAnsi="宋体"/>
          <w:szCs w:val="21"/>
        </w:rPr>
      </w:pPr>
      <w:r>
        <w:rPr>
          <w:rFonts w:hint="eastAsia" w:ascii="宋体" w:hAnsi="宋体"/>
          <w:szCs w:val="21"/>
        </w:rPr>
        <w:t>墙体饰面砂浆施工时，如喷涂薄厚不均匀，表面包浆、毛糙等手法不一致，造成施工接茬明显，大面积发花，色差明显，如图4所示。</w:t>
      </w:r>
    </w:p>
    <w:p>
      <w:pPr>
        <w:ind w:firstLine="422"/>
        <w:jc w:val="center"/>
        <w:rPr>
          <w:rFonts w:hint="eastAsia" w:ascii="宋体" w:hAnsi="宋体"/>
          <w:b/>
          <w:bCs/>
          <w:szCs w:val="21"/>
        </w:rPr>
      </w:pPr>
      <w:r>
        <w:rPr>
          <w:rFonts w:ascii="宋体" w:hAnsi="宋体"/>
          <w:b/>
          <w:bCs/>
          <w:szCs w:val="21"/>
        </w:rPr>
        <w:drawing>
          <wp:inline distT="0" distB="0" distL="0" distR="0">
            <wp:extent cx="2372995" cy="2181860"/>
            <wp:effectExtent l="0" t="0" r="8255" b="889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386197" cy="2193703"/>
                    </a:xfrm>
                    <a:prstGeom prst="rect">
                      <a:avLst/>
                    </a:prstGeom>
                    <a:noFill/>
                    <a:ln>
                      <a:noFill/>
                    </a:ln>
                  </pic:spPr>
                </pic:pic>
              </a:graphicData>
            </a:graphic>
          </wp:inline>
        </w:drawing>
      </w:r>
    </w:p>
    <w:p>
      <w:pPr>
        <w:ind w:firstLine="422"/>
        <w:jc w:val="center"/>
        <w:rPr>
          <w:rFonts w:hint="eastAsia" w:ascii="宋体" w:hAnsi="宋体"/>
          <w:b/>
          <w:bCs/>
          <w:szCs w:val="21"/>
        </w:rPr>
      </w:pPr>
      <w:r>
        <w:rPr>
          <w:rFonts w:hint="eastAsia" w:ascii="宋体" w:hAnsi="宋体"/>
          <w:b/>
          <w:bCs/>
          <w:szCs w:val="21"/>
        </w:rPr>
        <w:t>图4  墙体饰面砂浆施工不规范导致接茬明显、发花及色差</w:t>
      </w:r>
    </w:p>
    <w:p>
      <w:pPr>
        <w:ind w:firstLine="0" w:firstLineChars="0"/>
        <w:rPr>
          <w:rFonts w:hint="eastAsia" w:ascii="宋体" w:hAnsi="宋体"/>
          <w:b/>
          <w:bCs/>
          <w:kern w:val="0"/>
          <w:sz w:val="24"/>
        </w:rPr>
      </w:pPr>
      <w:r>
        <w:rPr>
          <w:rFonts w:hint="eastAsia" w:ascii="宋体" w:hAnsi="宋体"/>
          <w:b/>
          <w:bCs/>
          <w:kern w:val="0"/>
          <w:sz w:val="24"/>
        </w:rPr>
        <w:t>3</w:t>
      </w:r>
      <w:r>
        <w:rPr>
          <w:rFonts w:ascii="宋体" w:hAnsi="宋体"/>
          <w:b/>
          <w:bCs/>
          <w:kern w:val="0"/>
          <w:sz w:val="24"/>
        </w:rPr>
        <w:t>.</w:t>
      </w:r>
      <w:r>
        <w:rPr>
          <w:rFonts w:hint="eastAsia" w:ascii="宋体" w:hAnsi="宋体"/>
          <w:b/>
          <w:bCs/>
          <w:kern w:val="0"/>
          <w:sz w:val="24"/>
        </w:rPr>
        <w:t>4</w:t>
      </w:r>
      <w:r>
        <w:rPr>
          <w:rFonts w:ascii="宋体" w:hAnsi="宋体"/>
          <w:b/>
          <w:bCs/>
          <w:kern w:val="0"/>
          <w:sz w:val="24"/>
        </w:rPr>
        <w:t>.</w:t>
      </w:r>
      <w:r>
        <w:rPr>
          <w:rFonts w:hint="eastAsia" w:ascii="宋体" w:hAnsi="宋体"/>
          <w:b/>
          <w:bCs/>
          <w:kern w:val="0"/>
          <w:sz w:val="24"/>
        </w:rPr>
        <w:t>4</w:t>
      </w:r>
      <w:r>
        <w:rPr>
          <w:rFonts w:ascii="宋体" w:hAnsi="宋体"/>
          <w:b/>
          <w:bCs/>
          <w:kern w:val="0"/>
          <w:sz w:val="24"/>
        </w:rPr>
        <w:t xml:space="preserve"> </w:t>
      </w:r>
      <w:r>
        <w:rPr>
          <w:rFonts w:hint="eastAsia" w:ascii="宋体" w:hAnsi="宋体"/>
          <w:b/>
          <w:bCs/>
          <w:kern w:val="0"/>
          <w:sz w:val="24"/>
        </w:rPr>
        <w:t>罩面漆施工要点</w:t>
      </w:r>
    </w:p>
    <w:p>
      <w:pPr>
        <w:ind w:firstLine="420"/>
        <w:rPr>
          <w:rFonts w:hint="eastAsia" w:ascii="宋体" w:hAnsi="宋体"/>
          <w:szCs w:val="21"/>
        </w:rPr>
      </w:pPr>
      <w:r>
        <w:rPr>
          <w:rFonts w:hint="eastAsia" w:ascii="宋体" w:hAnsi="宋体"/>
          <w:szCs w:val="21"/>
        </w:rPr>
        <w:t>试验分别验证了涂刷罩面漆和未涂刷罩面漆对墙体饰面砂浆饰面工程</w:t>
      </w:r>
      <w:r>
        <w:rPr>
          <w:rFonts w:hint="eastAsia" w:ascii="宋体" w:hAnsi="宋体"/>
          <w:szCs w:val="21"/>
          <w:lang w:eastAsia="zh-CN"/>
        </w:rPr>
        <w:t>表面</w:t>
      </w:r>
      <w:r>
        <w:rPr>
          <w:rFonts w:hint="eastAsia" w:ascii="宋体" w:hAnsi="宋体"/>
          <w:szCs w:val="21"/>
          <w:lang w:val="en-US" w:eastAsia="zh-CN"/>
        </w:rPr>
        <w:t>质量</w:t>
      </w:r>
      <w:r>
        <w:rPr>
          <w:rFonts w:hint="eastAsia" w:ascii="宋体" w:hAnsi="宋体"/>
          <w:szCs w:val="21"/>
        </w:rPr>
        <w:t>影响，如图5所示。</w:t>
      </w:r>
    </w:p>
    <w:p>
      <w:pPr>
        <w:ind w:firstLine="420"/>
        <w:jc w:val="center"/>
        <w:rPr>
          <w:rFonts w:hint="eastAsia" w:ascii="宋体" w:hAnsi="宋体"/>
          <w:szCs w:val="21"/>
        </w:rPr>
      </w:pPr>
      <w:r>
        <w:drawing>
          <wp:inline distT="0" distB="0" distL="0" distR="0">
            <wp:extent cx="2268855" cy="1995170"/>
            <wp:effectExtent l="0" t="0" r="0" b="5080"/>
            <wp:docPr id="817574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57462" name="图片 1"/>
                    <pic:cNvPicPr>
                      <a:picLocks noChangeAspect="1"/>
                    </pic:cNvPicPr>
                  </pic:nvPicPr>
                  <pic:blipFill>
                    <a:blip r:embed="rId19"/>
                    <a:stretch>
                      <a:fillRect/>
                    </a:stretch>
                  </pic:blipFill>
                  <pic:spPr>
                    <a:xfrm>
                      <a:off x="0" y="0"/>
                      <a:ext cx="2268855" cy="1995170"/>
                    </a:xfrm>
                    <a:prstGeom prst="rect">
                      <a:avLst/>
                    </a:prstGeom>
                  </pic:spPr>
                </pic:pic>
              </a:graphicData>
            </a:graphic>
          </wp:inline>
        </w:drawing>
      </w:r>
    </w:p>
    <w:p>
      <w:pPr>
        <w:ind w:firstLine="422"/>
        <w:jc w:val="center"/>
        <w:rPr>
          <w:rFonts w:hint="eastAsia" w:ascii="宋体" w:hAnsi="宋体"/>
          <w:b/>
          <w:bCs/>
          <w:szCs w:val="21"/>
        </w:rPr>
      </w:pPr>
      <w:r>
        <w:rPr>
          <w:rFonts w:hint="eastAsia" w:ascii="宋体" w:hAnsi="宋体"/>
          <w:b/>
          <w:bCs/>
          <w:szCs w:val="21"/>
        </w:rPr>
        <w:t>图5  涂刷罩面漆（左）、未涂刷罩面漆（右）</w:t>
      </w:r>
    </w:p>
    <w:p>
      <w:pPr>
        <w:ind w:firstLine="420"/>
        <w:rPr>
          <w:rFonts w:hint="eastAsia" w:ascii="宋体" w:hAnsi="宋体"/>
          <w:b/>
          <w:bCs/>
          <w:szCs w:val="21"/>
        </w:rPr>
      </w:pPr>
      <w:r>
        <w:rPr>
          <w:rFonts w:hint="eastAsia" w:ascii="宋体" w:hAnsi="宋体"/>
          <w:szCs w:val="21"/>
        </w:rPr>
        <w:t>涂刷罩面漆通过隔绝外界的液态水进入、增强抑制墙体饰面砂浆内部碱离子迁移的能力，可以有效地增强墙体饰面砂浆的抗返碱性能。</w:t>
      </w:r>
    </w:p>
    <w:p>
      <w:pPr>
        <w:keepNext/>
        <w:keepLines/>
        <w:widowControl/>
        <w:ind w:firstLine="0" w:firstLineChars="0"/>
        <w:outlineLvl w:val="1"/>
        <w:rPr>
          <w:rFonts w:hint="eastAsia" w:ascii="Cambria" w:hAnsi="宋体"/>
          <w:b/>
          <w:kern w:val="0"/>
          <w:sz w:val="24"/>
        </w:rPr>
      </w:pPr>
      <w:bookmarkStart w:id="34" w:name="_Toc211331667"/>
      <w:r>
        <w:rPr>
          <w:rFonts w:hint="eastAsia" w:ascii="Cambria" w:hAnsi="宋体"/>
          <w:b/>
          <w:kern w:val="0"/>
          <w:sz w:val="24"/>
        </w:rPr>
        <w:t>3</w:t>
      </w:r>
      <w:r>
        <w:rPr>
          <w:rFonts w:ascii="Cambria" w:hAnsi="宋体"/>
          <w:b/>
          <w:kern w:val="0"/>
          <w:sz w:val="24"/>
        </w:rPr>
        <w:t>.</w:t>
      </w:r>
      <w:r>
        <w:rPr>
          <w:rFonts w:hint="eastAsia" w:ascii="Cambria" w:hAnsi="宋体"/>
          <w:b/>
          <w:kern w:val="0"/>
          <w:sz w:val="24"/>
        </w:rPr>
        <w:t>5</w:t>
      </w:r>
      <w:r>
        <w:rPr>
          <w:rFonts w:ascii="Cambria" w:hAnsi="宋体"/>
          <w:b/>
          <w:kern w:val="0"/>
          <w:sz w:val="24"/>
        </w:rPr>
        <w:t xml:space="preserve"> </w:t>
      </w:r>
      <w:r>
        <w:rPr>
          <w:rFonts w:hint="eastAsia" w:ascii="Cambria" w:hAnsi="宋体"/>
          <w:b/>
          <w:kern w:val="0"/>
          <w:sz w:val="24"/>
        </w:rPr>
        <w:t>部分工程案例</w:t>
      </w:r>
      <w:bookmarkEnd w:id="34"/>
    </w:p>
    <w:p>
      <w:pPr>
        <w:ind w:firstLine="420"/>
        <w:rPr>
          <w:rFonts w:hint="eastAsia" w:ascii="宋体" w:hAnsi="宋体"/>
          <w:szCs w:val="21"/>
        </w:rPr>
      </w:pPr>
      <w:r>
        <w:rPr>
          <w:rFonts w:hint="eastAsia" w:ascii="宋体" w:hAnsi="宋体"/>
          <w:szCs w:val="21"/>
        </w:rPr>
        <w:t>按照本标准技术内容进行施工，可保障工程质量，部分工程案例如图6所示。</w:t>
      </w:r>
    </w:p>
    <w:p>
      <w:pPr>
        <w:ind w:firstLine="422"/>
        <w:jc w:val="center"/>
        <w:rPr>
          <w:rFonts w:hint="eastAsia" w:ascii="宋体" w:hAnsi="宋体"/>
          <w:b/>
          <w:bCs/>
          <w:szCs w:val="21"/>
        </w:rPr>
      </w:pPr>
      <w:r>
        <w:rPr>
          <w:rFonts w:ascii="宋体" w:hAnsi="宋体"/>
          <w:b/>
          <w:bCs/>
          <w:szCs w:val="21"/>
        </w:rPr>
        <w:drawing>
          <wp:inline distT="0" distB="0" distL="0" distR="0">
            <wp:extent cx="2289175" cy="1717040"/>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25344" cy="1744006"/>
                    </a:xfrm>
                    <a:prstGeom prst="rect">
                      <a:avLst/>
                    </a:prstGeom>
                  </pic:spPr>
                </pic:pic>
              </a:graphicData>
            </a:graphic>
          </wp:inline>
        </w:drawing>
      </w:r>
      <w:r>
        <w:rPr>
          <w:rFonts w:hint="eastAsia" w:ascii="宋体" w:hAnsi="宋体"/>
          <w:b/>
          <w:bCs/>
          <w:szCs w:val="21"/>
        </w:rPr>
        <w:t xml:space="preserve"> </w:t>
      </w:r>
      <w:r>
        <w:drawing>
          <wp:inline distT="0" distB="0" distL="0" distR="0">
            <wp:extent cx="2286000" cy="1713865"/>
            <wp:effectExtent l="0" t="0" r="0" b="635"/>
            <wp:docPr id="358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3" name="Picture 3"/>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2306714" cy="1729707"/>
                    </a:xfrm>
                    <a:prstGeom prst="rect">
                      <a:avLst/>
                    </a:prstGeom>
                    <a:noFill/>
                    <a:ln>
                      <a:noFill/>
                    </a:ln>
                  </pic:spPr>
                </pic:pic>
              </a:graphicData>
            </a:graphic>
          </wp:inline>
        </w:drawing>
      </w:r>
    </w:p>
    <w:p>
      <w:pPr>
        <w:ind w:firstLine="420"/>
        <w:jc w:val="center"/>
        <w:rPr>
          <w:rFonts w:hint="eastAsia" w:ascii="宋体" w:hAnsi="宋体"/>
          <w:b/>
          <w:bCs/>
          <w:szCs w:val="21"/>
        </w:rPr>
      </w:pPr>
      <w:r>
        <w:drawing>
          <wp:inline distT="0" distB="0" distL="0" distR="0">
            <wp:extent cx="4613910" cy="2595245"/>
            <wp:effectExtent l="0" t="0" r="0" b="0"/>
            <wp:docPr id="205121295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12958" name="图片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625687" cy="2601879"/>
                    </a:xfrm>
                    <a:prstGeom prst="rect">
                      <a:avLst/>
                    </a:prstGeom>
                    <a:noFill/>
                    <a:ln>
                      <a:noFill/>
                    </a:ln>
                  </pic:spPr>
                </pic:pic>
              </a:graphicData>
            </a:graphic>
          </wp:inline>
        </w:drawing>
      </w:r>
    </w:p>
    <w:p>
      <w:pPr>
        <w:ind w:firstLine="422"/>
        <w:jc w:val="center"/>
        <w:rPr>
          <w:rFonts w:hint="eastAsia" w:ascii="宋体" w:hAnsi="宋体"/>
          <w:b/>
          <w:bCs/>
          <w:szCs w:val="21"/>
        </w:rPr>
        <w:sectPr>
          <w:pgSz w:w="11906" w:h="16838"/>
          <w:pgMar w:top="1440" w:right="1800" w:bottom="1440" w:left="1800" w:header="851" w:footer="992" w:gutter="0"/>
          <w:cols w:space="425" w:num="1"/>
          <w:docGrid w:type="lines" w:linePitch="312" w:charSpace="0"/>
        </w:sectPr>
      </w:pPr>
      <w:r>
        <w:rPr>
          <w:rFonts w:hint="eastAsia" w:ascii="宋体" w:hAnsi="宋体"/>
          <w:b/>
          <w:bCs/>
          <w:szCs w:val="21"/>
        </w:rPr>
        <w:t>图6  部分工程案例</w:t>
      </w:r>
    </w:p>
    <w:p>
      <w:pPr>
        <w:ind w:firstLine="0" w:firstLineChars="0"/>
        <w:outlineLvl w:val="0"/>
        <w:rPr>
          <w:b/>
          <w:kern w:val="0"/>
          <w:sz w:val="24"/>
        </w:rPr>
      </w:pPr>
      <w:bookmarkStart w:id="35" w:name="_Toc132876139"/>
      <w:bookmarkStart w:id="36" w:name="_Toc10645688"/>
      <w:bookmarkStart w:id="37" w:name="_Toc211331668"/>
      <w:r>
        <w:rPr>
          <w:b/>
          <w:kern w:val="0"/>
          <w:sz w:val="24"/>
        </w:rPr>
        <w:t xml:space="preserve">4 </w:t>
      </w:r>
      <w:r>
        <w:rPr>
          <w:rFonts w:hint="eastAsia"/>
          <w:b/>
          <w:kern w:val="0"/>
          <w:sz w:val="24"/>
        </w:rPr>
        <w:t>标准中涉及专利情况说明</w:t>
      </w:r>
      <w:bookmarkEnd w:id="35"/>
      <w:bookmarkEnd w:id="36"/>
      <w:bookmarkEnd w:id="37"/>
    </w:p>
    <w:p>
      <w:pPr>
        <w:ind w:firstLine="420"/>
        <w:rPr>
          <w:rFonts w:hint="eastAsia" w:ascii="宋体" w:hAnsi="宋体"/>
          <w:szCs w:val="21"/>
        </w:rPr>
      </w:pPr>
      <w:r>
        <w:rPr>
          <w:rFonts w:hint="eastAsia" w:ascii="宋体" w:hAnsi="宋体"/>
          <w:szCs w:val="21"/>
        </w:rPr>
        <w:t>经检索，本标准所列技术内容没有涉及专利和知识产权的情况。</w:t>
      </w:r>
    </w:p>
    <w:p>
      <w:pPr>
        <w:ind w:firstLine="0" w:firstLineChars="0"/>
        <w:outlineLvl w:val="0"/>
        <w:rPr>
          <w:b/>
          <w:kern w:val="0"/>
          <w:sz w:val="24"/>
        </w:rPr>
      </w:pPr>
      <w:bookmarkStart w:id="38" w:name="_Toc132876140"/>
      <w:bookmarkStart w:id="39" w:name="_Toc10645689"/>
      <w:bookmarkStart w:id="40" w:name="_Toc211331669"/>
      <w:r>
        <w:rPr>
          <w:b/>
          <w:kern w:val="0"/>
          <w:sz w:val="24"/>
        </w:rPr>
        <w:t xml:space="preserve">5 </w:t>
      </w:r>
      <w:r>
        <w:rPr>
          <w:rFonts w:hint="eastAsia"/>
          <w:b/>
          <w:kern w:val="0"/>
          <w:sz w:val="24"/>
        </w:rPr>
        <w:t>产业化情况</w:t>
      </w:r>
      <w:bookmarkEnd w:id="38"/>
      <w:bookmarkEnd w:id="39"/>
      <w:bookmarkEnd w:id="40"/>
    </w:p>
    <w:p>
      <w:pPr>
        <w:ind w:firstLine="420"/>
        <w:rPr>
          <w:rFonts w:hint="eastAsia" w:ascii="宋体" w:hAnsi="宋体"/>
          <w:szCs w:val="21"/>
        </w:rPr>
      </w:pPr>
      <w:r>
        <w:rPr>
          <w:rFonts w:hint="eastAsia" w:ascii="宋体" w:hAnsi="宋体"/>
          <w:szCs w:val="21"/>
        </w:rPr>
        <w:t>2025年中央城市工作会议明确指出，我国城镇化率突破67%，正式迈入”稳定发展期”，城市建设重心从大规模新建转向存量更新。仅北上广深等重点城市，就释放出超5000万平方米改造需求，预计每年能拉动3000亿元家居建材消费，同时也带动了墙体饰面砂浆使用量的增长；除了城市消费场景，农村建设也进入“提质增量”新阶段，对建筑品质的要求不断提升，墙体饰面砂浆在产品需求量也在逐年增加；此外，中国商业地产在2000-2010年代高速扩张后，大量建筑进入“中老年期”，一线城市约40%的写字楼楼龄超15年，老旧商场的外墙翻新、内部装修等需求持续上升也会带来墙体饰面砂浆的增长；消费者对家居环境个性化改造需求持续释放，也会为墙体饰面砂浆的应用带来增量，具有非常好的经济效益和市场前景。</w:t>
      </w:r>
      <w:r>
        <w:rPr>
          <w:rFonts w:ascii="宋体" w:hAnsi="宋体"/>
          <w:szCs w:val="21"/>
        </w:rPr>
        <w:t xml:space="preserve"> </w:t>
      </w:r>
    </w:p>
    <w:p>
      <w:pPr>
        <w:ind w:firstLine="420"/>
        <w:rPr>
          <w:rFonts w:hint="eastAsia" w:ascii="宋体" w:hAnsi="宋体"/>
          <w:szCs w:val="21"/>
        </w:rPr>
      </w:pPr>
      <w:r>
        <w:rPr>
          <w:rFonts w:hint="eastAsia" w:ascii="宋体" w:hAnsi="宋体"/>
          <w:szCs w:val="21"/>
        </w:rPr>
        <w:t>但是由于技术规范缺失导致很多生产厂家、施工单位无据可依，使得墙体饰面砂浆推广应用容易出现质量问题，其中最突出的问题是色差、泛碱和开裂。因此亟需基于材料、设计、施工、质量验收四个层面提出墙体饰面砂浆应用技术的要点，提升墙体饰面砂浆饰面工程质量，促进墙体饰面砂浆的健康发展。</w:t>
      </w:r>
    </w:p>
    <w:p>
      <w:pPr>
        <w:ind w:firstLine="420"/>
        <w:rPr>
          <w:rFonts w:hint="eastAsia" w:ascii="宋体" w:hAnsi="宋体"/>
          <w:szCs w:val="21"/>
        </w:rPr>
      </w:pPr>
      <w:r>
        <w:rPr>
          <w:rFonts w:hint="eastAsia" w:ascii="宋体" w:hAnsi="宋体"/>
          <w:szCs w:val="21"/>
        </w:rPr>
        <w:t>本标准与相关的产品标准相协同，为生产设计施工单位提供必要的依据。本标准的制定符合生态文明的要求，符合安全发展的要求，符合行业共同利益。</w:t>
      </w:r>
    </w:p>
    <w:p>
      <w:pPr>
        <w:ind w:firstLine="0" w:firstLineChars="0"/>
        <w:outlineLvl w:val="0"/>
        <w:rPr>
          <w:b/>
          <w:kern w:val="0"/>
          <w:sz w:val="24"/>
        </w:rPr>
      </w:pPr>
      <w:bookmarkStart w:id="41" w:name="_Toc211331670"/>
      <w:r>
        <w:rPr>
          <w:b/>
          <w:kern w:val="0"/>
          <w:sz w:val="24"/>
        </w:rPr>
        <w:t xml:space="preserve">6 </w:t>
      </w:r>
      <w:r>
        <w:rPr>
          <w:rFonts w:hint="eastAsia"/>
          <w:b/>
          <w:kern w:val="0"/>
          <w:sz w:val="24"/>
        </w:rPr>
        <w:t>采用国际标准和国外先进标准情况，与国际、国外同类标准水平的对比情况</w:t>
      </w:r>
      <w:bookmarkEnd w:id="41"/>
    </w:p>
    <w:p>
      <w:pPr>
        <w:ind w:firstLine="420"/>
        <w:rPr>
          <w:rFonts w:hint="eastAsia" w:ascii="宋体" w:hAnsi="宋体"/>
          <w:szCs w:val="21"/>
        </w:rPr>
      </w:pPr>
      <w:r>
        <w:rPr>
          <w:rFonts w:hint="eastAsia" w:ascii="宋体" w:hAnsi="宋体"/>
          <w:szCs w:val="21"/>
        </w:rPr>
        <w:t>本标准未采用国际标准和国外先进标准。</w:t>
      </w:r>
    </w:p>
    <w:p>
      <w:pPr>
        <w:ind w:firstLine="0" w:firstLineChars="0"/>
        <w:outlineLvl w:val="0"/>
        <w:rPr>
          <w:b/>
          <w:kern w:val="0"/>
          <w:sz w:val="24"/>
        </w:rPr>
      </w:pPr>
      <w:bookmarkStart w:id="42" w:name="_Toc211331671"/>
      <w:r>
        <w:rPr>
          <w:b/>
          <w:kern w:val="0"/>
          <w:sz w:val="24"/>
        </w:rPr>
        <w:t xml:space="preserve">7 </w:t>
      </w:r>
      <w:r>
        <w:rPr>
          <w:rFonts w:hint="eastAsia"/>
          <w:b/>
          <w:kern w:val="0"/>
          <w:sz w:val="24"/>
        </w:rPr>
        <w:t>与现行相关法律、法规、规章及相关标准，特别是强制性标准的协调性</w:t>
      </w:r>
      <w:bookmarkEnd w:id="42"/>
    </w:p>
    <w:p>
      <w:pPr>
        <w:ind w:firstLine="420"/>
        <w:rPr>
          <w:rFonts w:hint="eastAsia" w:ascii="宋体" w:hAnsi="宋体"/>
          <w:szCs w:val="21"/>
        </w:rPr>
      </w:pPr>
      <w:r>
        <w:rPr>
          <w:rFonts w:hint="eastAsia" w:ascii="宋体" w:hAnsi="宋体"/>
          <w:szCs w:val="21"/>
        </w:rPr>
        <w:t>本</w:t>
      </w:r>
      <w:r>
        <w:rPr>
          <w:rFonts w:hint="eastAsia" w:ascii="宋体" w:hAnsi="宋体"/>
          <w:szCs w:val="21"/>
          <w:lang w:val="en-US" w:eastAsia="zh-CN"/>
        </w:rPr>
        <w:t>标准</w:t>
      </w:r>
      <w:r>
        <w:rPr>
          <w:rFonts w:hint="eastAsia" w:ascii="宋体" w:hAnsi="宋体"/>
          <w:szCs w:val="21"/>
        </w:rPr>
        <w:t>与现行相关法律、法规、规章及相关标准协调一致。本</w:t>
      </w:r>
      <w:r>
        <w:rPr>
          <w:rFonts w:hint="eastAsia" w:ascii="宋体" w:hAnsi="宋体"/>
          <w:szCs w:val="21"/>
          <w:lang w:val="en-US" w:eastAsia="zh-CN"/>
        </w:rPr>
        <w:t>标准</w:t>
      </w:r>
      <w:r>
        <w:rPr>
          <w:rFonts w:hint="eastAsia" w:ascii="宋体" w:hAnsi="宋体"/>
          <w:szCs w:val="21"/>
        </w:rPr>
        <w:t>与国家现行标准《墙体材料应用统一技术规范》GB</w:t>
      </w:r>
      <w:r>
        <w:rPr>
          <w:rFonts w:hint="eastAsia" w:ascii="宋体" w:hAnsi="宋体"/>
          <w:szCs w:val="21"/>
          <w:lang w:val="en-US" w:eastAsia="zh-CN"/>
        </w:rPr>
        <w:t xml:space="preserve"> </w:t>
      </w:r>
      <w:r>
        <w:rPr>
          <w:rFonts w:hint="eastAsia" w:ascii="宋体" w:hAnsi="宋体"/>
          <w:szCs w:val="21"/>
        </w:rPr>
        <w:t>50574、《建筑工程施工质量验收统一标准》GB 50300</w:t>
      </w:r>
      <w:r>
        <w:rPr>
          <w:rFonts w:hint="eastAsia" w:ascii="宋体" w:hAnsi="宋体"/>
          <w:szCs w:val="21"/>
          <w:lang w:eastAsia="zh-CN"/>
        </w:rPr>
        <w:t>、《</w:t>
      </w:r>
      <w:r>
        <w:rPr>
          <w:rFonts w:hint="eastAsia" w:ascii="宋体" w:hAnsi="宋体"/>
          <w:szCs w:val="21"/>
          <w:lang w:val="en-US" w:eastAsia="zh-CN"/>
        </w:rPr>
        <w:t>建筑涂饰工程施工及验收规程</w:t>
      </w:r>
      <w:r>
        <w:rPr>
          <w:rFonts w:hint="eastAsia" w:ascii="宋体" w:hAnsi="宋体"/>
          <w:szCs w:val="21"/>
          <w:lang w:eastAsia="zh-CN"/>
        </w:rPr>
        <w:t>》</w:t>
      </w:r>
      <w:r>
        <w:rPr>
          <w:rFonts w:hint="eastAsia" w:ascii="宋体" w:hAnsi="宋体"/>
          <w:szCs w:val="21"/>
        </w:rPr>
        <w:t xml:space="preserve">JGJ/T </w:t>
      </w:r>
      <w:r>
        <w:rPr>
          <w:rFonts w:hint="eastAsia" w:ascii="宋体" w:hAnsi="宋体"/>
          <w:szCs w:val="21"/>
          <w:lang w:val="en-US" w:eastAsia="zh-CN"/>
        </w:rPr>
        <w:t>29、《预拌砂浆应用技术规程》</w:t>
      </w:r>
      <w:r>
        <w:rPr>
          <w:rFonts w:hint="eastAsia" w:ascii="宋体" w:hAnsi="宋体"/>
          <w:szCs w:val="21"/>
        </w:rPr>
        <w:t xml:space="preserve">JGJ/T </w:t>
      </w:r>
      <w:r>
        <w:rPr>
          <w:rFonts w:hint="eastAsia" w:ascii="宋体" w:hAnsi="宋体"/>
          <w:szCs w:val="21"/>
          <w:lang w:val="en-US" w:eastAsia="zh-CN"/>
        </w:rPr>
        <w:t>223等建筑设计施工质量标准相协调</w:t>
      </w:r>
      <w:r>
        <w:rPr>
          <w:rFonts w:hint="eastAsia" w:ascii="宋体" w:hAnsi="宋体"/>
          <w:szCs w:val="21"/>
        </w:rPr>
        <w:t>。</w:t>
      </w:r>
      <w:r>
        <w:rPr>
          <w:rFonts w:hint="eastAsia" w:ascii="宋体" w:hAnsi="宋体"/>
          <w:szCs w:val="21"/>
          <w:lang w:val="en-US" w:eastAsia="zh-CN"/>
        </w:rPr>
        <w:t>同时与产品标准《墙体饰面砂浆》JC/T1024</w:t>
      </w:r>
      <w:r>
        <w:rPr>
          <w:rFonts w:hint="eastAsia" w:ascii="宋体" w:hAnsi="宋体"/>
          <w:szCs w:val="21"/>
        </w:rPr>
        <w:t>具有良好的协调性。</w:t>
      </w:r>
    </w:p>
    <w:p>
      <w:pPr>
        <w:ind w:firstLine="0" w:firstLineChars="0"/>
        <w:outlineLvl w:val="0"/>
        <w:rPr>
          <w:b/>
          <w:kern w:val="0"/>
          <w:sz w:val="24"/>
        </w:rPr>
      </w:pPr>
      <w:bookmarkStart w:id="43" w:name="_Toc211331672"/>
      <w:r>
        <w:rPr>
          <w:b/>
          <w:kern w:val="0"/>
          <w:sz w:val="24"/>
        </w:rPr>
        <w:t xml:space="preserve">8 </w:t>
      </w:r>
      <w:r>
        <w:rPr>
          <w:rFonts w:hint="eastAsia"/>
          <w:b/>
          <w:kern w:val="0"/>
          <w:sz w:val="24"/>
        </w:rPr>
        <w:t>重大分歧意见的处理经过和依据</w:t>
      </w:r>
      <w:bookmarkEnd w:id="43"/>
    </w:p>
    <w:p>
      <w:pPr>
        <w:ind w:firstLine="420"/>
        <w:rPr>
          <w:rFonts w:hint="eastAsia" w:ascii="宋体" w:hAnsi="宋体"/>
          <w:szCs w:val="21"/>
        </w:rPr>
      </w:pPr>
      <w:r>
        <w:rPr>
          <w:rFonts w:hint="eastAsia" w:ascii="宋体" w:hAnsi="宋体"/>
          <w:szCs w:val="21"/>
        </w:rPr>
        <w:t>无。</w:t>
      </w:r>
    </w:p>
    <w:p>
      <w:pPr>
        <w:ind w:firstLine="0" w:firstLineChars="0"/>
        <w:outlineLvl w:val="0"/>
        <w:rPr>
          <w:b/>
          <w:kern w:val="0"/>
          <w:sz w:val="24"/>
        </w:rPr>
      </w:pPr>
      <w:bookmarkStart w:id="44" w:name="_Toc211331673"/>
      <w:r>
        <w:rPr>
          <w:b/>
          <w:kern w:val="0"/>
          <w:sz w:val="24"/>
        </w:rPr>
        <w:t xml:space="preserve">9 </w:t>
      </w:r>
      <w:r>
        <w:rPr>
          <w:rFonts w:hint="eastAsia"/>
          <w:b/>
          <w:kern w:val="0"/>
          <w:sz w:val="24"/>
        </w:rPr>
        <w:t>标准性质的建议说明</w:t>
      </w:r>
      <w:bookmarkEnd w:id="44"/>
    </w:p>
    <w:p>
      <w:pPr>
        <w:ind w:firstLine="420"/>
        <w:rPr>
          <w:rFonts w:hint="eastAsia" w:ascii="宋体" w:hAnsi="宋体"/>
          <w:szCs w:val="21"/>
        </w:rPr>
      </w:pPr>
      <w:r>
        <w:rPr>
          <w:rFonts w:hint="eastAsia" w:ascii="宋体" w:hAnsi="宋体"/>
          <w:szCs w:val="21"/>
        </w:rPr>
        <w:t>建议本标准为推荐性标准。</w:t>
      </w:r>
    </w:p>
    <w:p>
      <w:pPr>
        <w:ind w:firstLine="0" w:firstLineChars="0"/>
        <w:outlineLvl w:val="0"/>
        <w:rPr>
          <w:b/>
          <w:kern w:val="0"/>
          <w:sz w:val="24"/>
        </w:rPr>
      </w:pPr>
      <w:bookmarkStart w:id="45" w:name="_Toc211331674"/>
      <w:r>
        <w:rPr>
          <w:b/>
          <w:kern w:val="0"/>
          <w:sz w:val="24"/>
        </w:rPr>
        <w:t xml:space="preserve">10 </w:t>
      </w:r>
      <w:r>
        <w:rPr>
          <w:rFonts w:hint="eastAsia"/>
          <w:b/>
          <w:kern w:val="0"/>
          <w:sz w:val="24"/>
        </w:rPr>
        <w:t>贯彻标准的要求和措施建议</w:t>
      </w:r>
      <w:bookmarkEnd w:id="45"/>
    </w:p>
    <w:p>
      <w:pPr>
        <w:ind w:firstLine="420"/>
        <w:rPr>
          <w:rFonts w:hint="eastAsia" w:ascii="宋体" w:hAnsi="宋体"/>
          <w:szCs w:val="21"/>
        </w:rPr>
      </w:pPr>
      <w:r>
        <w:rPr>
          <w:rFonts w:hint="eastAsia" w:ascii="宋体" w:hAnsi="宋体"/>
          <w:szCs w:val="21"/>
        </w:rPr>
        <w:t>建议在本标准正式出台后，各设计单位、施工单位、生产厂家、检测机构以及相关管理部门能够依据本标准中的相关规定对墙体饰面砂浆应用技术规范进行统一的评价和管理。具体实施措施建议如下：</w:t>
      </w:r>
    </w:p>
    <w:p>
      <w:pPr>
        <w:ind w:firstLine="420"/>
        <w:rPr>
          <w:rFonts w:hint="eastAsia" w:ascii="宋体" w:hAnsi="宋体"/>
          <w:szCs w:val="21"/>
        </w:rPr>
      </w:pPr>
      <w:r>
        <w:rPr>
          <w:rFonts w:hint="eastAsia" w:ascii="宋体" w:hAnsi="宋体"/>
          <w:szCs w:val="21"/>
        </w:rPr>
        <w:t>（1）加大宣传力度，提高认知度，同时借助中国建筑材料联合会预拌砂浆分会平台，将有参考价值的案例、好的做法和经验等在行业内部公开发布，引起有关部门领导和相关企业单位的重视，使相关单位能够积极主动结合本单位实际情况学习研究和贯彻实施本标准。</w:t>
      </w:r>
    </w:p>
    <w:p>
      <w:pPr>
        <w:ind w:firstLine="420"/>
        <w:rPr>
          <w:rFonts w:hint="eastAsia" w:ascii="宋体" w:hAnsi="宋体"/>
          <w:szCs w:val="21"/>
        </w:rPr>
      </w:pPr>
      <w:r>
        <w:rPr>
          <w:rFonts w:hint="eastAsia" w:ascii="宋体" w:hAnsi="宋体"/>
          <w:szCs w:val="21"/>
        </w:rPr>
        <w:t>（2）组织宣贯会，由本标准归口单位进行贯标指导，确保落实，为企业在使用过程中出现问题及时答疑解惑。</w:t>
      </w:r>
    </w:p>
    <w:p>
      <w:pPr>
        <w:ind w:firstLine="420"/>
        <w:rPr>
          <w:rFonts w:hint="eastAsia" w:ascii="宋体" w:hAnsi="宋体"/>
          <w:szCs w:val="21"/>
        </w:rPr>
      </w:pPr>
      <w:r>
        <w:rPr>
          <w:rFonts w:hint="eastAsia" w:ascii="宋体" w:hAnsi="宋体"/>
          <w:szCs w:val="21"/>
        </w:rPr>
        <w:t>（3）标准化技术人员全面负责贯标实施工作，跟踪服务对贯标中出现的技术问题进行协调处理作好贯标记录，并进行长期监督检查工作。</w:t>
      </w:r>
    </w:p>
    <w:p>
      <w:pPr>
        <w:ind w:firstLine="0" w:firstLineChars="0"/>
        <w:outlineLvl w:val="0"/>
        <w:rPr>
          <w:b/>
          <w:kern w:val="0"/>
          <w:sz w:val="24"/>
        </w:rPr>
      </w:pPr>
      <w:bookmarkStart w:id="46" w:name="_Toc211331675"/>
      <w:r>
        <w:rPr>
          <w:b/>
          <w:kern w:val="0"/>
          <w:sz w:val="24"/>
        </w:rPr>
        <w:t xml:space="preserve">11 </w:t>
      </w:r>
      <w:r>
        <w:rPr>
          <w:rFonts w:hint="eastAsia"/>
          <w:b/>
          <w:kern w:val="0"/>
          <w:sz w:val="24"/>
        </w:rPr>
        <w:t>废止现行相关标准的建议</w:t>
      </w:r>
      <w:bookmarkEnd w:id="46"/>
    </w:p>
    <w:p>
      <w:pPr>
        <w:ind w:firstLine="420"/>
        <w:rPr>
          <w:rFonts w:hint="eastAsia" w:ascii="宋体" w:hAnsi="宋体"/>
          <w:szCs w:val="21"/>
        </w:rPr>
      </w:pPr>
      <w:r>
        <w:rPr>
          <w:rFonts w:hint="eastAsia" w:ascii="宋体" w:hAnsi="宋体"/>
          <w:szCs w:val="21"/>
        </w:rPr>
        <w:t>无。</w:t>
      </w:r>
    </w:p>
    <w:p>
      <w:pPr>
        <w:ind w:firstLine="0" w:firstLineChars="0"/>
        <w:outlineLvl w:val="0"/>
        <w:rPr>
          <w:b/>
          <w:kern w:val="0"/>
          <w:sz w:val="24"/>
        </w:rPr>
      </w:pPr>
      <w:bookmarkStart w:id="47" w:name="_Toc211331676"/>
      <w:r>
        <w:rPr>
          <w:b/>
          <w:kern w:val="0"/>
          <w:sz w:val="24"/>
        </w:rPr>
        <w:t xml:space="preserve">12 </w:t>
      </w:r>
      <w:r>
        <w:rPr>
          <w:rFonts w:hint="eastAsia"/>
          <w:b/>
          <w:kern w:val="0"/>
          <w:sz w:val="24"/>
        </w:rPr>
        <w:t>其它应予说明的事项</w:t>
      </w:r>
      <w:bookmarkEnd w:id="47"/>
    </w:p>
    <w:p>
      <w:pPr>
        <w:ind w:firstLine="420"/>
        <w:rPr>
          <w:rFonts w:hint="eastAsia" w:ascii="宋体" w:hAnsi="宋体"/>
          <w:szCs w:val="21"/>
        </w:rPr>
      </w:pPr>
      <w:r>
        <w:rPr>
          <w:rFonts w:hint="eastAsia" w:ascii="宋体" w:hAnsi="宋体"/>
          <w:szCs w:val="21"/>
        </w:rPr>
        <w:t>无。</w:t>
      </w:r>
    </w:p>
    <w:p>
      <w:pPr>
        <w:ind w:firstLine="0" w:firstLineChars="0"/>
        <w:rPr>
          <w:rFonts w:hint="eastAsia" w:ascii="宋体" w:hAnsi="宋体"/>
          <w:szCs w:val="21"/>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ongti SC">
    <w:altName w:val="微软雅黑"/>
    <w:panose1 w:val="00000000000000000000"/>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70731584"/>
      <w:docPartObj>
        <w:docPartGallery w:val="autotext"/>
      </w:docPartObj>
    </w:sdtPr>
    <w:sdtContent>
      <w:p>
        <w:pPr>
          <w:pStyle w:val="5"/>
          <w:ind w:firstLine="360"/>
          <w:jc w:val="center"/>
        </w:pPr>
        <w:r>
          <w:fldChar w:fldCharType="begin"/>
        </w:r>
        <w:r>
          <w:instrText xml:space="preserve">PAGE   \* MERGEFORMAT</w:instrText>
        </w:r>
        <w:r>
          <w:fldChar w:fldCharType="separate"/>
        </w:r>
        <w:r>
          <w:rPr>
            <w:lang w:val="zh-CN"/>
          </w:rPr>
          <w:t>2</w:t>
        </w:r>
        <w:r>
          <w:fldChar w:fldCharType="end"/>
        </w:r>
      </w:p>
    </w:sdtContent>
  </w:sdt>
  <w:p>
    <w:pPr>
      <w:pStyle w:val="5"/>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SystemFonts/>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RjNDdkZmQzNjQ0NzkzYzNmNDIwNDAzZDVkNmE3ZGYifQ=="/>
  </w:docVars>
  <w:rsids>
    <w:rsidRoot w:val="3CEC2B8C"/>
    <w:rsid w:val="0000368F"/>
    <w:rsid w:val="00013D8E"/>
    <w:rsid w:val="00014854"/>
    <w:rsid w:val="00022B48"/>
    <w:rsid w:val="00032125"/>
    <w:rsid w:val="000908FA"/>
    <w:rsid w:val="000E2FD2"/>
    <w:rsid w:val="000F1948"/>
    <w:rsid w:val="0013033D"/>
    <w:rsid w:val="00143194"/>
    <w:rsid w:val="001546DC"/>
    <w:rsid w:val="00157655"/>
    <w:rsid w:val="001768AB"/>
    <w:rsid w:val="00182102"/>
    <w:rsid w:val="0019155F"/>
    <w:rsid w:val="001C0091"/>
    <w:rsid w:val="001C0AFC"/>
    <w:rsid w:val="001C45E4"/>
    <w:rsid w:val="001E5F6A"/>
    <w:rsid w:val="001E6236"/>
    <w:rsid w:val="001F39F3"/>
    <w:rsid w:val="00204C75"/>
    <w:rsid w:val="00226794"/>
    <w:rsid w:val="00245790"/>
    <w:rsid w:val="00250CC3"/>
    <w:rsid w:val="00274B5F"/>
    <w:rsid w:val="00292D84"/>
    <w:rsid w:val="00293B78"/>
    <w:rsid w:val="002C3A36"/>
    <w:rsid w:val="003158BB"/>
    <w:rsid w:val="00321761"/>
    <w:rsid w:val="00322FD9"/>
    <w:rsid w:val="003230E0"/>
    <w:rsid w:val="00340DFB"/>
    <w:rsid w:val="00345EA4"/>
    <w:rsid w:val="003468CD"/>
    <w:rsid w:val="00364AB3"/>
    <w:rsid w:val="003771F0"/>
    <w:rsid w:val="003B0772"/>
    <w:rsid w:val="003B199C"/>
    <w:rsid w:val="003B6519"/>
    <w:rsid w:val="003F30CA"/>
    <w:rsid w:val="00446255"/>
    <w:rsid w:val="00446AAD"/>
    <w:rsid w:val="00463BD4"/>
    <w:rsid w:val="00490C4E"/>
    <w:rsid w:val="004A268A"/>
    <w:rsid w:val="004E5B7C"/>
    <w:rsid w:val="004F354E"/>
    <w:rsid w:val="00507C6A"/>
    <w:rsid w:val="00514F6A"/>
    <w:rsid w:val="00564CBC"/>
    <w:rsid w:val="005709AF"/>
    <w:rsid w:val="0058377C"/>
    <w:rsid w:val="0059040D"/>
    <w:rsid w:val="005933AB"/>
    <w:rsid w:val="00595C05"/>
    <w:rsid w:val="005D7611"/>
    <w:rsid w:val="005E6310"/>
    <w:rsid w:val="006115C4"/>
    <w:rsid w:val="006235C5"/>
    <w:rsid w:val="00625490"/>
    <w:rsid w:val="00640AE9"/>
    <w:rsid w:val="0066258B"/>
    <w:rsid w:val="00664D13"/>
    <w:rsid w:val="00664D6B"/>
    <w:rsid w:val="00684135"/>
    <w:rsid w:val="006A2EBA"/>
    <w:rsid w:val="006C7138"/>
    <w:rsid w:val="006D7731"/>
    <w:rsid w:val="006E6DD8"/>
    <w:rsid w:val="00703032"/>
    <w:rsid w:val="00703C79"/>
    <w:rsid w:val="007169AE"/>
    <w:rsid w:val="007713E7"/>
    <w:rsid w:val="00773181"/>
    <w:rsid w:val="007B109A"/>
    <w:rsid w:val="00802007"/>
    <w:rsid w:val="00833562"/>
    <w:rsid w:val="00835A95"/>
    <w:rsid w:val="00881DDA"/>
    <w:rsid w:val="008869BF"/>
    <w:rsid w:val="00912CB7"/>
    <w:rsid w:val="00935596"/>
    <w:rsid w:val="00960D75"/>
    <w:rsid w:val="00971578"/>
    <w:rsid w:val="00972058"/>
    <w:rsid w:val="00993676"/>
    <w:rsid w:val="00993840"/>
    <w:rsid w:val="009A08FB"/>
    <w:rsid w:val="009A3BFE"/>
    <w:rsid w:val="009E5CD8"/>
    <w:rsid w:val="00A03918"/>
    <w:rsid w:val="00A10AB9"/>
    <w:rsid w:val="00A31FD6"/>
    <w:rsid w:val="00A51AB1"/>
    <w:rsid w:val="00A56D45"/>
    <w:rsid w:val="00AC0899"/>
    <w:rsid w:val="00AD5527"/>
    <w:rsid w:val="00AE0CE2"/>
    <w:rsid w:val="00AE4B25"/>
    <w:rsid w:val="00B00577"/>
    <w:rsid w:val="00B00D1D"/>
    <w:rsid w:val="00B15E26"/>
    <w:rsid w:val="00B16044"/>
    <w:rsid w:val="00B342C1"/>
    <w:rsid w:val="00B5607B"/>
    <w:rsid w:val="00BC68FD"/>
    <w:rsid w:val="00BD5634"/>
    <w:rsid w:val="00BD7526"/>
    <w:rsid w:val="00BE03BC"/>
    <w:rsid w:val="00BF2251"/>
    <w:rsid w:val="00C66BAE"/>
    <w:rsid w:val="00C72512"/>
    <w:rsid w:val="00CA384F"/>
    <w:rsid w:val="00CC2AD2"/>
    <w:rsid w:val="00CE1750"/>
    <w:rsid w:val="00CF6ABA"/>
    <w:rsid w:val="00D30CFA"/>
    <w:rsid w:val="00D82E0D"/>
    <w:rsid w:val="00DB776A"/>
    <w:rsid w:val="00DE5A8D"/>
    <w:rsid w:val="00E26594"/>
    <w:rsid w:val="00E27FEE"/>
    <w:rsid w:val="00E57DE6"/>
    <w:rsid w:val="00E73C55"/>
    <w:rsid w:val="00E809C6"/>
    <w:rsid w:val="00E82BB4"/>
    <w:rsid w:val="00EA0CEE"/>
    <w:rsid w:val="00EA7D9A"/>
    <w:rsid w:val="00EB42FE"/>
    <w:rsid w:val="00EB4A57"/>
    <w:rsid w:val="00EC1F9C"/>
    <w:rsid w:val="00F06226"/>
    <w:rsid w:val="00F506CC"/>
    <w:rsid w:val="00F70183"/>
    <w:rsid w:val="00F738D8"/>
    <w:rsid w:val="00F77D69"/>
    <w:rsid w:val="00F92325"/>
    <w:rsid w:val="00FA2313"/>
    <w:rsid w:val="00FC0ED2"/>
    <w:rsid w:val="00FD2F7E"/>
    <w:rsid w:val="010712D3"/>
    <w:rsid w:val="010A78A6"/>
    <w:rsid w:val="010B5ED9"/>
    <w:rsid w:val="01281023"/>
    <w:rsid w:val="01357E87"/>
    <w:rsid w:val="014F63A5"/>
    <w:rsid w:val="0153771C"/>
    <w:rsid w:val="01580495"/>
    <w:rsid w:val="01592BED"/>
    <w:rsid w:val="01763491"/>
    <w:rsid w:val="0183015F"/>
    <w:rsid w:val="01892F9D"/>
    <w:rsid w:val="018E5C14"/>
    <w:rsid w:val="019C3447"/>
    <w:rsid w:val="01B07432"/>
    <w:rsid w:val="01B171FD"/>
    <w:rsid w:val="01B52770"/>
    <w:rsid w:val="01BC27AC"/>
    <w:rsid w:val="01C25DCF"/>
    <w:rsid w:val="01C53C54"/>
    <w:rsid w:val="01CA1E88"/>
    <w:rsid w:val="01D266CD"/>
    <w:rsid w:val="01E174C5"/>
    <w:rsid w:val="01ED3926"/>
    <w:rsid w:val="020D0375"/>
    <w:rsid w:val="020F1E6C"/>
    <w:rsid w:val="021679BB"/>
    <w:rsid w:val="021A092B"/>
    <w:rsid w:val="021A7DF7"/>
    <w:rsid w:val="02272BAA"/>
    <w:rsid w:val="022B28B1"/>
    <w:rsid w:val="02553E56"/>
    <w:rsid w:val="02591B32"/>
    <w:rsid w:val="02867B60"/>
    <w:rsid w:val="02916AC3"/>
    <w:rsid w:val="02917EE8"/>
    <w:rsid w:val="02925D57"/>
    <w:rsid w:val="029A71C8"/>
    <w:rsid w:val="029E4AFC"/>
    <w:rsid w:val="02AC5989"/>
    <w:rsid w:val="02B530F1"/>
    <w:rsid w:val="02C17331"/>
    <w:rsid w:val="02D04B28"/>
    <w:rsid w:val="02F84D5B"/>
    <w:rsid w:val="02F878FA"/>
    <w:rsid w:val="030A37E0"/>
    <w:rsid w:val="0319329B"/>
    <w:rsid w:val="032A3EDC"/>
    <w:rsid w:val="032A5249"/>
    <w:rsid w:val="032F7FFD"/>
    <w:rsid w:val="03445092"/>
    <w:rsid w:val="03490644"/>
    <w:rsid w:val="03501371"/>
    <w:rsid w:val="03501D4F"/>
    <w:rsid w:val="03517A26"/>
    <w:rsid w:val="037E019F"/>
    <w:rsid w:val="03873C41"/>
    <w:rsid w:val="038F7F2E"/>
    <w:rsid w:val="03A078AA"/>
    <w:rsid w:val="03A74637"/>
    <w:rsid w:val="03A75782"/>
    <w:rsid w:val="03A81F94"/>
    <w:rsid w:val="03AE2D02"/>
    <w:rsid w:val="03C3473C"/>
    <w:rsid w:val="03DA6657"/>
    <w:rsid w:val="03FD6157"/>
    <w:rsid w:val="043600AD"/>
    <w:rsid w:val="044F1B33"/>
    <w:rsid w:val="0458088E"/>
    <w:rsid w:val="045C74C2"/>
    <w:rsid w:val="048E1D7D"/>
    <w:rsid w:val="04905EA6"/>
    <w:rsid w:val="04A3623D"/>
    <w:rsid w:val="04B82915"/>
    <w:rsid w:val="04D31386"/>
    <w:rsid w:val="04D40FCB"/>
    <w:rsid w:val="04D97999"/>
    <w:rsid w:val="04DD54B5"/>
    <w:rsid w:val="04E72E69"/>
    <w:rsid w:val="05020E84"/>
    <w:rsid w:val="050C5343"/>
    <w:rsid w:val="05101E7A"/>
    <w:rsid w:val="051A60C9"/>
    <w:rsid w:val="055345B8"/>
    <w:rsid w:val="056F4ACD"/>
    <w:rsid w:val="05773E3D"/>
    <w:rsid w:val="05861945"/>
    <w:rsid w:val="059603FB"/>
    <w:rsid w:val="05965D37"/>
    <w:rsid w:val="05BF7AB0"/>
    <w:rsid w:val="05CE33F1"/>
    <w:rsid w:val="05D15B6D"/>
    <w:rsid w:val="05F85291"/>
    <w:rsid w:val="06020532"/>
    <w:rsid w:val="060F3A37"/>
    <w:rsid w:val="06230BE1"/>
    <w:rsid w:val="06305458"/>
    <w:rsid w:val="0654558C"/>
    <w:rsid w:val="06A72D0F"/>
    <w:rsid w:val="06AD6C73"/>
    <w:rsid w:val="06DC2CFC"/>
    <w:rsid w:val="06E31377"/>
    <w:rsid w:val="06F636B3"/>
    <w:rsid w:val="072D4981"/>
    <w:rsid w:val="07334C3B"/>
    <w:rsid w:val="07345AE0"/>
    <w:rsid w:val="07424A27"/>
    <w:rsid w:val="075670DB"/>
    <w:rsid w:val="076B2ED0"/>
    <w:rsid w:val="076E1936"/>
    <w:rsid w:val="0770195C"/>
    <w:rsid w:val="07701DF3"/>
    <w:rsid w:val="0775038A"/>
    <w:rsid w:val="077E3657"/>
    <w:rsid w:val="078177FC"/>
    <w:rsid w:val="07877C8B"/>
    <w:rsid w:val="079A39A3"/>
    <w:rsid w:val="07B425F7"/>
    <w:rsid w:val="07BC4434"/>
    <w:rsid w:val="07BE4F09"/>
    <w:rsid w:val="07BE7595"/>
    <w:rsid w:val="07E64805"/>
    <w:rsid w:val="07E9436B"/>
    <w:rsid w:val="07F71162"/>
    <w:rsid w:val="08042143"/>
    <w:rsid w:val="08052A60"/>
    <w:rsid w:val="0815410D"/>
    <w:rsid w:val="084B6973"/>
    <w:rsid w:val="086E31B5"/>
    <w:rsid w:val="088145C3"/>
    <w:rsid w:val="088A211B"/>
    <w:rsid w:val="088B0F91"/>
    <w:rsid w:val="088B2604"/>
    <w:rsid w:val="089531EB"/>
    <w:rsid w:val="08BC5FB3"/>
    <w:rsid w:val="08BD7289"/>
    <w:rsid w:val="08C37D1D"/>
    <w:rsid w:val="08C941E3"/>
    <w:rsid w:val="08CB11A3"/>
    <w:rsid w:val="08F643B7"/>
    <w:rsid w:val="09124EBD"/>
    <w:rsid w:val="091C2C8F"/>
    <w:rsid w:val="092A7781"/>
    <w:rsid w:val="092B6F7B"/>
    <w:rsid w:val="093164CB"/>
    <w:rsid w:val="09546329"/>
    <w:rsid w:val="09702AA1"/>
    <w:rsid w:val="099B398F"/>
    <w:rsid w:val="09C62985"/>
    <w:rsid w:val="09C6364F"/>
    <w:rsid w:val="09DD016B"/>
    <w:rsid w:val="09F6562A"/>
    <w:rsid w:val="0A026D33"/>
    <w:rsid w:val="0A223EF3"/>
    <w:rsid w:val="0A2B0725"/>
    <w:rsid w:val="0A420DA2"/>
    <w:rsid w:val="0A726655"/>
    <w:rsid w:val="0A8D7FFD"/>
    <w:rsid w:val="0ACA3C7B"/>
    <w:rsid w:val="0ACF3EF7"/>
    <w:rsid w:val="0AE61459"/>
    <w:rsid w:val="0B0F2FBB"/>
    <w:rsid w:val="0B2B50DA"/>
    <w:rsid w:val="0B2E644F"/>
    <w:rsid w:val="0B3278EA"/>
    <w:rsid w:val="0B413F15"/>
    <w:rsid w:val="0B536B0A"/>
    <w:rsid w:val="0B584062"/>
    <w:rsid w:val="0B93158A"/>
    <w:rsid w:val="0B9B3E57"/>
    <w:rsid w:val="0BAF3553"/>
    <w:rsid w:val="0BBA183B"/>
    <w:rsid w:val="0BC3186A"/>
    <w:rsid w:val="0BC4482B"/>
    <w:rsid w:val="0BCB082D"/>
    <w:rsid w:val="0BCD3FB5"/>
    <w:rsid w:val="0BD128C3"/>
    <w:rsid w:val="0BEB29F7"/>
    <w:rsid w:val="0BF01D99"/>
    <w:rsid w:val="0C1364F3"/>
    <w:rsid w:val="0C3064DD"/>
    <w:rsid w:val="0C520D55"/>
    <w:rsid w:val="0C571B90"/>
    <w:rsid w:val="0C647BDE"/>
    <w:rsid w:val="0C867056"/>
    <w:rsid w:val="0CB70674"/>
    <w:rsid w:val="0CB8034E"/>
    <w:rsid w:val="0CD13A94"/>
    <w:rsid w:val="0CD579E9"/>
    <w:rsid w:val="0CDF34C0"/>
    <w:rsid w:val="0CEF0944"/>
    <w:rsid w:val="0CF74020"/>
    <w:rsid w:val="0D0A788C"/>
    <w:rsid w:val="0D2005BD"/>
    <w:rsid w:val="0D3015E6"/>
    <w:rsid w:val="0D347C77"/>
    <w:rsid w:val="0D356944"/>
    <w:rsid w:val="0D430DBD"/>
    <w:rsid w:val="0D474A13"/>
    <w:rsid w:val="0D677618"/>
    <w:rsid w:val="0D6C145A"/>
    <w:rsid w:val="0D71076F"/>
    <w:rsid w:val="0D7917AB"/>
    <w:rsid w:val="0DCA1660"/>
    <w:rsid w:val="0DDE7A71"/>
    <w:rsid w:val="0DED507F"/>
    <w:rsid w:val="0DFC2A71"/>
    <w:rsid w:val="0E073B62"/>
    <w:rsid w:val="0E1B247E"/>
    <w:rsid w:val="0E1E71E7"/>
    <w:rsid w:val="0E2B638C"/>
    <w:rsid w:val="0E3D2E28"/>
    <w:rsid w:val="0E667543"/>
    <w:rsid w:val="0E8B7CBA"/>
    <w:rsid w:val="0E8E6F89"/>
    <w:rsid w:val="0EA3708A"/>
    <w:rsid w:val="0EC20246"/>
    <w:rsid w:val="0EC25942"/>
    <w:rsid w:val="0EE644A9"/>
    <w:rsid w:val="0EFF7EC5"/>
    <w:rsid w:val="0F096239"/>
    <w:rsid w:val="0F1A27A5"/>
    <w:rsid w:val="0F550EDF"/>
    <w:rsid w:val="0F576E96"/>
    <w:rsid w:val="0F5B099D"/>
    <w:rsid w:val="0F6C4703"/>
    <w:rsid w:val="0F736195"/>
    <w:rsid w:val="0F8615E3"/>
    <w:rsid w:val="0F8772C1"/>
    <w:rsid w:val="0F8A7456"/>
    <w:rsid w:val="0F8C0EA1"/>
    <w:rsid w:val="0F9C11DA"/>
    <w:rsid w:val="0FA40322"/>
    <w:rsid w:val="0FDF17BA"/>
    <w:rsid w:val="0FE830E1"/>
    <w:rsid w:val="0FEB5ACF"/>
    <w:rsid w:val="0FF41981"/>
    <w:rsid w:val="101E2053"/>
    <w:rsid w:val="10310605"/>
    <w:rsid w:val="10452DF3"/>
    <w:rsid w:val="106533C4"/>
    <w:rsid w:val="107E7EF2"/>
    <w:rsid w:val="108D2BB3"/>
    <w:rsid w:val="109334B4"/>
    <w:rsid w:val="10A514D9"/>
    <w:rsid w:val="10AF26E7"/>
    <w:rsid w:val="10B74F74"/>
    <w:rsid w:val="10C8572A"/>
    <w:rsid w:val="10DD5B09"/>
    <w:rsid w:val="10E74C9D"/>
    <w:rsid w:val="11023227"/>
    <w:rsid w:val="1108428C"/>
    <w:rsid w:val="11202801"/>
    <w:rsid w:val="11293909"/>
    <w:rsid w:val="112F43D6"/>
    <w:rsid w:val="112F6F2E"/>
    <w:rsid w:val="115D21E9"/>
    <w:rsid w:val="116E0444"/>
    <w:rsid w:val="11851A44"/>
    <w:rsid w:val="11912E5B"/>
    <w:rsid w:val="11A61268"/>
    <w:rsid w:val="11D37F1A"/>
    <w:rsid w:val="11F2695B"/>
    <w:rsid w:val="12073E1B"/>
    <w:rsid w:val="12094616"/>
    <w:rsid w:val="120C2DE1"/>
    <w:rsid w:val="12183FFC"/>
    <w:rsid w:val="12190EFD"/>
    <w:rsid w:val="123506F9"/>
    <w:rsid w:val="123C43AC"/>
    <w:rsid w:val="124A79AB"/>
    <w:rsid w:val="1257179A"/>
    <w:rsid w:val="126433B6"/>
    <w:rsid w:val="12A978FC"/>
    <w:rsid w:val="12CE6B64"/>
    <w:rsid w:val="13091CBD"/>
    <w:rsid w:val="13130048"/>
    <w:rsid w:val="131735AB"/>
    <w:rsid w:val="13271A2D"/>
    <w:rsid w:val="13301719"/>
    <w:rsid w:val="137B594A"/>
    <w:rsid w:val="13801C4C"/>
    <w:rsid w:val="138B4962"/>
    <w:rsid w:val="13953100"/>
    <w:rsid w:val="13A86A47"/>
    <w:rsid w:val="13D90B8A"/>
    <w:rsid w:val="14042673"/>
    <w:rsid w:val="140F777B"/>
    <w:rsid w:val="14253DF1"/>
    <w:rsid w:val="144026E3"/>
    <w:rsid w:val="144106F9"/>
    <w:rsid w:val="14581CE6"/>
    <w:rsid w:val="145E1DD9"/>
    <w:rsid w:val="146F73DA"/>
    <w:rsid w:val="1476402B"/>
    <w:rsid w:val="14D13915"/>
    <w:rsid w:val="14DC3373"/>
    <w:rsid w:val="14F333E6"/>
    <w:rsid w:val="150A1BBD"/>
    <w:rsid w:val="15316B41"/>
    <w:rsid w:val="15404C89"/>
    <w:rsid w:val="15422421"/>
    <w:rsid w:val="15463EB6"/>
    <w:rsid w:val="155D1D51"/>
    <w:rsid w:val="156D4D74"/>
    <w:rsid w:val="157144F1"/>
    <w:rsid w:val="1582328C"/>
    <w:rsid w:val="15A313B6"/>
    <w:rsid w:val="15A957BE"/>
    <w:rsid w:val="15C6258A"/>
    <w:rsid w:val="15CA15FD"/>
    <w:rsid w:val="15E015C8"/>
    <w:rsid w:val="15EE3287"/>
    <w:rsid w:val="15F20234"/>
    <w:rsid w:val="160023CE"/>
    <w:rsid w:val="16046A2E"/>
    <w:rsid w:val="161D2FEB"/>
    <w:rsid w:val="162275ED"/>
    <w:rsid w:val="163024FD"/>
    <w:rsid w:val="163B6DB8"/>
    <w:rsid w:val="16532219"/>
    <w:rsid w:val="16824883"/>
    <w:rsid w:val="169601E4"/>
    <w:rsid w:val="16A50E51"/>
    <w:rsid w:val="16A53BE3"/>
    <w:rsid w:val="16EE6467"/>
    <w:rsid w:val="16FA12A4"/>
    <w:rsid w:val="17034384"/>
    <w:rsid w:val="17051668"/>
    <w:rsid w:val="171C6EFE"/>
    <w:rsid w:val="171F12B2"/>
    <w:rsid w:val="17274ED7"/>
    <w:rsid w:val="174462A3"/>
    <w:rsid w:val="174742E5"/>
    <w:rsid w:val="174A7C7D"/>
    <w:rsid w:val="17506DEB"/>
    <w:rsid w:val="178667DA"/>
    <w:rsid w:val="1793100E"/>
    <w:rsid w:val="17D4540A"/>
    <w:rsid w:val="17E15BDF"/>
    <w:rsid w:val="17E501E7"/>
    <w:rsid w:val="17FC4D27"/>
    <w:rsid w:val="17FE04E0"/>
    <w:rsid w:val="180E7238"/>
    <w:rsid w:val="18203722"/>
    <w:rsid w:val="18264AB0"/>
    <w:rsid w:val="182C7D21"/>
    <w:rsid w:val="183D59FC"/>
    <w:rsid w:val="184E6892"/>
    <w:rsid w:val="185C0562"/>
    <w:rsid w:val="186344C2"/>
    <w:rsid w:val="186E6CFA"/>
    <w:rsid w:val="187971A8"/>
    <w:rsid w:val="187A5F3B"/>
    <w:rsid w:val="187E18D3"/>
    <w:rsid w:val="18863B16"/>
    <w:rsid w:val="188F58A6"/>
    <w:rsid w:val="189E3A73"/>
    <w:rsid w:val="189F6367"/>
    <w:rsid w:val="18C948C8"/>
    <w:rsid w:val="18D241F3"/>
    <w:rsid w:val="18D83E42"/>
    <w:rsid w:val="18E75E8A"/>
    <w:rsid w:val="18FF648A"/>
    <w:rsid w:val="19166265"/>
    <w:rsid w:val="193A101F"/>
    <w:rsid w:val="193F00ED"/>
    <w:rsid w:val="194224D8"/>
    <w:rsid w:val="195876BC"/>
    <w:rsid w:val="196C154C"/>
    <w:rsid w:val="196F3067"/>
    <w:rsid w:val="19744A3F"/>
    <w:rsid w:val="197F106E"/>
    <w:rsid w:val="198855FA"/>
    <w:rsid w:val="199F36F1"/>
    <w:rsid w:val="19A179E0"/>
    <w:rsid w:val="19AC2137"/>
    <w:rsid w:val="19C90A1D"/>
    <w:rsid w:val="19D56C26"/>
    <w:rsid w:val="19D90A1D"/>
    <w:rsid w:val="19DB0D85"/>
    <w:rsid w:val="19DB1225"/>
    <w:rsid w:val="1A004613"/>
    <w:rsid w:val="1A0158E7"/>
    <w:rsid w:val="1A0B7364"/>
    <w:rsid w:val="1A1218A6"/>
    <w:rsid w:val="1A2D4AC0"/>
    <w:rsid w:val="1A42110A"/>
    <w:rsid w:val="1A54236F"/>
    <w:rsid w:val="1A620A51"/>
    <w:rsid w:val="1A6938A5"/>
    <w:rsid w:val="1A7766F8"/>
    <w:rsid w:val="1A7A4C02"/>
    <w:rsid w:val="1A9D12AE"/>
    <w:rsid w:val="1ABD2B1E"/>
    <w:rsid w:val="1ABE0A51"/>
    <w:rsid w:val="1AC82565"/>
    <w:rsid w:val="1AE2156C"/>
    <w:rsid w:val="1AE608F6"/>
    <w:rsid w:val="1B172AB6"/>
    <w:rsid w:val="1B181538"/>
    <w:rsid w:val="1B2E4DA8"/>
    <w:rsid w:val="1B564DF0"/>
    <w:rsid w:val="1B5859D5"/>
    <w:rsid w:val="1B5E69EE"/>
    <w:rsid w:val="1B634187"/>
    <w:rsid w:val="1B6D629C"/>
    <w:rsid w:val="1B764FA0"/>
    <w:rsid w:val="1B8E14F8"/>
    <w:rsid w:val="1B8E6BE9"/>
    <w:rsid w:val="1BB76266"/>
    <w:rsid w:val="1BC331CB"/>
    <w:rsid w:val="1BCB6A12"/>
    <w:rsid w:val="1BD021F6"/>
    <w:rsid w:val="1BD512AE"/>
    <w:rsid w:val="1BD7428B"/>
    <w:rsid w:val="1BD822B2"/>
    <w:rsid w:val="1BD9642D"/>
    <w:rsid w:val="1C030F71"/>
    <w:rsid w:val="1C035835"/>
    <w:rsid w:val="1C15000B"/>
    <w:rsid w:val="1C3C5D75"/>
    <w:rsid w:val="1C443D26"/>
    <w:rsid w:val="1C737CF5"/>
    <w:rsid w:val="1C7848E9"/>
    <w:rsid w:val="1C8212F2"/>
    <w:rsid w:val="1C8816D4"/>
    <w:rsid w:val="1C8A1135"/>
    <w:rsid w:val="1C99574B"/>
    <w:rsid w:val="1C9C0CC8"/>
    <w:rsid w:val="1C9D6237"/>
    <w:rsid w:val="1CAB70AB"/>
    <w:rsid w:val="1CDA448B"/>
    <w:rsid w:val="1CE2098C"/>
    <w:rsid w:val="1D0F697D"/>
    <w:rsid w:val="1D111324"/>
    <w:rsid w:val="1D192399"/>
    <w:rsid w:val="1D1C396B"/>
    <w:rsid w:val="1D461A5A"/>
    <w:rsid w:val="1D4D339D"/>
    <w:rsid w:val="1D5A342E"/>
    <w:rsid w:val="1D5C575F"/>
    <w:rsid w:val="1D952A7A"/>
    <w:rsid w:val="1DAD7DF1"/>
    <w:rsid w:val="1DBC2C86"/>
    <w:rsid w:val="1DD16196"/>
    <w:rsid w:val="1DF474E7"/>
    <w:rsid w:val="1DFB367C"/>
    <w:rsid w:val="1DFF43C7"/>
    <w:rsid w:val="1E016A66"/>
    <w:rsid w:val="1E0C3D3F"/>
    <w:rsid w:val="1E0E4CCF"/>
    <w:rsid w:val="1E3403B2"/>
    <w:rsid w:val="1E3B1242"/>
    <w:rsid w:val="1E3B294F"/>
    <w:rsid w:val="1E412583"/>
    <w:rsid w:val="1E8546F4"/>
    <w:rsid w:val="1E90072F"/>
    <w:rsid w:val="1E95402A"/>
    <w:rsid w:val="1ECB6995"/>
    <w:rsid w:val="1ED35CF1"/>
    <w:rsid w:val="1ED45E18"/>
    <w:rsid w:val="1F00426F"/>
    <w:rsid w:val="1F137FC4"/>
    <w:rsid w:val="1F1D2313"/>
    <w:rsid w:val="1F377E7F"/>
    <w:rsid w:val="1F3D094E"/>
    <w:rsid w:val="1F493670"/>
    <w:rsid w:val="1F494D8F"/>
    <w:rsid w:val="1F512EAF"/>
    <w:rsid w:val="1F7E4C6B"/>
    <w:rsid w:val="1F972BEF"/>
    <w:rsid w:val="1F981C10"/>
    <w:rsid w:val="1F9B1A4C"/>
    <w:rsid w:val="1F9F3CBF"/>
    <w:rsid w:val="1FAF40DB"/>
    <w:rsid w:val="1FB2313A"/>
    <w:rsid w:val="1FDF274D"/>
    <w:rsid w:val="1FE21AE2"/>
    <w:rsid w:val="1FEE41A1"/>
    <w:rsid w:val="1FF75C2F"/>
    <w:rsid w:val="20050C59"/>
    <w:rsid w:val="200C07BE"/>
    <w:rsid w:val="20115606"/>
    <w:rsid w:val="2012463C"/>
    <w:rsid w:val="20256F3C"/>
    <w:rsid w:val="2029234D"/>
    <w:rsid w:val="202A252F"/>
    <w:rsid w:val="203021DE"/>
    <w:rsid w:val="20480F1C"/>
    <w:rsid w:val="205A3E05"/>
    <w:rsid w:val="205C2DDC"/>
    <w:rsid w:val="20834988"/>
    <w:rsid w:val="20896AC3"/>
    <w:rsid w:val="20901140"/>
    <w:rsid w:val="209A0FAB"/>
    <w:rsid w:val="209A26B5"/>
    <w:rsid w:val="20BA0B2A"/>
    <w:rsid w:val="20BF1628"/>
    <w:rsid w:val="20C530A5"/>
    <w:rsid w:val="20D53795"/>
    <w:rsid w:val="20EB1FEF"/>
    <w:rsid w:val="20FD14F2"/>
    <w:rsid w:val="20FD3040"/>
    <w:rsid w:val="2113222B"/>
    <w:rsid w:val="211960DB"/>
    <w:rsid w:val="212651CF"/>
    <w:rsid w:val="212B0B06"/>
    <w:rsid w:val="21342C23"/>
    <w:rsid w:val="21356957"/>
    <w:rsid w:val="213E20F5"/>
    <w:rsid w:val="21811572"/>
    <w:rsid w:val="21911E20"/>
    <w:rsid w:val="21955A96"/>
    <w:rsid w:val="21B01B47"/>
    <w:rsid w:val="21B64844"/>
    <w:rsid w:val="21C726B5"/>
    <w:rsid w:val="21CB2E75"/>
    <w:rsid w:val="21CD14AF"/>
    <w:rsid w:val="21D15495"/>
    <w:rsid w:val="21D92FF7"/>
    <w:rsid w:val="21E75F9D"/>
    <w:rsid w:val="21EB5005"/>
    <w:rsid w:val="21F41456"/>
    <w:rsid w:val="21F77CBE"/>
    <w:rsid w:val="225A459A"/>
    <w:rsid w:val="22662D8C"/>
    <w:rsid w:val="229F602D"/>
    <w:rsid w:val="22B0330E"/>
    <w:rsid w:val="22B568A8"/>
    <w:rsid w:val="22B80624"/>
    <w:rsid w:val="22C63E99"/>
    <w:rsid w:val="22C67A57"/>
    <w:rsid w:val="22CA4ABA"/>
    <w:rsid w:val="22D759C0"/>
    <w:rsid w:val="22D820DF"/>
    <w:rsid w:val="22DE4008"/>
    <w:rsid w:val="22F3346C"/>
    <w:rsid w:val="23012448"/>
    <w:rsid w:val="23051E03"/>
    <w:rsid w:val="230957D1"/>
    <w:rsid w:val="231F5BE8"/>
    <w:rsid w:val="23383569"/>
    <w:rsid w:val="23BE3EF5"/>
    <w:rsid w:val="23C53198"/>
    <w:rsid w:val="23D44DAA"/>
    <w:rsid w:val="23E673A0"/>
    <w:rsid w:val="23F84BD4"/>
    <w:rsid w:val="24247095"/>
    <w:rsid w:val="2430479C"/>
    <w:rsid w:val="24643C7D"/>
    <w:rsid w:val="24696F3B"/>
    <w:rsid w:val="246F5B5D"/>
    <w:rsid w:val="247809CB"/>
    <w:rsid w:val="247812AB"/>
    <w:rsid w:val="248218AC"/>
    <w:rsid w:val="248553EC"/>
    <w:rsid w:val="24B753B7"/>
    <w:rsid w:val="24DF1749"/>
    <w:rsid w:val="24F97B38"/>
    <w:rsid w:val="25135AE0"/>
    <w:rsid w:val="2523731B"/>
    <w:rsid w:val="25297346"/>
    <w:rsid w:val="253F4A5A"/>
    <w:rsid w:val="2576773A"/>
    <w:rsid w:val="2584178F"/>
    <w:rsid w:val="258C7DA2"/>
    <w:rsid w:val="2590581A"/>
    <w:rsid w:val="25AC2EB1"/>
    <w:rsid w:val="25AF70DF"/>
    <w:rsid w:val="25E6215A"/>
    <w:rsid w:val="25EC674C"/>
    <w:rsid w:val="261A3275"/>
    <w:rsid w:val="261D4451"/>
    <w:rsid w:val="262D3263"/>
    <w:rsid w:val="26307B40"/>
    <w:rsid w:val="264D21E5"/>
    <w:rsid w:val="26613E4E"/>
    <w:rsid w:val="26726B44"/>
    <w:rsid w:val="26893F35"/>
    <w:rsid w:val="26905FCC"/>
    <w:rsid w:val="269409B0"/>
    <w:rsid w:val="26B12A71"/>
    <w:rsid w:val="26C10313"/>
    <w:rsid w:val="26E82897"/>
    <w:rsid w:val="27104703"/>
    <w:rsid w:val="27410189"/>
    <w:rsid w:val="27741DB0"/>
    <w:rsid w:val="27777A9F"/>
    <w:rsid w:val="27786429"/>
    <w:rsid w:val="277B67F2"/>
    <w:rsid w:val="278E3841"/>
    <w:rsid w:val="27A05FF7"/>
    <w:rsid w:val="27D1581C"/>
    <w:rsid w:val="27E82F33"/>
    <w:rsid w:val="27E93F87"/>
    <w:rsid w:val="27FD42C7"/>
    <w:rsid w:val="282B7DF3"/>
    <w:rsid w:val="282F4F36"/>
    <w:rsid w:val="284F4D96"/>
    <w:rsid w:val="288E1635"/>
    <w:rsid w:val="289259C7"/>
    <w:rsid w:val="28BB6CEA"/>
    <w:rsid w:val="28C03F27"/>
    <w:rsid w:val="28CE3A96"/>
    <w:rsid w:val="28F365ED"/>
    <w:rsid w:val="294413DF"/>
    <w:rsid w:val="29444D35"/>
    <w:rsid w:val="295415A5"/>
    <w:rsid w:val="297F7C5C"/>
    <w:rsid w:val="299A37A4"/>
    <w:rsid w:val="29A44405"/>
    <w:rsid w:val="29AA4F10"/>
    <w:rsid w:val="29B82120"/>
    <w:rsid w:val="29D359D4"/>
    <w:rsid w:val="29EB6199"/>
    <w:rsid w:val="29F6719C"/>
    <w:rsid w:val="2A092483"/>
    <w:rsid w:val="2A45555D"/>
    <w:rsid w:val="2A59057E"/>
    <w:rsid w:val="2A5B2E54"/>
    <w:rsid w:val="2A686DFD"/>
    <w:rsid w:val="2A9D0CB6"/>
    <w:rsid w:val="2AA72CBA"/>
    <w:rsid w:val="2AC94C58"/>
    <w:rsid w:val="2AD574AB"/>
    <w:rsid w:val="2AD96720"/>
    <w:rsid w:val="2AE25109"/>
    <w:rsid w:val="2B1A03A2"/>
    <w:rsid w:val="2B263C62"/>
    <w:rsid w:val="2B3A409D"/>
    <w:rsid w:val="2B476D64"/>
    <w:rsid w:val="2B494536"/>
    <w:rsid w:val="2B52161D"/>
    <w:rsid w:val="2B6A1083"/>
    <w:rsid w:val="2B7A6452"/>
    <w:rsid w:val="2B907E14"/>
    <w:rsid w:val="2B9D0AFD"/>
    <w:rsid w:val="2BA9044A"/>
    <w:rsid w:val="2BAA6653"/>
    <w:rsid w:val="2BAE754D"/>
    <w:rsid w:val="2BC009B7"/>
    <w:rsid w:val="2BD45713"/>
    <w:rsid w:val="2BEA3816"/>
    <w:rsid w:val="2BF15F9F"/>
    <w:rsid w:val="2BF5694C"/>
    <w:rsid w:val="2BFF6E10"/>
    <w:rsid w:val="2C283956"/>
    <w:rsid w:val="2C2D60BC"/>
    <w:rsid w:val="2C423D04"/>
    <w:rsid w:val="2C536C25"/>
    <w:rsid w:val="2C59125E"/>
    <w:rsid w:val="2C695196"/>
    <w:rsid w:val="2C78352F"/>
    <w:rsid w:val="2C88059E"/>
    <w:rsid w:val="2D0E02E7"/>
    <w:rsid w:val="2D124028"/>
    <w:rsid w:val="2D29681F"/>
    <w:rsid w:val="2D57475C"/>
    <w:rsid w:val="2D5A01AA"/>
    <w:rsid w:val="2D6549F6"/>
    <w:rsid w:val="2D894863"/>
    <w:rsid w:val="2D8F516D"/>
    <w:rsid w:val="2DA070EC"/>
    <w:rsid w:val="2DB0213C"/>
    <w:rsid w:val="2DBF5C1B"/>
    <w:rsid w:val="2DCB7CDB"/>
    <w:rsid w:val="2E0334C9"/>
    <w:rsid w:val="2E091546"/>
    <w:rsid w:val="2E326E7A"/>
    <w:rsid w:val="2E39262F"/>
    <w:rsid w:val="2E55585E"/>
    <w:rsid w:val="2E5C6638"/>
    <w:rsid w:val="2E730C04"/>
    <w:rsid w:val="2E9A1996"/>
    <w:rsid w:val="2EC45441"/>
    <w:rsid w:val="2ED207F4"/>
    <w:rsid w:val="2EF2293D"/>
    <w:rsid w:val="2EF83418"/>
    <w:rsid w:val="2F0810C6"/>
    <w:rsid w:val="2F0A05D1"/>
    <w:rsid w:val="2F111B26"/>
    <w:rsid w:val="2F3A6F1C"/>
    <w:rsid w:val="2F3A722F"/>
    <w:rsid w:val="2F3B522B"/>
    <w:rsid w:val="2F8817AB"/>
    <w:rsid w:val="2FA91487"/>
    <w:rsid w:val="2FE53F97"/>
    <w:rsid w:val="2FF6345D"/>
    <w:rsid w:val="2FFE6794"/>
    <w:rsid w:val="301D548F"/>
    <w:rsid w:val="303409F7"/>
    <w:rsid w:val="304919BE"/>
    <w:rsid w:val="306B7CC0"/>
    <w:rsid w:val="30910C33"/>
    <w:rsid w:val="30B023A9"/>
    <w:rsid w:val="30DA3777"/>
    <w:rsid w:val="30DC1C4C"/>
    <w:rsid w:val="30DC541A"/>
    <w:rsid w:val="30EC1C89"/>
    <w:rsid w:val="30F10E20"/>
    <w:rsid w:val="30F12CE7"/>
    <w:rsid w:val="310A469C"/>
    <w:rsid w:val="31256B32"/>
    <w:rsid w:val="31344619"/>
    <w:rsid w:val="31447B97"/>
    <w:rsid w:val="31586811"/>
    <w:rsid w:val="31653B4F"/>
    <w:rsid w:val="316F0133"/>
    <w:rsid w:val="31B731B9"/>
    <w:rsid w:val="31ED181E"/>
    <w:rsid w:val="31FF0608"/>
    <w:rsid w:val="321153C9"/>
    <w:rsid w:val="322E374F"/>
    <w:rsid w:val="32464DA4"/>
    <w:rsid w:val="325867A9"/>
    <w:rsid w:val="32675482"/>
    <w:rsid w:val="326C27A9"/>
    <w:rsid w:val="326E7367"/>
    <w:rsid w:val="32BB5F58"/>
    <w:rsid w:val="32C61F14"/>
    <w:rsid w:val="32EA3304"/>
    <w:rsid w:val="32EF26BC"/>
    <w:rsid w:val="33031148"/>
    <w:rsid w:val="33087EAA"/>
    <w:rsid w:val="330E6745"/>
    <w:rsid w:val="331124AF"/>
    <w:rsid w:val="33153D74"/>
    <w:rsid w:val="33343E39"/>
    <w:rsid w:val="3336789A"/>
    <w:rsid w:val="33437A3C"/>
    <w:rsid w:val="337D468B"/>
    <w:rsid w:val="33831C05"/>
    <w:rsid w:val="338B0C08"/>
    <w:rsid w:val="339D69A3"/>
    <w:rsid w:val="33B045BE"/>
    <w:rsid w:val="33B3085F"/>
    <w:rsid w:val="33C136C8"/>
    <w:rsid w:val="33FC350E"/>
    <w:rsid w:val="341C7F0F"/>
    <w:rsid w:val="341E09A4"/>
    <w:rsid w:val="342A728E"/>
    <w:rsid w:val="34425903"/>
    <w:rsid w:val="344728A5"/>
    <w:rsid w:val="344A513F"/>
    <w:rsid w:val="344D018E"/>
    <w:rsid w:val="3478222B"/>
    <w:rsid w:val="347A237D"/>
    <w:rsid w:val="347C781D"/>
    <w:rsid w:val="34AB74EE"/>
    <w:rsid w:val="34CA18A0"/>
    <w:rsid w:val="34ED38E3"/>
    <w:rsid w:val="34F80EBB"/>
    <w:rsid w:val="350240FC"/>
    <w:rsid w:val="350979EB"/>
    <w:rsid w:val="35376D65"/>
    <w:rsid w:val="35396C70"/>
    <w:rsid w:val="35652054"/>
    <w:rsid w:val="357867DE"/>
    <w:rsid w:val="35853828"/>
    <w:rsid w:val="358C6859"/>
    <w:rsid w:val="35A520BD"/>
    <w:rsid w:val="35AF3723"/>
    <w:rsid w:val="35BC6933"/>
    <w:rsid w:val="35D16B8D"/>
    <w:rsid w:val="35DA27CF"/>
    <w:rsid w:val="35E37FBE"/>
    <w:rsid w:val="35F657AD"/>
    <w:rsid w:val="35FC4B49"/>
    <w:rsid w:val="360F7FEF"/>
    <w:rsid w:val="36302E98"/>
    <w:rsid w:val="363402C2"/>
    <w:rsid w:val="363966D0"/>
    <w:rsid w:val="363D660D"/>
    <w:rsid w:val="36493B7E"/>
    <w:rsid w:val="364A59D8"/>
    <w:rsid w:val="36566B5F"/>
    <w:rsid w:val="36656798"/>
    <w:rsid w:val="366B2CD2"/>
    <w:rsid w:val="367A55BD"/>
    <w:rsid w:val="36800D58"/>
    <w:rsid w:val="368361D8"/>
    <w:rsid w:val="368A3F90"/>
    <w:rsid w:val="369773C0"/>
    <w:rsid w:val="369C090D"/>
    <w:rsid w:val="36A26C7F"/>
    <w:rsid w:val="36AA24AD"/>
    <w:rsid w:val="36AB54BF"/>
    <w:rsid w:val="36AD6E16"/>
    <w:rsid w:val="36B33537"/>
    <w:rsid w:val="36BB1B74"/>
    <w:rsid w:val="36BF2539"/>
    <w:rsid w:val="36C34107"/>
    <w:rsid w:val="36C46711"/>
    <w:rsid w:val="36C95F9D"/>
    <w:rsid w:val="36D20EA4"/>
    <w:rsid w:val="36E51315"/>
    <w:rsid w:val="36FC4612"/>
    <w:rsid w:val="36FE5F06"/>
    <w:rsid w:val="37196EAC"/>
    <w:rsid w:val="371B2329"/>
    <w:rsid w:val="372F1995"/>
    <w:rsid w:val="37783859"/>
    <w:rsid w:val="378A3F3A"/>
    <w:rsid w:val="379463CD"/>
    <w:rsid w:val="379F7394"/>
    <w:rsid w:val="37A43DB9"/>
    <w:rsid w:val="37AD5461"/>
    <w:rsid w:val="37B079D3"/>
    <w:rsid w:val="37C77E1A"/>
    <w:rsid w:val="37D62106"/>
    <w:rsid w:val="37E56F33"/>
    <w:rsid w:val="37EB1E16"/>
    <w:rsid w:val="37F42C04"/>
    <w:rsid w:val="37FE7D97"/>
    <w:rsid w:val="38066DD7"/>
    <w:rsid w:val="380B629F"/>
    <w:rsid w:val="380F227E"/>
    <w:rsid w:val="382000E0"/>
    <w:rsid w:val="382200DB"/>
    <w:rsid w:val="382B0786"/>
    <w:rsid w:val="385B52F5"/>
    <w:rsid w:val="389D3A85"/>
    <w:rsid w:val="389E4219"/>
    <w:rsid w:val="38A16CD8"/>
    <w:rsid w:val="38A46202"/>
    <w:rsid w:val="38A60790"/>
    <w:rsid w:val="38AB6949"/>
    <w:rsid w:val="38AE1A09"/>
    <w:rsid w:val="38BC1CB8"/>
    <w:rsid w:val="38C709BA"/>
    <w:rsid w:val="38D07E11"/>
    <w:rsid w:val="38D9370E"/>
    <w:rsid w:val="38EE3ACF"/>
    <w:rsid w:val="39024AEB"/>
    <w:rsid w:val="392207EA"/>
    <w:rsid w:val="392411AC"/>
    <w:rsid w:val="39250DE5"/>
    <w:rsid w:val="39301FF0"/>
    <w:rsid w:val="3933604E"/>
    <w:rsid w:val="397E59D6"/>
    <w:rsid w:val="39802F2A"/>
    <w:rsid w:val="39A71B9D"/>
    <w:rsid w:val="39B07640"/>
    <w:rsid w:val="39C3093D"/>
    <w:rsid w:val="39D7777A"/>
    <w:rsid w:val="39E208AD"/>
    <w:rsid w:val="39E9239B"/>
    <w:rsid w:val="3A097654"/>
    <w:rsid w:val="3A28276F"/>
    <w:rsid w:val="3A2F7BD1"/>
    <w:rsid w:val="3A435626"/>
    <w:rsid w:val="3A4E3741"/>
    <w:rsid w:val="3A62633C"/>
    <w:rsid w:val="3A630F69"/>
    <w:rsid w:val="3A7079EB"/>
    <w:rsid w:val="3A741EF7"/>
    <w:rsid w:val="3A7D55AF"/>
    <w:rsid w:val="3A8B7D90"/>
    <w:rsid w:val="3A984CBC"/>
    <w:rsid w:val="3AAA7194"/>
    <w:rsid w:val="3AC127E9"/>
    <w:rsid w:val="3ACA1A80"/>
    <w:rsid w:val="3AD0017A"/>
    <w:rsid w:val="3AE304A6"/>
    <w:rsid w:val="3AF13EF1"/>
    <w:rsid w:val="3B0F24E8"/>
    <w:rsid w:val="3B1E5D92"/>
    <w:rsid w:val="3B3358F7"/>
    <w:rsid w:val="3B702BBB"/>
    <w:rsid w:val="3B7E24F4"/>
    <w:rsid w:val="3B9D42C4"/>
    <w:rsid w:val="3BA00F60"/>
    <w:rsid w:val="3BCD5566"/>
    <w:rsid w:val="3BEF0096"/>
    <w:rsid w:val="3C0442A5"/>
    <w:rsid w:val="3C1718FC"/>
    <w:rsid w:val="3C1C712D"/>
    <w:rsid w:val="3C4E1679"/>
    <w:rsid w:val="3C5739E9"/>
    <w:rsid w:val="3C637F00"/>
    <w:rsid w:val="3C7D4328"/>
    <w:rsid w:val="3CA65758"/>
    <w:rsid w:val="3CAA18DA"/>
    <w:rsid w:val="3CB17FA7"/>
    <w:rsid w:val="3CBF1406"/>
    <w:rsid w:val="3CC8155B"/>
    <w:rsid w:val="3CCE44DB"/>
    <w:rsid w:val="3CEC2B8C"/>
    <w:rsid w:val="3CF339F6"/>
    <w:rsid w:val="3CF90253"/>
    <w:rsid w:val="3D10058A"/>
    <w:rsid w:val="3D196C98"/>
    <w:rsid w:val="3D26405A"/>
    <w:rsid w:val="3D2F2BE4"/>
    <w:rsid w:val="3D432D71"/>
    <w:rsid w:val="3D4D56F1"/>
    <w:rsid w:val="3D6A5101"/>
    <w:rsid w:val="3D6F1C9F"/>
    <w:rsid w:val="3D880157"/>
    <w:rsid w:val="3D8A461B"/>
    <w:rsid w:val="3D8A4868"/>
    <w:rsid w:val="3D9068A2"/>
    <w:rsid w:val="3D987CED"/>
    <w:rsid w:val="3D9E2E0E"/>
    <w:rsid w:val="3DA670C3"/>
    <w:rsid w:val="3DB64C01"/>
    <w:rsid w:val="3DD20894"/>
    <w:rsid w:val="3E10575F"/>
    <w:rsid w:val="3E154164"/>
    <w:rsid w:val="3E287A22"/>
    <w:rsid w:val="3E477C1F"/>
    <w:rsid w:val="3E4A56CA"/>
    <w:rsid w:val="3E4E17DE"/>
    <w:rsid w:val="3E920143"/>
    <w:rsid w:val="3EA716C4"/>
    <w:rsid w:val="3EB80ED6"/>
    <w:rsid w:val="3EBE3E21"/>
    <w:rsid w:val="3EE55176"/>
    <w:rsid w:val="3EEB7811"/>
    <w:rsid w:val="3F1A0CA9"/>
    <w:rsid w:val="3F3067B1"/>
    <w:rsid w:val="3F3F6ABE"/>
    <w:rsid w:val="3F437460"/>
    <w:rsid w:val="3F5B0A6B"/>
    <w:rsid w:val="3F5D1C37"/>
    <w:rsid w:val="3F67033C"/>
    <w:rsid w:val="3F6B5AF6"/>
    <w:rsid w:val="3F6F3478"/>
    <w:rsid w:val="3FA93D65"/>
    <w:rsid w:val="3FBD2066"/>
    <w:rsid w:val="3FC211C3"/>
    <w:rsid w:val="3FD60B9F"/>
    <w:rsid w:val="3FDE1CF8"/>
    <w:rsid w:val="3FED3933"/>
    <w:rsid w:val="3FED7638"/>
    <w:rsid w:val="3FFF30B0"/>
    <w:rsid w:val="4028074C"/>
    <w:rsid w:val="403463B9"/>
    <w:rsid w:val="403D397B"/>
    <w:rsid w:val="40494DB3"/>
    <w:rsid w:val="404E54C2"/>
    <w:rsid w:val="405A767A"/>
    <w:rsid w:val="406126EC"/>
    <w:rsid w:val="406D03E6"/>
    <w:rsid w:val="40767343"/>
    <w:rsid w:val="40AC2486"/>
    <w:rsid w:val="40B81E9E"/>
    <w:rsid w:val="40D65907"/>
    <w:rsid w:val="40E4164E"/>
    <w:rsid w:val="40EF5D01"/>
    <w:rsid w:val="40FE216C"/>
    <w:rsid w:val="41111D73"/>
    <w:rsid w:val="414B2CA5"/>
    <w:rsid w:val="41575E7C"/>
    <w:rsid w:val="41586BEA"/>
    <w:rsid w:val="4159613A"/>
    <w:rsid w:val="415B3ED4"/>
    <w:rsid w:val="415E0BEB"/>
    <w:rsid w:val="41657281"/>
    <w:rsid w:val="416E12DA"/>
    <w:rsid w:val="41720A09"/>
    <w:rsid w:val="418C7A32"/>
    <w:rsid w:val="419119E5"/>
    <w:rsid w:val="41A1023D"/>
    <w:rsid w:val="41AC2F3F"/>
    <w:rsid w:val="41AE6CD3"/>
    <w:rsid w:val="41AE7E3B"/>
    <w:rsid w:val="41B36FC1"/>
    <w:rsid w:val="41BE7355"/>
    <w:rsid w:val="41C23284"/>
    <w:rsid w:val="41DF3DDC"/>
    <w:rsid w:val="41FF5692"/>
    <w:rsid w:val="420315B6"/>
    <w:rsid w:val="420731A8"/>
    <w:rsid w:val="421B13E5"/>
    <w:rsid w:val="42215468"/>
    <w:rsid w:val="423D77BA"/>
    <w:rsid w:val="42581877"/>
    <w:rsid w:val="42635287"/>
    <w:rsid w:val="4264263A"/>
    <w:rsid w:val="426B30DA"/>
    <w:rsid w:val="429155DF"/>
    <w:rsid w:val="42960518"/>
    <w:rsid w:val="42B136B6"/>
    <w:rsid w:val="42B37FEC"/>
    <w:rsid w:val="42CC26DA"/>
    <w:rsid w:val="42D5127D"/>
    <w:rsid w:val="42D973E7"/>
    <w:rsid w:val="42F93751"/>
    <w:rsid w:val="43160025"/>
    <w:rsid w:val="43207EE0"/>
    <w:rsid w:val="433E0EF2"/>
    <w:rsid w:val="435524E9"/>
    <w:rsid w:val="438810FA"/>
    <w:rsid w:val="439D240B"/>
    <w:rsid w:val="43A109A1"/>
    <w:rsid w:val="43A46874"/>
    <w:rsid w:val="43AE6EAF"/>
    <w:rsid w:val="43B93956"/>
    <w:rsid w:val="43CA46F2"/>
    <w:rsid w:val="43CA7DC8"/>
    <w:rsid w:val="43CB3A09"/>
    <w:rsid w:val="43D33D6B"/>
    <w:rsid w:val="43DF44A5"/>
    <w:rsid w:val="43F87420"/>
    <w:rsid w:val="440456B6"/>
    <w:rsid w:val="44074930"/>
    <w:rsid w:val="440B78C3"/>
    <w:rsid w:val="440C372E"/>
    <w:rsid w:val="44187983"/>
    <w:rsid w:val="441B7094"/>
    <w:rsid w:val="44236416"/>
    <w:rsid w:val="445967FD"/>
    <w:rsid w:val="44935136"/>
    <w:rsid w:val="44954B0F"/>
    <w:rsid w:val="44DC4ECB"/>
    <w:rsid w:val="44F748F4"/>
    <w:rsid w:val="44FA0C0C"/>
    <w:rsid w:val="451D122C"/>
    <w:rsid w:val="45315D21"/>
    <w:rsid w:val="453771A2"/>
    <w:rsid w:val="45683249"/>
    <w:rsid w:val="457E02FA"/>
    <w:rsid w:val="457F5B20"/>
    <w:rsid w:val="45853458"/>
    <w:rsid w:val="459E1B09"/>
    <w:rsid w:val="45BE1D86"/>
    <w:rsid w:val="45F35069"/>
    <w:rsid w:val="45FE0E02"/>
    <w:rsid w:val="46147E10"/>
    <w:rsid w:val="46265C2B"/>
    <w:rsid w:val="462A74A2"/>
    <w:rsid w:val="46413266"/>
    <w:rsid w:val="464D41CA"/>
    <w:rsid w:val="464D42A0"/>
    <w:rsid w:val="466F0C10"/>
    <w:rsid w:val="46730D0C"/>
    <w:rsid w:val="4675530E"/>
    <w:rsid w:val="468103BD"/>
    <w:rsid w:val="46953266"/>
    <w:rsid w:val="469E1C10"/>
    <w:rsid w:val="46B639BC"/>
    <w:rsid w:val="46DB238D"/>
    <w:rsid w:val="471254CE"/>
    <w:rsid w:val="472B341B"/>
    <w:rsid w:val="472C1CA4"/>
    <w:rsid w:val="474D3587"/>
    <w:rsid w:val="47504038"/>
    <w:rsid w:val="476E0F51"/>
    <w:rsid w:val="477D6CC6"/>
    <w:rsid w:val="478C57D5"/>
    <w:rsid w:val="47A747ED"/>
    <w:rsid w:val="47B50D1F"/>
    <w:rsid w:val="47C1656B"/>
    <w:rsid w:val="47CE09DF"/>
    <w:rsid w:val="47D45DB6"/>
    <w:rsid w:val="47E070BB"/>
    <w:rsid w:val="47E56D38"/>
    <w:rsid w:val="481D4881"/>
    <w:rsid w:val="482B2E87"/>
    <w:rsid w:val="48333F8D"/>
    <w:rsid w:val="48524D37"/>
    <w:rsid w:val="48546F6E"/>
    <w:rsid w:val="485B475E"/>
    <w:rsid w:val="48641FFC"/>
    <w:rsid w:val="48812218"/>
    <w:rsid w:val="488135B2"/>
    <w:rsid w:val="4881698A"/>
    <w:rsid w:val="488B3F78"/>
    <w:rsid w:val="488C4CF2"/>
    <w:rsid w:val="48AF04EE"/>
    <w:rsid w:val="48B25C03"/>
    <w:rsid w:val="48B35AD5"/>
    <w:rsid w:val="48B42858"/>
    <w:rsid w:val="48B65388"/>
    <w:rsid w:val="48E76299"/>
    <w:rsid w:val="490832B9"/>
    <w:rsid w:val="491F044B"/>
    <w:rsid w:val="49265456"/>
    <w:rsid w:val="492808F6"/>
    <w:rsid w:val="492B7C6D"/>
    <w:rsid w:val="49323A26"/>
    <w:rsid w:val="49455F20"/>
    <w:rsid w:val="4948028C"/>
    <w:rsid w:val="49514800"/>
    <w:rsid w:val="496B5EA9"/>
    <w:rsid w:val="49715271"/>
    <w:rsid w:val="497636D6"/>
    <w:rsid w:val="497F12A5"/>
    <w:rsid w:val="49943C7E"/>
    <w:rsid w:val="49944864"/>
    <w:rsid w:val="499A01D0"/>
    <w:rsid w:val="49A04366"/>
    <w:rsid w:val="49BD4B69"/>
    <w:rsid w:val="49CB1F34"/>
    <w:rsid w:val="49CE66D1"/>
    <w:rsid w:val="49CF37C1"/>
    <w:rsid w:val="49DC52E9"/>
    <w:rsid w:val="49E85FA9"/>
    <w:rsid w:val="49F746A8"/>
    <w:rsid w:val="49F97FC8"/>
    <w:rsid w:val="49FC4CEE"/>
    <w:rsid w:val="4A005C05"/>
    <w:rsid w:val="4A167229"/>
    <w:rsid w:val="4A1B58C4"/>
    <w:rsid w:val="4A1E6FB8"/>
    <w:rsid w:val="4A357F86"/>
    <w:rsid w:val="4A4B0D8D"/>
    <w:rsid w:val="4A5548A6"/>
    <w:rsid w:val="4A69609F"/>
    <w:rsid w:val="4A712DAB"/>
    <w:rsid w:val="4A74270D"/>
    <w:rsid w:val="4A851D74"/>
    <w:rsid w:val="4A91652A"/>
    <w:rsid w:val="4AA74E60"/>
    <w:rsid w:val="4ABE2F60"/>
    <w:rsid w:val="4ADA35CF"/>
    <w:rsid w:val="4AF33E4E"/>
    <w:rsid w:val="4AFF06E8"/>
    <w:rsid w:val="4B010D10"/>
    <w:rsid w:val="4B051DA5"/>
    <w:rsid w:val="4B055FC2"/>
    <w:rsid w:val="4B110658"/>
    <w:rsid w:val="4B284BBC"/>
    <w:rsid w:val="4B34298F"/>
    <w:rsid w:val="4B376641"/>
    <w:rsid w:val="4B380FEC"/>
    <w:rsid w:val="4B3B1718"/>
    <w:rsid w:val="4B4679E7"/>
    <w:rsid w:val="4B496B70"/>
    <w:rsid w:val="4B6D03E7"/>
    <w:rsid w:val="4B880ED0"/>
    <w:rsid w:val="4BB41ECF"/>
    <w:rsid w:val="4BB60558"/>
    <w:rsid w:val="4BBA26F8"/>
    <w:rsid w:val="4BEF6EF7"/>
    <w:rsid w:val="4BF2210B"/>
    <w:rsid w:val="4BF32703"/>
    <w:rsid w:val="4BF502F3"/>
    <w:rsid w:val="4C0E6ADE"/>
    <w:rsid w:val="4C151CEB"/>
    <w:rsid w:val="4C334CCD"/>
    <w:rsid w:val="4C366F6E"/>
    <w:rsid w:val="4C550BB0"/>
    <w:rsid w:val="4C676396"/>
    <w:rsid w:val="4C7D061B"/>
    <w:rsid w:val="4C817B22"/>
    <w:rsid w:val="4CAA73F1"/>
    <w:rsid w:val="4CB91BB4"/>
    <w:rsid w:val="4CC26578"/>
    <w:rsid w:val="4CEF54A4"/>
    <w:rsid w:val="4CF26569"/>
    <w:rsid w:val="4D05032C"/>
    <w:rsid w:val="4D160B45"/>
    <w:rsid w:val="4D1F3300"/>
    <w:rsid w:val="4D285462"/>
    <w:rsid w:val="4D4966C1"/>
    <w:rsid w:val="4D633C8F"/>
    <w:rsid w:val="4D760E1F"/>
    <w:rsid w:val="4D8E68AD"/>
    <w:rsid w:val="4DC86D08"/>
    <w:rsid w:val="4DCD7D68"/>
    <w:rsid w:val="4DCF5E92"/>
    <w:rsid w:val="4DE67671"/>
    <w:rsid w:val="4DEC4EE8"/>
    <w:rsid w:val="4E011AF0"/>
    <w:rsid w:val="4E014371"/>
    <w:rsid w:val="4E245E84"/>
    <w:rsid w:val="4E512124"/>
    <w:rsid w:val="4E5D4830"/>
    <w:rsid w:val="4E6970C6"/>
    <w:rsid w:val="4E6B1E18"/>
    <w:rsid w:val="4E747681"/>
    <w:rsid w:val="4E7A63BA"/>
    <w:rsid w:val="4E937712"/>
    <w:rsid w:val="4E9F72EF"/>
    <w:rsid w:val="4EB508F4"/>
    <w:rsid w:val="4ED767EC"/>
    <w:rsid w:val="4EDF087F"/>
    <w:rsid w:val="4EE0010F"/>
    <w:rsid w:val="4EE76BA5"/>
    <w:rsid w:val="4EFC4693"/>
    <w:rsid w:val="4EFF5D20"/>
    <w:rsid w:val="4F1F63E6"/>
    <w:rsid w:val="4F2A7469"/>
    <w:rsid w:val="4F3743CE"/>
    <w:rsid w:val="4F49568F"/>
    <w:rsid w:val="4F5513EF"/>
    <w:rsid w:val="4F627954"/>
    <w:rsid w:val="4F7723A2"/>
    <w:rsid w:val="4F792A79"/>
    <w:rsid w:val="4F7F13C8"/>
    <w:rsid w:val="4F9F080E"/>
    <w:rsid w:val="4F9F7A9B"/>
    <w:rsid w:val="4FA53CFA"/>
    <w:rsid w:val="4FA55A74"/>
    <w:rsid w:val="4FAE3414"/>
    <w:rsid w:val="4FCA1497"/>
    <w:rsid w:val="500A550E"/>
    <w:rsid w:val="500D7BB1"/>
    <w:rsid w:val="5011310B"/>
    <w:rsid w:val="50140375"/>
    <w:rsid w:val="503E0F73"/>
    <w:rsid w:val="504113EC"/>
    <w:rsid w:val="50500761"/>
    <w:rsid w:val="50674A5E"/>
    <w:rsid w:val="50B12248"/>
    <w:rsid w:val="50C74CAC"/>
    <w:rsid w:val="50D804D4"/>
    <w:rsid w:val="50E23362"/>
    <w:rsid w:val="50EB1729"/>
    <w:rsid w:val="50FD0796"/>
    <w:rsid w:val="510E3450"/>
    <w:rsid w:val="51162162"/>
    <w:rsid w:val="51177C31"/>
    <w:rsid w:val="51204A5B"/>
    <w:rsid w:val="512D1D8A"/>
    <w:rsid w:val="514E6986"/>
    <w:rsid w:val="51517C7A"/>
    <w:rsid w:val="51523840"/>
    <w:rsid w:val="516A0C58"/>
    <w:rsid w:val="517F4C7E"/>
    <w:rsid w:val="51916640"/>
    <w:rsid w:val="51A0773A"/>
    <w:rsid w:val="51A5530C"/>
    <w:rsid w:val="51CB3A83"/>
    <w:rsid w:val="51CE166A"/>
    <w:rsid w:val="51D641ED"/>
    <w:rsid w:val="51EB1D86"/>
    <w:rsid w:val="520B12B2"/>
    <w:rsid w:val="52265D68"/>
    <w:rsid w:val="524F7524"/>
    <w:rsid w:val="52532E78"/>
    <w:rsid w:val="525C4AB4"/>
    <w:rsid w:val="526D23EF"/>
    <w:rsid w:val="52950B86"/>
    <w:rsid w:val="529B1D14"/>
    <w:rsid w:val="529B2107"/>
    <w:rsid w:val="529B7066"/>
    <w:rsid w:val="52AA337D"/>
    <w:rsid w:val="52CB7575"/>
    <w:rsid w:val="52CE280B"/>
    <w:rsid w:val="52FE4551"/>
    <w:rsid w:val="531032F4"/>
    <w:rsid w:val="53150F92"/>
    <w:rsid w:val="53311251"/>
    <w:rsid w:val="533523F5"/>
    <w:rsid w:val="534B4E82"/>
    <w:rsid w:val="534B552E"/>
    <w:rsid w:val="535003D3"/>
    <w:rsid w:val="536035B6"/>
    <w:rsid w:val="53891216"/>
    <w:rsid w:val="538B08D1"/>
    <w:rsid w:val="538B7251"/>
    <w:rsid w:val="53904336"/>
    <w:rsid w:val="53C32E66"/>
    <w:rsid w:val="53C904BE"/>
    <w:rsid w:val="53CD6878"/>
    <w:rsid w:val="53FA28E5"/>
    <w:rsid w:val="53FE7D58"/>
    <w:rsid w:val="54253805"/>
    <w:rsid w:val="542A718E"/>
    <w:rsid w:val="543051B7"/>
    <w:rsid w:val="54347AB4"/>
    <w:rsid w:val="543616B3"/>
    <w:rsid w:val="544E7897"/>
    <w:rsid w:val="545433A7"/>
    <w:rsid w:val="54547D9E"/>
    <w:rsid w:val="546B5226"/>
    <w:rsid w:val="548420A1"/>
    <w:rsid w:val="54B80CE5"/>
    <w:rsid w:val="54BE193E"/>
    <w:rsid w:val="54D86F71"/>
    <w:rsid w:val="54FC652B"/>
    <w:rsid w:val="55066C7C"/>
    <w:rsid w:val="55257104"/>
    <w:rsid w:val="55286E89"/>
    <w:rsid w:val="553423B5"/>
    <w:rsid w:val="55483907"/>
    <w:rsid w:val="554A70B1"/>
    <w:rsid w:val="555B078D"/>
    <w:rsid w:val="55640534"/>
    <w:rsid w:val="556B3110"/>
    <w:rsid w:val="556E179F"/>
    <w:rsid w:val="557350BA"/>
    <w:rsid w:val="557E20C5"/>
    <w:rsid w:val="55825ECA"/>
    <w:rsid w:val="5586114D"/>
    <w:rsid w:val="558731DF"/>
    <w:rsid w:val="55890BF5"/>
    <w:rsid w:val="5589204E"/>
    <w:rsid w:val="5595297B"/>
    <w:rsid w:val="55AF2E94"/>
    <w:rsid w:val="55C5311A"/>
    <w:rsid w:val="55D600B0"/>
    <w:rsid w:val="55DA6A84"/>
    <w:rsid w:val="55DD0121"/>
    <w:rsid w:val="55DD3817"/>
    <w:rsid w:val="55F31162"/>
    <w:rsid w:val="560D3401"/>
    <w:rsid w:val="56294EE1"/>
    <w:rsid w:val="562A66CB"/>
    <w:rsid w:val="565856D6"/>
    <w:rsid w:val="5664727A"/>
    <w:rsid w:val="56732FDF"/>
    <w:rsid w:val="56783A35"/>
    <w:rsid w:val="5681593C"/>
    <w:rsid w:val="56902B3D"/>
    <w:rsid w:val="569334B7"/>
    <w:rsid w:val="56A700D4"/>
    <w:rsid w:val="56CE6F0C"/>
    <w:rsid w:val="56D0771F"/>
    <w:rsid w:val="56DB2752"/>
    <w:rsid w:val="56EB0003"/>
    <w:rsid w:val="57013DC2"/>
    <w:rsid w:val="570468CE"/>
    <w:rsid w:val="5707711C"/>
    <w:rsid w:val="573D6446"/>
    <w:rsid w:val="57484317"/>
    <w:rsid w:val="574B1EF8"/>
    <w:rsid w:val="575D18C8"/>
    <w:rsid w:val="57686FA3"/>
    <w:rsid w:val="576911D9"/>
    <w:rsid w:val="576B6E31"/>
    <w:rsid w:val="576D2297"/>
    <w:rsid w:val="577F1072"/>
    <w:rsid w:val="57832CE1"/>
    <w:rsid w:val="578A3DAE"/>
    <w:rsid w:val="57984B79"/>
    <w:rsid w:val="57A9401F"/>
    <w:rsid w:val="57B65848"/>
    <w:rsid w:val="57C47FE8"/>
    <w:rsid w:val="57E058A3"/>
    <w:rsid w:val="580E3042"/>
    <w:rsid w:val="581A4BEE"/>
    <w:rsid w:val="582C1CD4"/>
    <w:rsid w:val="58315D82"/>
    <w:rsid w:val="583643AD"/>
    <w:rsid w:val="584927E1"/>
    <w:rsid w:val="585F6402"/>
    <w:rsid w:val="587F7456"/>
    <w:rsid w:val="58966734"/>
    <w:rsid w:val="589A7804"/>
    <w:rsid w:val="58A00CDD"/>
    <w:rsid w:val="58A5342E"/>
    <w:rsid w:val="58A97388"/>
    <w:rsid w:val="58B01D1D"/>
    <w:rsid w:val="58B8370E"/>
    <w:rsid w:val="58BE2F56"/>
    <w:rsid w:val="58CC653C"/>
    <w:rsid w:val="58EA68F1"/>
    <w:rsid w:val="58F41963"/>
    <w:rsid w:val="58F563E9"/>
    <w:rsid w:val="5904527F"/>
    <w:rsid w:val="5912515F"/>
    <w:rsid w:val="591451D9"/>
    <w:rsid w:val="59202A9C"/>
    <w:rsid w:val="59471AB6"/>
    <w:rsid w:val="59707CA3"/>
    <w:rsid w:val="59735F29"/>
    <w:rsid w:val="597E10C7"/>
    <w:rsid w:val="597F48AA"/>
    <w:rsid w:val="59852E7F"/>
    <w:rsid w:val="599635EE"/>
    <w:rsid w:val="59A84391"/>
    <w:rsid w:val="59A9589F"/>
    <w:rsid w:val="59AB0565"/>
    <w:rsid w:val="59C1783C"/>
    <w:rsid w:val="59C44D67"/>
    <w:rsid w:val="59D46FF5"/>
    <w:rsid w:val="59FE5744"/>
    <w:rsid w:val="5A002180"/>
    <w:rsid w:val="5A04066D"/>
    <w:rsid w:val="5A0F48FC"/>
    <w:rsid w:val="5A106112"/>
    <w:rsid w:val="5A407E58"/>
    <w:rsid w:val="5A6677E5"/>
    <w:rsid w:val="5A6A28B7"/>
    <w:rsid w:val="5A710059"/>
    <w:rsid w:val="5A71762B"/>
    <w:rsid w:val="5A7250F8"/>
    <w:rsid w:val="5A9A05F8"/>
    <w:rsid w:val="5AB25CE7"/>
    <w:rsid w:val="5AB36755"/>
    <w:rsid w:val="5AB94E9E"/>
    <w:rsid w:val="5AC95AC5"/>
    <w:rsid w:val="5AD466DC"/>
    <w:rsid w:val="5AE8121D"/>
    <w:rsid w:val="5AFC5115"/>
    <w:rsid w:val="5B0C577A"/>
    <w:rsid w:val="5B1412A9"/>
    <w:rsid w:val="5B650220"/>
    <w:rsid w:val="5B75443C"/>
    <w:rsid w:val="5B897681"/>
    <w:rsid w:val="5B9C5D97"/>
    <w:rsid w:val="5B9E0B2C"/>
    <w:rsid w:val="5BA27290"/>
    <w:rsid w:val="5BA67F2A"/>
    <w:rsid w:val="5BCF50EB"/>
    <w:rsid w:val="5BD821EC"/>
    <w:rsid w:val="5BED740F"/>
    <w:rsid w:val="5BF01B65"/>
    <w:rsid w:val="5C08759B"/>
    <w:rsid w:val="5C2E19F1"/>
    <w:rsid w:val="5C3F3CA2"/>
    <w:rsid w:val="5C4023D2"/>
    <w:rsid w:val="5C4206D5"/>
    <w:rsid w:val="5C7A394E"/>
    <w:rsid w:val="5C8A4E6A"/>
    <w:rsid w:val="5C8D72D0"/>
    <w:rsid w:val="5CC1063F"/>
    <w:rsid w:val="5D0A74B4"/>
    <w:rsid w:val="5D0D3852"/>
    <w:rsid w:val="5D103E42"/>
    <w:rsid w:val="5D234049"/>
    <w:rsid w:val="5D41376B"/>
    <w:rsid w:val="5D4C5E49"/>
    <w:rsid w:val="5D6733FE"/>
    <w:rsid w:val="5D761CE2"/>
    <w:rsid w:val="5D7C15D0"/>
    <w:rsid w:val="5DA71A39"/>
    <w:rsid w:val="5DA72215"/>
    <w:rsid w:val="5DBB6F8F"/>
    <w:rsid w:val="5DBC1D21"/>
    <w:rsid w:val="5DD32D25"/>
    <w:rsid w:val="5DFF25A9"/>
    <w:rsid w:val="5E065C1F"/>
    <w:rsid w:val="5E126426"/>
    <w:rsid w:val="5E143798"/>
    <w:rsid w:val="5E1479D5"/>
    <w:rsid w:val="5E3C0CC8"/>
    <w:rsid w:val="5E3E387C"/>
    <w:rsid w:val="5E445BB7"/>
    <w:rsid w:val="5E515CC2"/>
    <w:rsid w:val="5E54073C"/>
    <w:rsid w:val="5E695DAD"/>
    <w:rsid w:val="5E6A23E2"/>
    <w:rsid w:val="5E7132F4"/>
    <w:rsid w:val="5E9F29AA"/>
    <w:rsid w:val="5EAC1AE2"/>
    <w:rsid w:val="5EB330FB"/>
    <w:rsid w:val="5EBA048B"/>
    <w:rsid w:val="5EBF4369"/>
    <w:rsid w:val="5EC433E3"/>
    <w:rsid w:val="5ECD0D1D"/>
    <w:rsid w:val="5EE61247"/>
    <w:rsid w:val="5F00352F"/>
    <w:rsid w:val="5F006713"/>
    <w:rsid w:val="5F0B412E"/>
    <w:rsid w:val="5F130BD6"/>
    <w:rsid w:val="5F2042E9"/>
    <w:rsid w:val="5F266E68"/>
    <w:rsid w:val="5F483D6D"/>
    <w:rsid w:val="5F4D1361"/>
    <w:rsid w:val="5F58307D"/>
    <w:rsid w:val="5F6A1A4D"/>
    <w:rsid w:val="5F6C568C"/>
    <w:rsid w:val="5F6D3C01"/>
    <w:rsid w:val="5F7924B1"/>
    <w:rsid w:val="5FA02838"/>
    <w:rsid w:val="5FB37236"/>
    <w:rsid w:val="5FD97E6E"/>
    <w:rsid w:val="60026CA6"/>
    <w:rsid w:val="60192AC3"/>
    <w:rsid w:val="601D35BF"/>
    <w:rsid w:val="60233F03"/>
    <w:rsid w:val="602436F4"/>
    <w:rsid w:val="602C53A9"/>
    <w:rsid w:val="60301C18"/>
    <w:rsid w:val="60313D3D"/>
    <w:rsid w:val="6033515D"/>
    <w:rsid w:val="60397AF1"/>
    <w:rsid w:val="603B745A"/>
    <w:rsid w:val="60491027"/>
    <w:rsid w:val="60576986"/>
    <w:rsid w:val="60583649"/>
    <w:rsid w:val="605A7EDE"/>
    <w:rsid w:val="606550B7"/>
    <w:rsid w:val="60951A70"/>
    <w:rsid w:val="609F2593"/>
    <w:rsid w:val="60B94B3A"/>
    <w:rsid w:val="60CB7069"/>
    <w:rsid w:val="61046076"/>
    <w:rsid w:val="610B4695"/>
    <w:rsid w:val="612D5BC0"/>
    <w:rsid w:val="613133DD"/>
    <w:rsid w:val="61336885"/>
    <w:rsid w:val="613C27DB"/>
    <w:rsid w:val="61400D3B"/>
    <w:rsid w:val="61572C09"/>
    <w:rsid w:val="615E2D34"/>
    <w:rsid w:val="61745DC9"/>
    <w:rsid w:val="61B225A4"/>
    <w:rsid w:val="61B67860"/>
    <w:rsid w:val="61C6127A"/>
    <w:rsid w:val="61CC0E5C"/>
    <w:rsid w:val="61D86528"/>
    <w:rsid w:val="61D94FEA"/>
    <w:rsid w:val="61E80949"/>
    <w:rsid w:val="620462A0"/>
    <w:rsid w:val="62145C50"/>
    <w:rsid w:val="62156804"/>
    <w:rsid w:val="62173761"/>
    <w:rsid w:val="621E503A"/>
    <w:rsid w:val="62416ECB"/>
    <w:rsid w:val="627341E7"/>
    <w:rsid w:val="62865FAE"/>
    <w:rsid w:val="62A336F7"/>
    <w:rsid w:val="62B03A7A"/>
    <w:rsid w:val="62F00893"/>
    <w:rsid w:val="62FD0099"/>
    <w:rsid w:val="63237037"/>
    <w:rsid w:val="634716F2"/>
    <w:rsid w:val="63493D13"/>
    <w:rsid w:val="63530FF1"/>
    <w:rsid w:val="635A59B6"/>
    <w:rsid w:val="637F1396"/>
    <w:rsid w:val="63A6053B"/>
    <w:rsid w:val="63BA42AA"/>
    <w:rsid w:val="63C43407"/>
    <w:rsid w:val="63C902B4"/>
    <w:rsid w:val="63CF22BE"/>
    <w:rsid w:val="63E2108A"/>
    <w:rsid w:val="63EA59A7"/>
    <w:rsid w:val="63F44B60"/>
    <w:rsid w:val="64134101"/>
    <w:rsid w:val="6418259F"/>
    <w:rsid w:val="643C419A"/>
    <w:rsid w:val="643F3FA8"/>
    <w:rsid w:val="64422639"/>
    <w:rsid w:val="64542F0E"/>
    <w:rsid w:val="64611AEF"/>
    <w:rsid w:val="646378B1"/>
    <w:rsid w:val="648E4649"/>
    <w:rsid w:val="64A27BB4"/>
    <w:rsid w:val="64AC4341"/>
    <w:rsid w:val="64B325BF"/>
    <w:rsid w:val="64BA6291"/>
    <w:rsid w:val="64BC5503"/>
    <w:rsid w:val="64C91A77"/>
    <w:rsid w:val="64DB2769"/>
    <w:rsid w:val="64DD210F"/>
    <w:rsid w:val="650A3565"/>
    <w:rsid w:val="651017CC"/>
    <w:rsid w:val="651D2413"/>
    <w:rsid w:val="6523332C"/>
    <w:rsid w:val="652763BD"/>
    <w:rsid w:val="65305750"/>
    <w:rsid w:val="65361818"/>
    <w:rsid w:val="6537206F"/>
    <w:rsid w:val="653B69A3"/>
    <w:rsid w:val="6542219C"/>
    <w:rsid w:val="65443C8E"/>
    <w:rsid w:val="654D3730"/>
    <w:rsid w:val="655005B2"/>
    <w:rsid w:val="65584C3C"/>
    <w:rsid w:val="65600218"/>
    <w:rsid w:val="656B540B"/>
    <w:rsid w:val="656D30DC"/>
    <w:rsid w:val="656D651A"/>
    <w:rsid w:val="657A6079"/>
    <w:rsid w:val="658665E8"/>
    <w:rsid w:val="65A3579D"/>
    <w:rsid w:val="65A90134"/>
    <w:rsid w:val="65CE345A"/>
    <w:rsid w:val="65D1388E"/>
    <w:rsid w:val="65D86EE7"/>
    <w:rsid w:val="65DB04A6"/>
    <w:rsid w:val="65E7559F"/>
    <w:rsid w:val="65F15769"/>
    <w:rsid w:val="66425622"/>
    <w:rsid w:val="666D0025"/>
    <w:rsid w:val="66710035"/>
    <w:rsid w:val="66781AD7"/>
    <w:rsid w:val="667F11AA"/>
    <w:rsid w:val="668D71A8"/>
    <w:rsid w:val="6696363C"/>
    <w:rsid w:val="669A6717"/>
    <w:rsid w:val="66B123F1"/>
    <w:rsid w:val="66CE2BCE"/>
    <w:rsid w:val="66D1613E"/>
    <w:rsid w:val="66E62D06"/>
    <w:rsid w:val="66F64843"/>
    <w:rsid w:val="67033644"/>
    <w:rsid w:val="672D05BE"/>
    <w:rsid w:val="674127E8"/>
    <w:rsid w:val="675F3A90"/>
    <w:rsid w:val="676223F5"/>
    <w:rsid w:val="677D001C"/>
    <w:rsid w:val="677F2A67"/>
    <w:rsid w:val="679149B3"/>
    <w:rsid w:val="67B163D5"/>
    <w:rsid w:val="67C014DC"/>
    <w:rsid w:val="67C33848"/>
    <w:rsid w:val="67DB5221"/>
    <w:rsid w:val="67F26D7B"/>
    <w:rsid w:val="680A31A4"/>
    <w:rsid w:val="681D0812"/>
    <w:rsid w:val="682017D3"/>
    <w:rsid w:val="682456ED"/>
    <w:rsid w:val="685444F5"/>
    <w:rsid w:val="68742443"/>
    <w:rsid w:val="687C567B"/>
    <w:rsid w:val="687F70B6"/>
    <w:rsid w:val="688051E3"/>
    <w:rsid w:val="68811AB0"/>
    <w:rsid w:val="68882C10"/>
    <w:rsid w:val="689B4E30"/>
    <w:rsid w:val="68A421EA"/>
    <w:rsid w:val="68AA7ED9"/>
    <w:rsid w:val="68AB650D"/>
    <w:rsid w:val="68F4553D"/>
    <w:rsid w:val="68F82FAC"/>
    <w:rsid w:val="68FD0401"/>
    <w:rsid w:val="690B0B85"/>
    <w:rsid w:val="692E72E5"/>
    <w:rsid w:val="6938274A"/>
    <w:rsid w:val="693B7C25"/>
    <w:rsid w:val="694621B6"/>
    <w:rsid w:val="694D66B9"/>
    <w:rsid w:val="69655123"/>
    <w:rsid w:val="6972153B"/>
    <w:rsid w:val="698219D7"/>
    <w:rsid w:val="699C500D"/>
    <w:rsid w:val="69A4011D"/>
    <w:rsid w:val="69C53683"/>
    <w:rsid w:val="69CF6573"/>
    <w:rsid w:val="69D56AE5"/>
    <w:rsid w:val="69E96770"/>
    <w:rsid w:val="69EA1FDD"/>
    <w:rsid w:val="69EA5A2D"/>
    <w:rsid w:val="69EF4A78"/>
    <w:rsid w:val="6A1A4906"/>
    <w:rsid w:val="6A2701DC"/>
    <w:rsid w:val="6A463A95"/>
    <w:rsid w:val="6A48296B"/>
    <w:rsid w:val="6A6411CF"/>
    <w:rsid w:val="6A8F503C"/>
    <w:rsid w:val="6A94631D"/>
    <w:rsid w:val="6AA874C0"/>
    <w:rsid w:val="6AB3635C"/>
    <w:rsid w:val="6AB62D55"/>
    <w:rsid w:val="6ABA42EF"/>
    <w:rsid w:val="6AD22081"/>
    <w:rsid w:val="6AD615F2"/>
    <w:rsid w:val="6ADD295F"/>
    <w:rsid w:val="6AF91966"/>
    <w:rsid w:val="6B1552DD"/>
    <w:rsid w:val="6B33367C"/>
    <w:rsid w:val="6B37072D"/>
    <w:rsid w:val="6B3A3722"/>
    <w:rsid w:val="6B3C4F8B"/>
    <w:rsid w:val="6B3E4F21"/>
    <w:rsid w:val="6B4A2F6A"/>
    <w:rsid w:val="6B522DFD"/>
    <w:rsid w:val="6B5261A3"/>
    <w:rsid w:val="6B633641"/>
    <w:rsid w:val="6B680F26"/>
    <w:rsid w:val="6B7A385F"/>
    <w:rsid w:val="6B9E476B"/>
    <w:rsid w:val="6B9E47BD"/>
    <w:rsid w:val="6BBA4129"/>
    <w:rsid w:val="6BCF37CE"/>
    <w:rsid w:val="6BD439BC"/>
    <w:rsid w:val="6BDD3BB4"/>
    <w:rsid w:val="6BF41857"/>
    <w:rsid w:val="6BFB6019"/>
    <w:rsid w:val="6C163F8F"/>
    <w:rsid w:val="6C1E1F67"/>
    <w:rsid w:val="6C2C7F5D"/>
    <w:rsid w:val="6C2F3AB7"/>
    <w:rsid w:val="6C3D065C"/>
    <w:rsid w:val="6C407AE5"/>
    <w:rsid w:val="6C487AA0"/>
    <w:rsid w:val="6C5B7834"/>
    <w:rsid w:val="6C5C2CA6"/>
    <w:rsid w:val="6C657D15"/>
    <w:rsid w:val="6C70749A"/>
    <w:rsid w:val="6C755589"/>
    <w:rsid w:val="6C797926"/>
    <w:rsid w:val="6C7F50E0"/>
    <w:rsid w:val="6C7F616C"/>
    <w:rsid w:val="6C837B6C"/>
    <w:rsid w:val="6C98185D"/>
    <w:rsid w:val="6CA830C9"/>
    <w:rsid w:val="6CAC39B6"/>
    <w:rsid w:val="6CB276D1"/>
    <w:rsid w:val="6CBA1FF7"/>
    <w:rsid w:val="6CBF3003"/>
    <w:rsid w:val="6CC347E2"/>
    <w:rsid w:val="6CD4173E"/>
    <w:rsid w:val="6CE049FB"/>
    <w:rsid w:val="6CEA368B"/>
    <w:rsid w:val="6CEC4734"/>
    <w:rsid w:val="6CEF636B"/>
    <w:rsid w:val="6D1F58BA"/>
    <w:rsid w:val="6D261607"/>
    <w:rsid w:val="6D2C7100"/>
    <w:rsid w:val="6D31389E"/>
    <w:rsid w:val="6D365BCE"/>
    <w:rsid w:val="6D406EAF"/>
    <w:rsid w:val="6D4A383C"/>
    <w:rsid w:val="6D5074E1"/>
    <w:rsid w:val="6D5F20A3"/>
    <w:rsid w:val="6D623E1C"/>
    <w:rsid w:val="6D634B14"/>
    <w:rsid w:val="6D6F56AA"/>
    <w:rsid w:val="6DD44C13"/>
    <w:rsid w:val="6DED4873"/>
    <w:rsid w:val="6DFA261B"/>
    <w:rsid w:val="6E17301C"/>
    <w:rsid w:val="6E1B0FBE"/>
    <w:rsid w:val="6E3A36ED"/>
    <w:rsid w:val="6E405E16"/>
    <w:rsid w:val="6E4D2738"/>
    <w:rsid w:val="6E654639"/>
    <w:rsid w:val="6E7728CB"/>
    <w:rsid w:val="6E793A1A"/>
    <w:rsid w:val="6E8737BC"/>
    <w:rsid w:val="6E8E4665"/>
    <w:rsid w:val="6E8E633E"/>
    <w:rsid w:val="6E904E14"/>
    <w:rsid w:val="6E963349"/>
    <w:rsid w:val="6E9B2583"/>
    <w:rsid w:val="6E9B4003"/>
    <w:rsid w:val="6E9F1EFB"/>
    <w:rsid w:val="6EA74B62"/>
    <w:rsid w:val="6EAE555E"/>
    <w:rsid w:val="6EB271FB"/>
    <w:rsid w:val="6EB72924"/>
    <w:rsid w:val="6ED579A1"/>
    <w:rsid w:val="6EEB4C0B"/>
    <w:rsid w:val="6EF109F5"/>
    <w:rsid w:val="6EF804DA"/>
    <w:rsid w:val="6F014984"/>
    <w:rsid w:val="6F080AEF"/>
    <w:rsid w:val="6F0B34F3"/>
    <w:rsid w:val="6F0D5409"/>
    <w:rsid w:val="6F2F4081"/>
    <w:rsid w:val="6F32044A"/>
    <w:rsid w:val="6F413E77"/>
    <w:rsid w:val="6F4515E9"/>
    <w:rsid w:val="6F4A49D8"/>
    <w:rsid w:val="6F4D3796"/>
    <w:rsid w:val="6F513D19"/>
    <w:rsid w:val="6F5620BB"/>
    <w:rsid w:val="6F60642F"/>
    <w:rsid w:val="6F650BB1"/>
    <w:rsid w:val="6F694BB9"/>
    <w:rsid w:val="6F6C2F65"/>
    <w:rsid w:val="6F712925"/>
    <w:rsid w:val="6F875B0F"/>
    <w:rsid w:val="6F8E04B9"/>
    <w:rsid w:val="6FAA3CA0"/>
    <w:rsid w:val="6FAC5742"/>
    <w:rsid w:val="6FB449BA"/>
    <w:rsid w:val="6FB950A5"/>
    <w:rsid w:val="6FC95704"/>
    <w:rsid w:val="6FCB60B1"/>
    <w:rsid w:val="6FE04834"/>
    <w:rsid w:val="6FE051B1"/>
    <w:rsid w:val="6FF72077"/>
    <w:rsid w:val="6FF725DC"/>
    <w:rsid w:val="6FF9489D"/>
    <w:rsid w:val="701226CD"/>
    <w:rsid w:val="70170B3E"/>
    <w:rsid w:val="702631C3"/>
    <w:rsid w:val="702B1BBA"/>
    <w:rsid w:val="70377125"/>
    <w:rsid w:val="705C1947"/>
    <w:rsid w:val="70622222"/>
    <w:rsid w:val="706C6609"/>
    <w:rsid w:val="706F19B7"/>
    <w:rsid w:val="709652DF"/>
    <w:rsid w:val="70971BD1"/>
    <w:rsid w:val="70A33597"/>
    <w:rsid w:val="70A8665E"/>
    <w:rsid w:val="70DC510A"/>
    <w:rsid w:val="70E22276"/>
    <w:rsid w:val="70E70F9F"/>
    <w:rsid w:val="70F14002"/>
    <w:rsid w:val="711D0382"/>
    <w:rsid w:val="7120045C"/>
    <w:rsid w:val="71354D4A"/>
    <w:rsid w:val="71364315"/>
    <w:rsid w:val="713A1A60"/>
    <w:rsid w:val="71460D63"/>
    <w:rsid w:val="714B1AB9"/>
    <w:rsid w:val="71692C61"/>
    <w:rsid w:val="717A0767"/>
    <w:rsid w:val="717A2E57"/>
    <w:rsid w:val="7187779C"/>
    <w:rsid w:val="718F6C1E"/>
    <w:rsid w:val="719221C6"/>
    <w:rsid w:val="71992B77"/>
    <w:rsid w:val="71AC4C08"/>
    <w:rsid w:val="71BC088A"/>
    <w:rsid w:val="71C93F5B"/>
    <w:rsid w:val="71CC4125"/>
    <w:rsid w:val="71D34839"/>
    <w:rsid w:val="71DB6DF8"/>
    <w:rsid w:val="72082A4A"/>
    <w:rsid w:val="7258473C"/>
    <w:rsid w:val="725B61A3"/>
    <w:rsid w:val="725F1633"/>
    <w:rsid w:val="725F4DF5"/>
    <w:rsid w:val="726D035F"/>
    <w:rsid w:val="726F732B"/>
    <w:rsid w:val="727E7581"/>
    <w:rsid w:val="729A3C90"/>
    <w:rsid w:val="72A27BE8"/>
    <w:rsid w:val="72A73679"/>
    <w:rsid w:val="72AB7723"/>
    <w:rsid w:val="72B726E2"/>
    <w:rsid w:val="72C04662"/>
    <w:rsid w:val="72C75F7A"/>
    <w:rsid w:val="72C93781"/>
    <w:rsid w:val="72DB7E60"/>
    <w:rsid w:val="72FB31E9"/>
    <w:rsid w:val="731118C0"/>
    <w:rsid w:val="731129E4"/>
    <w:rsid w:val="731E15D4"/>
    <w:rsid w:val="732B109A"/>
    <w:rsid w:val="732B4F9D"/>
    <w:rsid w:val="732B53DB"/>
    <w:rsid w:val="733D4401"/>
    <w:rsid w:val="73564B68"/>
    <w:rsid w:val="7358073B"/>
    <w:rsid w:val="73675559"/>
    <w:rsid w:val="737F1EDC"/>
    <w:rsid w:val="739A65CB"/>
    <w:rsid w:val="739E2904"/>
    <w:rsid w:val="73BD76E5"/>
    <w:rsid w:val="73C96C17"/>
    <w:rsid w:val="73DD39CC"/>
    <w:rsid w:val="73ED6135"/>
    <w:rsid w:val="74076195"/>
    <w:rsid w:val="74205B13"/>
    <w:rsid w:val="74216D1F"/>
    <w:rsid w:val="743C74E9"/>
    <w:rsid w:val="74481066"/>
    <w:rsid w:val="74502EA7"/>
    <w:rsid w:val="74862CBA"/>
    <w:rsid w:val="749757F3"/>
    <w:rsid w:val="74A44993"/>
    <w:rsid w:val="74AF5CC4"/>
    <w:rsid w:val="74C75EA3"/>
    <w:rsid w:val="74E83992"/>
    <w:rsid w:val="74EA6892"/>
    <w:rsid w:val="74EF413B"/>
    <w:rsid w:val="74F25853"/>
    <w:rsid w:val="74F35424"/>
    <w:rsid w:val="74FC3172"/>
    <w:rsid w:val="750C677C"/>
    <w:rsid w:val="75173F3B"/>
    <w:rsid w:val="751A6AB9"/>
    <w:rsid w:val="755A0546"/>
    <w:rsid w:val="75600C4D"/>
    <w:rsid w:val="75726AA9"/>
    <w:rsid w:val="757F5D1E"/>
    <w:rsid w:val="75930C52"/>
    <w:rsid w:val="75993F4B"/>
    <w:rsid w:val="75A85BEE"/>
    <w:rsid w:val="75E054EE"/>
    <w:rsid w:val="75FF2DEF"/>
    <w:rsid w:val="76037738"/>
    <w:rsid w:val="76234281"/>
    <w:rsid w:val="766127BD"/>
    <w:rsid w:val="76683425"/>
    <w:rsid w:val="76763437"/>
    <w:rsid w:val="767B381A"/>
    <w:rsid w:val="76935567"/>
    <w:rsid w:val="76CA4CD8"/>
    <w:rsid w:val="76D734FC"/>
    <w:rsid w:val="76D91F2C"/>
    <w:rsid w:val="76DE4DCA"/>
    <w:rsid w:val="77155E1B"/>
    <w:rsid w:val="771C0F63"/>
    <w:rsid w:val="7720201B"/>
    <w:rsid w:val="77234769"/>
    <w:rsid w:val="77240673"/>
    <w:rsid w:val="772429E5"/>
    <w:rsid w:val="77366748"/>
    <w:rsid w:val="774718A9"/>
    <w:rsid w:val="77522AEF"/>
    <w:rsid w:val="77633F64"/>
    <w:rsid w:val="77677DC4"/>
    <w:rsid w:val="777D037A"/>
    <w:rsid w:val="77992D66"/>
    <w:rsid w:val="77B52FAF"/>
    <w:rsid w:val="77B87675"/>
    <w:rsid w:val="77BC2B16"/>
    <w:rsid w:val="77BE4917"/>
    <w:rsid w:val="77EE1631"/>
    <w:rsid w:val="77F22BA2"/>
    <w:rsid w:val="78146D9B"/>
    <w:rsid w:val="78234183"/>
    <w:rsid w:val="783B2043"/>
    <w:rsid w:val="784F5C2B"/>
    <w:rsid w:val="78522E69"/>
    <w:rsid w:val="786348FE"/>
    <w:rsid w:val="786912AF"/>
    <w:rsid w:val="78877195"/>
    <w:rsid w:val="789A1362"/>
    <w:rsid w:val="78A669BC"/>
    <w:rsid w:val="78A93526"/>
    <w:rsid w:val="78BB5B3A"/>
    <w:rsid w:val="78E83409"/>
    <w:rsid w:val="78EC17E4"/>
    <w:rsid w:val="790B3EE4"/>
    <w:rsid w:val="79173F53"/>
    <w:rsid w:val="792151C7"/>
    <w:rsid w:val="79712F5A"/>
    <w:rsid w:val="79823868"/>
    <w:rsid w:val="798558B2"/>
    <w:rsid w:val="79C01DEA"/>
    <w:rsid w:val="79D15D1C"/>
    <w:rsid w:val="7A4A6B2F"/>
    <w:rsid w:val="7A5957EB"/>
    <w:rsid w:val="7A675764"/>
    <w:rsid w:val="7A6A5C29"/>
    <w:rsid w:val="7A6B6578"/>
    <w:rsid w:val="7A853142"/>
    <w:rsid w:val="7ABF69DB"/>
    <w:rsid w:val="7ACF64C2"/>
    <w:rsid w:val="7ADF409B"/>
    <w:rsid w:val="7AE8505A"/>
    <w:rsid w:val="7AEA255A"/>
    <w:rsid w:val="7AFD765B"/>
    <w:rsid w:val="7B0766AA"/>
    <w:rsid w:val="7B1712BA"/>
    <w:rsid w:val="7B242728"/>
    <w:rsid w:val="7B2539DD"/>
    <w:rsid w:val="7B440841"/>
    <w:rsid w:val="7B4F5333"/>
    <w:rsid w:val="7B627B23"/>
    <w:rsid w:val="7B6411AD"/>
    <w:rsid w:val="7BAC24B7"/>
    <w:rsid w:val="7BB31C57"/>
    <w:rsid w:val="7BB65FD0"/>
    <w:rsid w:val="7BBC2DF8"/>
    <w:rsid w:val="7BC60901"/>
    <w:rsid w:val="7C005E51"/>
    <w:rsid w:val="7C0331D1"/>
    <w:rsid w:val="7C105DC2"/>
    <w:rsid w:val="7C194CD9"/>
    <w:rsid w:val="7C2D78C4"/>
    <w:rsid w:val="7C417FDF"/>
    <w:rsid w:val="7C5F12ED"/>
    <w:rsid w:val="7C606EFD"/>
    <w:rsid w:val="7C647911"/>
    <w:rsid w:val="7C927C5E"/>
    <w:rsid w:val="7C9A1505"/>
    <w:rsid w:val="7CA35511"/>
    <w:rsid w:val="7CAF6445"/>
    <w:rsid w:val="7CBB180B"/>
    <w:rsid w:val="7CBB2B8C"/>
    <w:rsid w:val="7CD92F18"/>
    <w:rsid w:val="7CE24B13"/>
    <w:rsid w:val="7CF12A33"/>
    <w:rsid w:val="7CF53B3E"/>
    <w:rsid w:val="7D2B32EF"/>
    <w:rsid w:val="7D386425"/>
    <w:rsid w:val="7D3E39F8"/>
    <w:rsid w:val="7D4D3183"/>
    <w:rsid w:val="7D651E6A"/>
    <w:rsid w:val="7D6B4305"/>
    <w:rsid w:val="7D6C43AD"/>
    <w:rsid w:val="7D766E48"/>
    <w:rsid w:val="7D773760"/>
    <w:rsid w:val="7D831379"/>
    <w:rsid w:val="7D84676A"/>
    <w:rsid w:val="7D875BC2"/>
    <w:rsid w:val="7D9456BB"/>
    <w:rsid w:val="7D99398D"/>
    <w:rsid w:val="7DA61D1E"/>
    <w:rsid w:val="7DA835CC"/>
    <w:rsid w:val="7DB2752E"/>
    <w:rsid w:val="7DDA6A07"/>
    <w:rsid w:val="7DDE4841"/>
    <w:rsid w:val="7E00334A"/>
    <w:rsid w:val="7E0364FD"/>
    <w:rsid w:val="7E051FAA"/>
    <w:rsid w:val="7E05381F"/>
    <w:rsid w:val="7E204AC9"/>
    <w:rsid w:val="7E380E01"/>
    <w:rsid w:val="7E791549"/>
    <w:rsid w:val="7E7A2ECF"/>
    <w:rsid w:val="7E9E700A"/>
    <w:rsid w:val="7EA906DA"/>
    <w:rsid w:val="7EBC7058"/>
    <w:rsid w:val="7EE005F5"/>
    <w:rsid w:val="7F2F5AF4"/>
    <w:rsid w:val="7F4A0BF8"/>
    <w:rsid w:val="7F551C12"/>
    <w:rsid w:val="7F564359"/>
    <w:rsid w:val="7F6A20A5"/>
    <w:rsid w:val="7F6E49E5"/>
    <w:rsid w:val="7F703971"/>
    <w:rsid w:val="7F953295"/>
    <w:rsid w:val="7F970F46"/>
    <w:rsid w:val="7FB41A24"/>
    <w:rsid w:val="7FBB72F5"/>
    <w:rsid w:val="7FC5452C"/>
    <w:rsid w:val="7FCD7D9D"/>
    <w:rsid w:val="7FE372A3"/>
    <w:rsid w:val="7FE8084F"/>
    <w:rsid w:val="7FE814FF"/>
    <w:rsid w:val="7FF359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1040" w:firstLineChars="20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9"/>
    <w:pPr>
      <w:widowControl/>
      <w:spacing w:before="100" w:beforeAutospacing="1" w:after="100" w:afterAutospacing="1"/>
      <w:jc w:val="left"/>
      <w:outlineLvl w:val="0"/>
    </w:pPr>
    <w:rPr>
      <w:rFonts w:ascii="宋体" w:hAnsi="宋体"/>
      <w:b/>
      <w:bCs/>
      <w:kern w:val="36"/>
      <w:sz w:val="48"/>
      <w:szCs w:val="48"/>
    </w:rPr>
  </w:style>
  <w:style w:type="paragraph" w:styleId="3">
    <w:name w:val="heading 2"/>
    <w:basedOn w:val="1"/>
    <w:next w:val="1"/>
    <w:qFormat/>
    <w:uiPriority w:val="9"/>
    <w:pPr>
      <w:keepNext/>
      <w:keepLines/>
      <w:ind w:firstLine="0" w:firstLineChars="0"/>
      <w:jc w:val="left"/>
      <w:outlineLvl w:val="1"/>
    </w:pPr>
    <w:rPr>
      <w:b/>
      <w:sz w:val="24"/>
      <w:szCs w:val="32"/>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uiPriority w:val="0"/>
    <w:pPr>
      <w:jc w:val="left"/>
    </w:pPr>
  </w:style>
  <w:style w:type="paragraph" w:styleId="5">
    <w:name w:val="footer"/>
    <w:basedOn w:val="1"/>
    <w:link w:val="13"/>
    <w:unhideWhenUsed/>
    <w:qFormat/>
    <w:uiPriority w:val="99"/>
    <w:pPr>
      <w:tabs>
        <w:tab w:val="center" w:pos="4153"/>
        <w:tab w:val="right" w:pos="8306"/>
      </w:tabs>
      <w:snapToGrid w:val="0"/>
      <w:jc w:val="left"/>
    </w:pPr>
    <w:rPr>
      <w:kern w:val="0"/>
      <w:sz w:val="18"/>
      <w:szCs w:val="18"/>
    </w:rPr>
  </w:style>
  <w:style w:type="paragraph" w:styleId="6">
    <w:name w:val="header"/>
    <w:basedOn w:val="1"/>
    <w:unhideWhenUsed/>
    <w:qFormat/>
    <w:uiPriority w:val="99"/>
    <w:pPr>
      <w:pBdr>
        <w:bottom w:val="single" w:color="auto" w:sz="6" w:space="1"/>
      </w:pBdr>
      <w:tabs>
        <w:tab w:val="center" w:pos="4153"/>
        <w:tab w:val="right" w:pos="8306"/>
      </w:tabs>
      <w:snapToGrid w:val="0"/>
      <w:jc w:val="center"/>
    </w:pPr>
    <w:rPr>
      <w:kern w:val="0"/>
      <w:sz w:val="18"/>
      <w:szCs w:val="18"/>
    </w:rPr>
  </w:style>
  <w:style w:type="paragraph" w:styleId="7">
    <w:name w:val="toc 1"/>
    <w:basedOn w:val="1"/>
    <w:next w:val="1"/>
    <w:qFormat/>
    <w:uiPriority w:val="39"/>
  </w:style>
  <w:style w:type="paragraph" w:styleId="8">
    <w:name w:val="toc 2"/>
    <w:basedOn w:val="1"/>
    <w:next w:val="1"/>
    <w:uiPriority w:val="39"/>
    <w:pPr>
      <w:ind w:left="420" w:leftChars="200"/>
    </w:pPr>
  </w:style>
  <w:style w:type="character" w:styleId="11">
    <w:name w:val="Hyperlink"/>
    <w:basedOn w:val="10"/>
    <w:unhideWhenUsed/>
    <w:qFormat/>
    <w:uiPriority w:val="99"/>
    <w:rPr>
      <w:color w:val="0563C1" w:themeColor="hyperlink"/>
      <w:u w:val="single"/>
      <w14:textFill>
        <w14:solidFill>
          <w14:schemeClr w14:val="hlink"/>
        </w14:solidFill>
      </w14:textFill>
    </w:rPr>
  </w:style>
  <w:style w:type="paragraph" w:customStyle="1" w:styleId="12">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character" w:customStyle="1" w:styleId="13">
    <w:name w:val="页脚 字符"/>
    <w:basedOn w:val="10"/>
    <w:link w:val="5"/>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1.jpeg"/><Relationship Id="rId21" Type="http://schemas.openxmlformats.org/officeDocument/2006/relationships/image" Target="media/image10.jpeg"/><Relationship Id="rId20" Type="http://schemas.openxmlformats.org/officeDocument/2006/relationships/image" Target="media/image9.jpe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jpe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jpeg"/><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C5A425-6AFD-4AF0-880A-5F2D47DE1E98}">
  <ds:schemaRefs/>
</ds:datastoreItem>
</file>

<file path=docProps/app.xml><?xml version="1.0" encoding="utf-8"?>
<Properties xmlns="http://schemas.openxmlformats.org/officeDocument/2006/extended-properties" xmlns:vt="http://schemas.openxmlformats.org/officeDocument/2006/docPropsVTypes">
  <Template>Normal</Template>
  <Pages>18</Pages>
  <Words>7777</Words>
  <Characters>8400</Characters>
  <Lines>73</Lines>
  <Paragraphs>20</Paragraphs>
  <TotalTime>3</TotalTime>
  <ScaleCrop>false</ScaleCrop>
  <LinksUpToDate>false</LinksUpToDate>
  <CharactersWithSpaces>8576</CharactersWithSpaces>
  <Application>WPS Office_11.1.0.12650_F1E327BC-269C-435d-A152-05C5408002CA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2025-08-21T01:07:00Z</dcterms:created>
  <dc:creator>DXJ</dc:creator>
  <cp:lastModifiedBy>DXJ</cp:lastModifiedBy>
  <dcterms:modified xsi:type="dcterms:W3CDTF">2025-10-16T00:29:47Z</dcterms:modified>
  <cp:revision>103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2052-11.1.0.12650</vt:lpwstr>
  </property>
  <property fmtid="{D5CDD505-2E9C-101B-9397-08002B2CF9AE}" pid="3" name="ICV">
    <vt:lpwstr>0D66584C29EF43B8BDC9B745B3E93FB9</vt:lpwstr>
  </property>
  <property fmtid="{D5CDD505-2E9C-101B-9397-08002B2CF9AE}" pid="4" name="KSOTemplateDocerSaveRecord">
    <vt:lpwstr>eyJoZGlkIjoiNWYzMTRlNjcxNzEyOTQ3NDI4NTM4Njg1ZjE3ZjBhY2UiLCJ1c2VySWQiOiIxNDUwODg3ODU0In0=</vt:lpwstr>
  </property>
</Properties>
</file>