
<file path=[Content_Types].xml><?xml version="1.0" encoding="utf-8"?>
<Types xmlns="http://schemas.openxmlformats.org/package/2006/content-types">
  <Default Extension="jpeg" ContentType="image/jpeg"/>
  <Default Extension="JPG" ContentType="image/.jpg"/>
  <Default Extension="wmf" ContentType="image/x-wmf"/>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6476EBB">
      <w:pPr>
        <w:shd w:val="clear" w:color="auto" w:fill="FFFFFF"/>
        <w:jc w:val="center"/>
        <w:rPr>
          <w:b/>
          <w:color w:val="auto"/>
          <w:sz w:val="44"/>
          <w:szCs w:val="44"/>
        </w:rPr>
      </w:pPr>
    </w:p>
    <w:p w14:paraId="6D6FC955">
      <w:pPr>
        <w:shd w:val="clear" w:color="auto" w:fill="FFFFFF"/>
        <w:rPr>
          <w:b/>
          <w:color w:val="auto"/>
          <w:sz w:val="44"/>
          <w:szCs w:val="44"/>
        </w:rPr>
      </w:pPr>
    </w:p>
    <w:p w14:paraId="748BB411">
      <w:pPr>
        <w:shd w:val="clear" w:color="auto" w:fill="FFFFFF"/>
        <w:jc w:val="center"/>
        <w:rPr>
          <w:b/>
          <w:color w:val="auto"/>
          <w:sz w:val="44"/>
          <w:szCs w:val="44"/>
        </w:rPr>
      </w:pPr>
      <w:r>
        <w:rPr>
          <w:b/>
          <w:color w:val="auto"/>
          <w:sz w:val="44"/>
          <w:szCs w:val="44"/>
        </w:rPr>
        <w:t>建材行业标准</w:t>
      </w:r>
    </w:p>
    <w:p w14:paraId="2E87E97C">
      <w:pPr>
        <w:shd w:val="clear" w:color="auto" w:fill="FFFFFF"/>
        <w:jc w:val="center"/>
        <w:rPr>
          <w:b/>
          <w:color w:val="auto"/>
          <w:sz w:val="52"/>
          <w:szCs w:val="52"/>
        </w:rPr>
      </w:pPr>
      <w:r>
        <w:rPr>
          <w:b/>
          <w:color w:val="auto"/>
          <w:sz w:val="44"/>
          <w:szCs w:val="44"/>
        </w:rPr>
        <w:t>《混凝土用膨胀剂应用技术规范》</w:t>
      </w:r>
    </w:p>
    <w:p w14:paraId="2F1516E2">
      <w:pPr>
        <w:shd w:val="clear" w:color="auto" w:fill="FFFFFF"/>
        <w:jc w:val="center"/>
        <w:rPr>
          <w:b/>
          <w:color w:val="auto"/>
          <w:sz w:val="52"/>
          <w:szCs w:val="52"/>
        </w:rPr>
      </w:pPr>
    </w:p>
    <w:p w14:paraId="571BB7F6">
      <w:pPr>
        <w:shd w:val="clear" w:color="auto" w:fill="FFFFFF"/>
        <w:jc w:val="center"/>
        <w:rPr>
          <w:b/>
          <w:color w:val="auto"/>
          <w:sz w:val="52"/>
          <w:szCs w:val="52"/>
        </w:rPr>
      </w:pPr>
    </w:p>
    <w:p w14:paraId="5D6D4CBB">
      <w:pPr>
        <w:shd w:val="clear" w:color="auto" w:fill="FFFFFF"/>
        <w:rPr>
          <w:b/>
          <w:color w:val="auto"/>
          <w:sz w:val="72"/>
          <w:szCs w:val="72"/>
        </w:rPr>
      </w:pPr>
    </w:p>
    <w:p w14:paraId="45257F25">
      <w:pPr>
        <w:shd w:val="clear" w:color="auto" w:fill="FFFFFF"/>
        <w:jc w:val="center"/>
        <w:rPr>
          <w:b/>
          <w:color w:val="auto"/>
          <w:sz w:val="72"/>
          <w:szCs w:val="72"/>
        </w:rPr>
      </w:pPr>
    </w:p>
    <w:p w14:paraId="4A8B86C8">
      <w:pPr>
        <w:shd w:val="clear" w:color="auto" w:fill="FFFFFF"/>
        <w:jc w:val="center"/>
        <w:rPr>
          <w:b/>
          <w:color w:val="auto"/>
          <w:sz w:val="72"/>
          <w:szCs w:val="72"/>
        </w:rPr>
      </w:pPr>
      <w:r>
        <w:rPr>
          <w:b/>
          <w:color w:val="auto"/>
          <w:sz w:val="72"/>
          <w:szCs w:val="72"/>
        </w:rPr>
        <w:t>编制说明</w:t>
      </w:r>
    </w:p>
    <w:p w14:paraId="65BE866A">
      <w:pPr>
        <w:shd w:val="clear" w:color="auto" w:fill="FFFFFF"/>
        <w:jc w:val="center"/>
        <w:rPr>
          <w:b/>
          <w:color w:val="auto"/>
          <w:sz w:val="52"/>
          <w:szCs w:val="52"/>
        </w:rPr>
      </w:pPr>
    </w:p>
    <w:p w14:paraId="59376F97">
      <w:pPr>
        <w:shd w:val="clear" w:color="auto" w:fill="FFFFFF"/>
        <w:jc w:val="center"/>
        <w:rPr>
          <w:b/>
          <w:color w:val="auto"/>
          <w:sz w:val="30"/>
          <w:szCs w:val="30"/>
        </w:rPr>
      </w:pPr>
      <w:r>
        <w:rPr>
          <w:rFonts w:hint="eastAsia"/>
          <w:b/>
          <w:color w:val="auto"/>
          <w:sz w:val="30"/>
          <w:szCs w:val="30"/>
        </w:rPr>
        <w:t>（征求意见稿）</w:t>
      </w:r>
    </w:p>
    <w:p w14:paraId="3EC0E0F4">
      <w:pPr>
        <w:shd w:val="clear" w:color="auto" w:fill="FFFFFF"/>
        <w:jc w:val="center"/>
        <w:rPr>
          <w:b/>
          <w:color w:val="auto"/>
          <w:sz w:val="52"/>
          <w:szCs w:val="52"/>
        </w:rPr>
      </w:pPr>
    </w:p>
    <w:p w14:paraId="0882B61A">
      <w:pPr>
        <w:shd w:val="clear" w:color="auto" w:fill="FFFFFF"/>
        <w:jc w:val="center"/>
        <w:rPr>
          <w:b/>
          <w:color w:val="auto"/>
          <w:sz w:val="52"/>
          <w:szCs w:val="52"/>
        </w:rPr>
      </w:pPr>
    </w:p>
    <w:p w14:paraId="1990C589">
      <w:pPr>
        <w:shd w:val="clear" w:color="auto" w:fill="FFFFFF"/>
        <w:jc w:val="center"/>
        <w:rPr>
          <w:b/>
          <w:color w:val="auto"/>
          <w:sz w:val="52"/>
          <w:szCs w:val="52"/>
        </w:rPr>
      </w:pPr>
    </w:p>
    <w:p w14:paraId="61F6D430">
      <w:pPr>
        <w:shd w:val="clear" w:color="auto" w:fill="FFFFFF"/>
        <w:jc w:val="center"/>
        <w:rPr>
          <w:b/>
          <w:color w:val="auto"/>
          <w:sz w:val="52"/>
          <w:szCs w:val="52"/>
        </w:rPr>
      </w:pPr>
    </w:p>
    <w:p w14:paraId="553710D9">
      <w:pPr>
        <w:shd w:val="clear" w:color="auto" w:fill="FFFFFF"/>
        <w:rPr>
          <w:b/>
          <w:color w:val="auto"/>
          <w:sz w:val="52"/>
          <w:szCs w:val="52"/>
        </w:rPr>
      </w:pPr>
    </w:p>
    <w:p w14:paraId="3C8E45C0">
      <w:pPr>
        <w:shd w:val="clear" w:color="auto" w:fill="FFFFFF"/>
        <w:rPr>
          <w:b/>
          <w:color w:val="auto"/>
          <w:sz w:val="52"/>
          <w:szCs w:val="52"/>
        </w:rPr>
      </w:pPr>
    </w:p>
    <w:p w14:paraId="3916A653">
      <w:pPr>
        <w:shd w:val="clear" w:color="auto" w:fill="FFFFFF"/>
        <w:jc w:val="center"/>
        <w:rPr>
          <w:b/>
          <w:color w:val="auto"/>
          <w:sz w:val="44"/>
          <w:szCs w:val="44"/>
        </w:rPr>
      </w:pPr>
      <w:r>
        <w:rPr>
          <w:b/>
          <w:color w:val="auto"/>
          <w:sz w:val="44"/>
          <w:szCs w:val="44"/>
        </w:rPr>
        <w:t>建筑材料工业技术</w:t>
      </w:r>
      <w:r>
        <w:rPr>
          <w:rFonts w:hint="eastAsia"/>
          <w:b/>
          <w:color w:val="auto"/>
          <w:sz w:val="44"/>
          <w:szCs w:val="44"/>
        </w:rPr>
        <w:t>监督研究中心</w:t>
      </w:r>
    </w:p>
    <w:p w14:paraId="34F7943F">
      <w:pPr>
        <w:shd w:val="clear" w:color="auto" w:fill="FFFFFF"/>
        <w:jc w:val="center"/>
        <w:rPr>
          <w:b/>
          <w:color w:val="auto"/>
          <w:sz w:val="44"/>
          <w:szCs w:val="44"/>
        </w:rPr>
        <w:sectPr>
          <w:headerReference r:id="rId4" w:type="first"/>
          <w:headerReference r:id="rId3" w:type="default"/>
          <w:footerReference r:id="rId5" w:type="default"/>
          <w:footerReference r:id="rId6" w:type="even"/>
          <w:pgSz w:w="11906" w:h="16838"/>
          <w:pgMar w:top="1440" w:right="1800" w:bottom="1440" w:left="1800" w:header="851" w:footer="992" w:gutter="0"/>
          <w:cols w:space="720" w:num="1"/>
          <w:titlePg/>
          <w:docGrid w:type="lines" w:linePitch="312" w:charSpace="0"/>
        </w:sectPr>
      </w:pPr>
      <w:r>
        <w:rPr>
          <w:b/>
          <w:color w:val="auto"/>
          <w:sz w:val="44"/>
          <w:szCs w:val="44"/>
        </w:rPr>
        <w:t>202</w:t>
      </w:r>
      <w:r>
        <w:rPr>
          <w:rFonts w:hint="eastAsia"/>
          <w:b/>
          <w:color w:val="auto"/>
          <w:sz w:val="44"/>
          <w:szCs w:val="44"/>
        </w:rPr>
        <w:t>6</w:t>
      </w:r>
      <w:r>
        <w:rPr>
          <w:b/>
          <w:color w:val="auto"/>
          <w:sz w:val="44"/>
          <w:szCs w:val="44"/>
        </w:rPr>
        <w:t>年</w:t>
      </w:r>
      <w:r>
        <w:rPr>
          <w:rFonts w:hint="eastAsia"/>
          <w:b/>
          <w:color w:val="auto"/>
          <w:sz w:val="44"/>
          <w:szCs w:val="44"/>
        </w:rPr>
        <w:t>2</w:t>
      </w:r>
      <w:r>
        <w:rPr>
          <w:b/>
          <w:color w:val="auto"/>
          <w:sz w:val="44"/>
          <w:szCs w:val="44"/>
        </w:rPr>
        <w:t>月</w:t>
      </w:r>
    </w:p>
    <w:p w14:paraId="18FF036A">
      <w:pPr>
        <w:shd w:val="clear" w:color="auto" w:fill="FFFFFF"/>
        <w:jc w:val="center"/>
        <w:rPr>
          <w:b/>
          <w:color w:val="auto"/>
          <w:sz w:val="36"/>
          <w:szCs w:val="36"/>
        </w:rPr>
      </w:pPr>
      <w:r>
        <w:rPr>
          <w:b/>
          <w:color w:val="auto"/>
          <w:sz w:val="36"/>
          <w:szCs w:val="36"/>
        </w:rPr>
        <w:t>《混凝土用膨胀剂应用技术规范》</w:t>
      </w:r>
    </w:p>
    <w:p w14:paraId="0A32BAC6">
      <w:pPr>
        <w:shd w:val="clear" w:color="auto" w:fill="FFFFFF"/>
        <w:jc w:val="center"/>
        <w:rPr>
          <w:b/>
          <w:color w:val="auto"/>
          <w:sz w:val="44"/>
          <w:szCs w:val="44"/>
        </w:rPr>
      </w:pPr>
      <w:r>
        <w:rPr>
          <w:b/>
          <w:color w:val="auto"/>
          <w:sz w:val="36"/>
          <w:szCs w:val="36"/>
        </w:rPr>
        <w:t>建材行业标准编制说明</w:t>
      </w:r>
    </w:p>
    <w:p w14:paraId="5733F96C">
      <w:pPr>
        <w:shd w:val="clear" w:color="auto" w:fill="FFFFFF"/>
        <w:spacing w:before="156" w:beforeLines="50" w:after="156" w:afterLines="50" w:line="300" w:lineRule="auto"/>
        <w:ind w:firstLine="643" w:firstLineChars="200"/>
        <w:outlineLvl w:val="1"/>
        <w:rPr>
          <w:b/>
          <w:bCs/>
          <w:color w:val="auto"/>
          <w:sz w:val="32"/>
          <w:szCs w:val="28"/>
        </w:rPr>
      </w:pPr>
      <w:r>
        <w:rPr>
          <w:rFonts w:hint="eastAsia"/>
          <w:b/>
          <w:bCs/>
          <w:color w:val="auto"/>
          <w:sz w:val="32"/>
          <w:szCs w:val="28"/>
        </w:rPr>
        <w:t>一、</w:t>
      </w:r>
      <w:r>
        <w:rPr>
          <w:b/>
          <w:bCs/>
          <w:color w:val="auto"/>
          <w:sz w:val="32"/>
          <w:szCs w:val="28"/>
        </w:rPr>
        <w:t>工作</w:t>
      </w:r>
      <w:r>
        <w:rPr>
          <w:rFonts w:hint="eastAsia"/>
          <w:b/>
          <w:bCs/>
          <w:color w:val="auto"/>
          <w:sz w:val="32"/>
          <w:szCs w:val="28"/>
        </w:rPr>
        <w:t>简</w:t>
      </w:r>
      <w:r>
        <w:rPr>
          <w:b/>
          <w:bCs/>
          <w:color w:val="auto"/>
          <w:sz w:val="32"/>
          <w:szCs w:val="28"/>
        </w:rPr>
        <w:t>况</w:t>
      </w:r>
    </w:p>
    <w:p w14:paraId="7FF4869D">
      <w:pPr>
        <w:shd w:val="clear" w:color="auto" w:fill="FFFFFF"/>
        <w:ind w:firstLine="562" w:firstLineChars="200"/>
        <w:rPr>
          <w:b/>
          <w:bCs/>
          <w:color w:val="auto"/>
          <w:sz w:val="28"/>
          <w:szCs w:val="28"/>
        </w:rPr>
      </w:pPr>
      <w:r>
        <w:rPr>
          <w:rFonts w:hint="eastAsia"/>
          <w:b/>
          <w:bCs/>
          <w:color w:val="auto"/>
          <w:sz w:val="28"/>
          <w:szCs w:val="28"/>
        </w:rPr>
        <w:t>（一）</w:t>
      </w:r>
      <w:r>
        <w:rPr>
          <w:b/>
          <w:bCs/>
          <w:color w:val="auto"/>
          <w:sz w:val="28"/>
          <w:szCs w:val="28"/>
        </w:rPr>
        <w:t xml:space="preserve"> 任务来源</w:t>
      </w:r>
    </w:p>
    <w:p w14:paraId="62DD21D4">
      <w:pPr>
        <w:shd w:val="clear" w:color="auto" w:fill="FFFFFF"/>
        <w:spacing w:line="360" w:lineRule="auto"/>
        <w:ind w:firstLine="480" w:firstLineChars="200"/>
        <w:rPr>
          <w:bCs/>
          <w:color w:val="auto"/>
          <w:sz w:val="24"/>
        </w:rPr>
      </w:pPr>
      <w:r>
        <w:rPr>
          <w:bCs/>
          <w:color w:val="auto"/>
          <w:sz w:val="24"/>
        </w:rPr>
        <w:t>根据《工业和信息化部办公厅关于印发202</w:t>
      </w:r>
      <w:r>
        <w:rPr>
          <w:rFonts w:hint="eastAsia"/>
          <w:bCs/>
          <w:color w:val="auto"/>
          <w:sz w:val="24"/>
        </w:rPr>
        <w:t>4</w:t>
      </w:r>
      <w:r>
        <w:rPr>
          <w:bCs/>
          <w:color w:val="auto"/>
          <w:sz w:val="24"/>
        </w:rPr>
        <w:t>年第二批行业标准制修订和外文版项目计划的通知》（工信厅科</w:t>
      </w:r>
      <w:r>
        <w:rPr>
          <w:rFonts w:hint="eastAsia"/>
          <w:bCs/>
          <w:color w:val="auto"/>
          <w:sz w:val="24"/>
        </w:rPr>
        <w:t>函</w:t>
      </w:r>
      <w:r>
        <w:rPr>
          <w:bCs/>
          <w:color w:val="auto"/>
          <w:sz w:val="24"/>
        </w:rPr>
        <w:t>【202</w:t>
      </w:r>
      <w:r>
        <w:rPr>
          <w:rFonts w:hint="eastAsia"/>
          <w:bCs/>
          <w:color w:val="auto"/>
          <w:sz w:val="24"/>
        </w:rPr>
        <w:t>4</w:t>
      </w:r>
      <w:r>
        <w:rPr>
          <w:bCs/>
          <w:color w:val="auto"/>
          <w:sz w:val="24"/>
        </w:rPr>
        <w:t>】</w:t>
      </w:r>
      <w:r>
        <w:rPr>
          <w:rFonts w:hint="eastAsia"/>
          <w:bCs/>
          <w:color w:val="auto"/>
          <w:sz w:val="24"/>
        </w:rPr>
        <w:t>191</w:t>
      </w:r>
      <w:r>
        <w:rPr>
          <w:bCs/>
          <w:color w:val="auto"/>
          <w:sz w:val="24"/>
        </w:rPr>
        <w:t>号）要求，由建筑材料工业技术</w:t>
      </w:r>
      <w:r>
        <w:rPr>
          <w:rFonts w:hint="eastAsia"/>
          <w:bCs/>
          <w:color w:val="auto"/>
          <w:sz w:val="24"/>
        </w:rPr>
        <w:t>监督研究中心</w:t>
      </w:r>
      <w:r>
        <w:rPr>
          <w:bCs/>
          <w:color w:val="auto"/>
          <w:sz w:val="24"/>
        </w:rPr>
        <w:t>负责组织行业标准《</w:t>
      </w:r>
      <w:r>
        <w:rPr>
          <w:rFonts w:hint="eastAsia"/>
          <w:bCs/>
          <w:color w:val="auto"/>
          <w:sz w:val="24"/>
        </w:rPr>
        <w:t>混凝土用膨胀剂应用技术规范</w:t>
      </w:r>
      <w:r>
        <w:rPr>
          <w:bCs/>
          <w:color w:val="auto"/>
          <w:sz w:val="24"/>
        </w:rPr>
        <w:t>》（计划编号202</w:t>
      </w:r>
      <w:r>
        <w:rPr>
          <w:rFonts w:hint="eastAsia"/>
          <w:bCs/>
          <w:color w:val="auto"/>
          <w:sz w:val="24"/>
        </w:rPr>
        <w:t>4</w:t>
      </w:r>
      <w:r>
        <w:rPr>
          <w:bCs/>
          <w:color w:val="auto"/>
          <w:sz w:val="24"/>
        </w:rPr>
        <w:t>-0</w:t>
      </w:r>
      <w:r>
        <w:rPr>
          <w:rFonts w:hint="eastAsia"/>
          <w:bCs/>
          <w:color w:val="auto"/>
          <w:sz w:val="24"/>
        </w:rPr>
        <w:t>762</w:t>
      </w:r>
      <w:r>
        <w:rPr>
          <w:bCs/>
          <w:color w:val="auto"/>
          <w:sz w:val="24"/>
        </w:rPr>
        <w:t>T-JC）的编制工作。标准归口建材工业综合标准化技术委员会。</w:t>
      </w:r>
    </w:p>
    <w:p w14:paraId="03914019">
      <w:pPr>
        <w:shd w:val="clear" w:color="auto" w:fill="FFFFFF"/>
        <w:ind w:firstLine="562" w:firstLineChars="200"/>
        <w:rPr>
          <w:rFonts w:hint="eastAsia" w:ascii="宋体" w:hAnsi="宋体"/>
          <w:b/>
          <w:bCs/>
          <w:color w:val="auto"/>
          <w:sz w:val="28"/>
          <w:szCs w:val="28"/>
        </w:rPr>
      </w:pPr>
      <w:r>
        <w:rPr>
          <w:rFonts w:hint="eastAsia" w:ascii="宋体" w:hAnsi="宋体"/>
          <w:b/>
          <w:bCs/>
          <w:color w:val="auto"/>
          <w:sz w:val="28"/>
          <w:szCs w:val="28"/>
        </w:rPr>
        <w:t>（二）主要工作过程</w:t>
      </w:r>
    </w:p>
    <w:p w14:paraId="46C41347">
      <w:pPr>
        <w:shd w:val="clear" w:color="auto" w:fill="FFFFFF"/>
        <w:spacing w:line="360" w:lineRule="auto"/>
        <w:ind w:firstLine="482" w:firstLineChars="200"/>
        <w:rPr>
          <w:b/>
          <w:bCs/>
          <w:color w:val="auto"/>
          <w:sz w:val="24"/>
        </w:rPr>
      </w:pPr>
      <w:r>
        <w:rPr>
          <w:rFonts w:hint="eastAsia"/>
          <w:b/>
          <w:bCs/>
          <w:color w:val="auto"/>
          <w:sz w:val="24"/>
        </w:rPr>
        <w:t>1. 调研工作</w:t>
      </w:r>
    </w:p>
    <w:p w14:paraId="2EEA65D5">
      <w:pPr>
        <w:shd w:val="clear" w:color="auto" w:fill="FFFFFF"/>
        <w:spacing w:line="360" w:lineRule="auto"/>
        <w:ind w:firstLine="480"/>
        <w:rPr>
          <w:rFonts w:hint="eastAsia"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建筑材料工业技术监督研究中心邀请</w:t>
      </w:r>
      <w:r>
        <w:rPr>
          <w:rFonts w:ascii="宋体" w:hAnsi="宋体"/>
          <w:color w:val="000000" w:themeColor="text1"/>
          <w:sz w:val="24"/>
          <w14:textFill>
            <w14:solidFill>
              <w14:schemeClr w14:val="tx1"/>
            </w14:solidFill>
          </w14:textFill>
        </w:rPr>
        <w:t>涵盖</w:t>
      </w:r>
      <w:r>
        <w:rPr>
          <w:rFonts w:hint="eastAsia" w:ascii="宋体" w:hAnsi="宋体"/>
          <w:color w:val="000000" w:themeColor="text1"/>
          <w:sz w:val="24"/>
          <w14:textFill>
            <w14:solidFill>
              <w14:schemeClr w14:val="tx1"/>
            </w14:solidFill>
          </w14:textFill>
        </w:rPr>
        <w:t>混凝土膨胀剂生产、研发、设计、施工及检测等全链条产业的单位组成标准编制组，并对混凝土膨胀剂在国内外应用情况进行了系统调研。</w:t>
      </w:r>
    </w:p>
    <w:p w14:paraId="3DC78582">
      <w:pPr>
        <w:shd w:val="clear" w:color="auto" w:fill="FFFFFF"/>
        <w:spacing w:line="360" w:lineRule="auto"/>
        <w:ind w:firstLine="482" w:firstLineChars="200"/>
        <w:rPr>
          <w:rFonts w:hint="eastAsia" w:ascii="宋体" w:hAnsi="宋体"/>
          <w:b/>
          <w:bCs/>
          <w:color w:val="000000" w:themeColor="text1"/>
          <w:sz w:val="24"/>
          <w14:textFill>
            <w14:solidFill>
              <w14:schemeClr w14:val="tx1"/>
            </w14:solidFill>
          </w14:textFill>
        </w:rPr>
      </w:pPr>
      <w:r>
        <w:rPr>
          <w:rFonts w:hint="eastAsia" w:ascii="宋体" w:hAnsi="宋体"/>
          <w:b/>
          <w:bCs/>
          <w:color w:val="000000" w:themeColor="text1"/>
          <w:sz w:val="24"/>
          <w14:textFill>
            <w14:solidFill>
              <w14:schemeClr w14:val="tx1"/>
            </w14:solidFill>
          </w14:textFill>
        </w:rPr>
        <w:t>1.1 混凝土膨胀剂发展历程</w:t>
      </w:r>
    </w:p>
    <w:p w14:paraId="59CA0593">
      <w:pPr>
        <w:shd w:val="clear" w:color="auto" w:fill="FFFFFF"/>
        <w:spacing w:line="360" w:lineRule="auto"/>
        <w:ind w:firstLine="480"/>
        <w:rPr>
          <w:rFonts w:eastAsiaTheme="majorEastAsia"/>
          <w:color w:val="000000" w:themeColor="text1"/>
          <w:sz w:val="24"/>
          <w14:textFill>
            <w14:solidFill>
              <w14:schemeClr w14:val="tx1"/>
            </w14:solidFill>
          </w14:textFill>
        </w:rPr>
      </w:pPr>
      <w:r>
        <w:rPr>
          <w:rFonts w:eastAsiaTheme="majorEastAsia"/>
          <w:color w:val="000000" w:themeColor="text1"/>
          <w:sz w:val="24"/>
          <w14:textFill>
            <w14:solidFill>
              <w14:schemeClr w14:val="tx1"/>
            </w14:solidFill>
          </w14:textFill>
        </w:rPr>
        <w:t>混凝土作为建筑工程中用量最大的胶凝材料，其收缩开裂问题一直是影响工程结构耐久性、安全性和使用寿命的核心痛点。</w:t>
      </w:r>
      <w:r>
        <w:rPr>
          <w:rFonts w:hint="eastAsia" w:eastAsiaTheme="majorEastAsia"/>
          <w:color w:val="000000" w:themeColor="text1"/>
          <w:sz w:val="24"/>
          <w14:textFill>
            <w14:solidFill>
              <w14:schemeClr w14:val="tx1"/>
            </w14:solidFill>
          </w14:textFill>
        </w:rPr>
        <w:t>膨胀剂是在膨胀水泥基础上发展而来的一种混凝土外加剂，</w:t>
      </w:r>
      <w:r>
        <w:rPr>
          <w:rFonts w:eastAsiaTheme="majorEastAsia"/>
          <w:color w:val="000000" w:themeColor="text1"/>
          <w:sz w:val="24"/>
          <w14:textFill>
            <w14:solidFill>
              <w14:schemeClr w14:val="tx1"/>
            </w14:solidFill>
          </w14:textFill>
        </w:rPr>
        <w:t>通过水化反应产生适度体积膨胀，可有效补偿混凝土硬化过程中的干缩、冷缩及塑性收缩，减少或避免裂缝产生，</w:t>
      </w:r>
      <w:r>
        <w:rPr>
          <w:rFonts w:hint="eastAsia" w:eastAsiaTheme="majorEastAsia"/>
          <w:color w:val="000000" w:themeColor="text1"/>
          <w:sz w:val="24"/>
          <w14:textFill>
            <w14:solidFill>
              <w14:schemeClr w14:val="tx1"/>
            </w14:solidFill>
          </w14:textFill>
        </w:rPr>
        <w:t>被公认为是解决混凝土收缩开裂最简单、经济有效的技术手段，</w:t>
      </w:r>
      <w:r>
        <w:rPr>
          <w:rFonts w:eastAsiaTheme="majorEastAsia"/>
          <w:color w:val="000000" w:themeColor="text1"/>
          <w:sz w:val="24"/>
          <w14:textFill>
            <w14:solidFill>
              <w14:schemeClr w14:val="tx1"/>
            </w14:solidFill>
          </w14:textFill>
        </w:rPr>
        <w:t>广泛应用于水利、交通、市政、工业与民用建筑等各类工程中。</w:t>
      </w:r>
    </w:p>
    <w:p w14:paraId="5D533117">
      <w:pPr>
        <w:shd w:val="clear" w:color="auto" w:fill="FFFFFF"/>
        <w:spacing w:line="360" w:lineRule="auto"/>
        <w:ind w:firstLine="480"/>
        <w:rPr>
          <w:rFonts w:eastAsiaTheme="majorEastAsia"/>
          <w:color w:val="000000" w:themeColor="text1"/>
          <w:sz w:val="24"/>
          <w14:textFill>
            <w14:solidFill>
              <w14:schemeClr w14:val="tx1"/>
            </w14:solidFill>
          </w14:textFill>
        </w:rPr>
      </w:pPr>
      <w:r>
        <w:rPr>
          <w:rFonts w:hint="eastAsia" w:eastAsiaTheme="majorEastAsia"/>
          <w:color w:val="000000" w:themeColor="text1"/>
          <w:sz w:val="24"/>
          <w14:textFill>
            <w14:solidFill>
              <w14:schemeClr w14:val="tx1"/>
            </w14:solidFill>
          </w14:textFill>
        </w:rPr>
        <w:t>以膨胀水泥为胶凝材料的膨胀混凝土是水泥混凝土学科中化害为利的典范，利用技术手段将有害的膨胀成分，控制、转变为有利的膨胀变形，可以补偿混凝土收缩解决开裂或膨胀张拉钢筋达到机械预应力的目的。20世纪50年代，在中国工程院资深院士、中国建材总院原总工程师吴中伟教授指导下，我国开始膨胀水泥技术的研发，经过几代研究人员的科研攻关，奠定了我国膨胀水泥混凝土学科。中国建材总院开创了我国自应力混凝土管与膨胀剂行业，为推动不同时期的国民经济建设做出具大贡献，并在该领域居国际领先地位。</w:t>
      </w:r>
    </w:p>
    <w:p w14:paraId="355A3B43">
      <w:pPr>
        <w:shd w:val="clear" w:color="auto" w:fill="FFFFFF"/>
        <w:spacing w:line="360" w:lineRule="auto"/>
        <w:ind w:firstLine="480" w:firstLineChars="200"/>
        <w:rPr>
          <w:rFonts w:eastAsiaTheme="majorEastAsia"/>
          <w:color w:val="000000" w:themeColor="text1"/>
          <w:sz w:val="24"/>
          <w14:textFill>
            <w14:solidFill>
              <w14:schemeClr w14:val="tx1"/>
            </w14:solidFill>
          </w14:textFill>
        </w:rPr>
      </w:pPr>
      <w:r>
        <w:rPr>
          <w:rFonts w:hint="eastAsia" w:eastAsiaTheme="majorEastAsia"/>
          <w:color w:val="000000" w:themeColor="text1"/>
          <w:sz w:val="24"/>
          <w14:textFill>
            <w14:solidFill>
              <w14:schemeClr w14:val="tx1"/>
            </w14:solidFill>
          </w14:textFill>
        </w:rPr>
        <w:t>上世纪30年代至80年代，前苏联、美国、日本等国家先后开发了各种膨胀水泥和膨胀剂产品，澳大利亚、意大利、保加利亚、印度、埃及等国也有相关的研究和生产活动。我国从上个世纪70年代起对混凝土膨胀剂展开了深入研究， 1974年，游宝坤、邓慎操等首次研制成功类似日本CSA的硫铝酸钙膨胀剂，采用回转窑烧结法制成CSA熟料，但由于结圈问题，未能投入工业化生产。1985年后，王延生等研制成功氧化钙-硫铝酸盐型复合膨胀剂CEA。其后，又研制成功用铝酸盐水泥熟料、明矾石和石膏磨制而成的铝酸钙膨胀剂AEA。1985年，南京化工学院（现南京工业大学）研制成功用于水电站坝基混凝土的氧化镁膨胀剂。1986年后，游宝坤、韩立林、吴万春等研制成功UEA膨胀剂。UEA、AEA和CE</w:t>
      </w:r>
      <w:r>
        <w:rPr>
          <w:rFonts w:hint="eastAsia" w:eastAsiaTheme="majorEastAsia"/>
          <w:color w:val="000000" w:themeColor="text1"/>
          <w:sz w:val="24"/>
          <w:u w:val="dotted"/>
          <w14:textFill>
            <w14:solidFill>
              <w14:schemeClr w14:val="tx1"/>
            </w14:solidFill>
          </w14:textFill>
        </w:rPr>
        <w:t>A</w:t>
      </w:r>
      <w:r>
        <w:rPr>
          <w:rFonts w:hint="eastAsia" w:eastAsiaTheme="majorEastAsia"/>
          <w:color w:val="000000" w:themeColor="text1"/>
          <w:sz w:val="24"/>
          <w14:textFill>
            <w14:solidFill>
              <w14:schemeClr w14:val="tx1"/>
            </w14:solidFill>
          </w14:textFill>
        </w:rPr>
        <w:t>三种产品均通过部级技术鉴定，其中UEA膨胀剂及其应用获国家科技进步二等奖。1998年起，针对传统膨胀剂膨胀能低、绝湿膨胀小、膨胀速率慢、膨胀期长、与活性矿物掺合料适应性差的问题，中国建材总院开发了HCSA</w:t>
      </w:r>
      <w:r>
        <w:rPr>
          <w:rFonts w:eastAsiaTheme="majorEastAsia"/>
          <w:color w:val="000000" w:themeColor="text1"/>
          <w:sz w:val="24"/>
          <w14:textFill>
            <w14:solidFill>
              <w14:schemeClr w14:val="tx1"/>
            </w14:solidFill>
          </w14:textFill>
        </w:rPr>
        <w:t>双膨胀源</w:t>
      </w:r>
      <w:r>
        <w:rPr>
          <w:rFonts w:hint="eastAsia" w:eastAsiaTheme="majorEastAsia"/>
          <w:color w:val="000000" w:themeColor="text1"/>
          <w:sz w:val="24"/>
          <w14:textFill>
            <w14:solidFill>
              <w14:schemeClr w14:val="tx1"/>
            </w14:solidFill>
          </w14:textFill>
        </w:rPr>
        <w:t>高性能</w:t>
      </w:r>
      <w:r>
        <w:rPr>
          <w:rFonts w:eastAsiaTheme="majorEastAsia"/>
          <w:color w:val="000000" w:themeColor="text1"/>
          <w:sz w:val="24"/>
          <w14:textFill>
            <w14:solidFill>
              <w14:schemeClr w14:val="tx1"/>
            </w14:solidFill>
          </w14:textFill>
        </w:rPr>
        <w:t>膨胀剂，该材料具有比现行标准要求更高的限制膨胀率（3～4倍）、膨胀速率快、膨胀期短（7～10d）、7d绝湿限制膨胀率约为水中的80%、干燥收缩小，且能激发掺合料活性</w:t>
      </w:r>
      <w:r>
        <w:rPr>
          <w:rFonts w:hint="eastAsia" w:eastAsiaTheme="majorEastAsia"/>
          <w:color w:val="000000" w:themeColor="text1"/>
          <w:sz w:val="24"/>
          <w14:textFill>
            <w14:solidFill>
              <w14:schemeClr w14:val="tx1"/>
            </w14:solidFill>
          </w14:textFill>
        </w:rPr>
        <w:t>。与日本的电熔工艺相比，效率高、能耗低，成本优势</w:t>
      </w:r>
      <w:r>
        <w:rPr>
          <w:rFonts w:eastAsiaTheme="majorEastAsia"/>
          <w:color w:val="000000" w:themeColor="text1"/>
          <w:sz w:val="24"/>
          <w14:textFill>
            <w14:solidFill>
              <w14:schemeClr w14:val="tx1"/>
            </w14:solidFill>
          </w14:textFill>
        </w:rPr>
        <w:t>明显，性能领先于国内外同类产品。</w:t>
      </w:r>
      <w:r>
        <w:rPr>
          <w:rFonts w:hint="eastAsia" w:eastAsiaTheme="majorEastAsia"/>
          <w:color w:val="000000" w:themeColor="text1"/>
          <w:sz w:val="24"/>
          <w14:textFill>
            <w14:solidFill>
              <w14:schemeClr w14:val="tx1"/>
            </w14:solidFill>
          </w14:textFill>
        </w:rPr>
        <w:t>“HCSA双膨胀源膨胀剂制备与工程应用成套技术”获得2014年度建筑材料科技进步一等奖。</w:t>
      </w:r>
    </w:p>
    <w:p w14:paraId="0B810F1E">
      <w:pPr>
        <w:shd w:val="clear" w:color="auto" w:fill="FFFFFF"/>
        <w:spacing w:line="360" w:lineRule="auto"/>
        <w:ind w:firstLine="480" w:firstLineChars="200"/>
        <w:rPr>
          <w:rFonts w:eastAsiaTheme="majorEastAsia"/>
          <w:color w:val="000000" w:themeColor="text1"/>
          <w:sz w:val="24"/>
          <w14:textFill>
            <w14:solidFill>
              <w14:schemeClr w14:val="tx1"/>
            </w14:solidFill>
          </w14:textFill>
        </w:rPr>
      </w:pPr>
      <w:r>
        <w:rPr>
          <w:rFonts w:hint="eastAsia" w:eastAsiaTheme="majorEastAsia"/>
          <w:color w:val="000000" w:themeColor="text1"/>
          <w:sz w:val="24"/>
          <w14:textFill>
            <w14:solidFill>
              <w14:schemeClr w14:val="tx1"/>
            </w14:solidFill>
          </w14:textFill>
        </w:rPr>
        <w:t>针对降温过程中温度应力导致的混凝土开裂问题，中国建材总院于2010年在国内率先提出水化热抑制概念，将水化热抑制剂与高性能膨胀剂复合，2020年又构建了</w:t>
      </w:r>
      <w:r>
        <w:rPr>
          <w:rFonts w:eastAsiaTheme="majorEastAsia"/>
          <w:color w:val="000000" w:themeColor="text1"/>
          <w:sz w:val="24"/>
          <w14:textFill>
            <w14:solidFill>
              <w14:schemeClr w14:val="tx1"/>
            </w14:solidFill>
          </w14:textFill>
        </w:rPr>
        <w:t>集温度应力调控核心材料、水冷/风冷物理调控、信息采集评价与BIM技术一体化的混凝土温度应力调控成套技术。</w:t>
      </w:r>
      <w:r>
        <w:rPr>
          <w:rFonts w:hint="eastAsia" w:eastAsiaTheme="majorEastAsia"/>
          <w:color w:val="000000" w:themeColor="text1"/>
          <w:sz w:val="24"/>
          <w14:textFill>
            <w14:solidFill>
              <w14:schemeClr w14:val="tx1"/>
            </w14:solidFill>
          </w14:textFill>
        </w:rPr>
        <w:t>武汉三源特种建材有限责任公司、江苏苏博特新材料股份有限公司、天津豹鸣股份有限公司等行业龙头企业先后开发了氧化镁膨胀剂、钙镁复合膨胀剂，近几年膨胀型矿物掺合料也在市场占有一席之地。</w:t>
      </w:r>
    </w:p>
    <w:p w14:paraId="1FA997E1">
      <w:pPr>
        <w:shd w:val="clear" w:color="auto" w:fill="FFFFFF"/>
        <w:spacing w:line="360" w:lineRule="auto"/>
        <w:ind w:firstLine="482" w:firstLineChars="200"/>
        <w:rPr>
          <w:rFonts w:eastAsiaTheme="majorEastAsia"/>
          <w:b/>
          <w:bCs/>
          <w:color w:val="000000" w:themeColor="text1"/>
          <w:sz w:val="24"/>
          <w14:textFill>
            <w14:solidFill>
              <w14:schemeClr w14:val="tx1"/>
            </w14:solidFill>
          </w14:textFill>
        </w:rPr>
      </w:pPr>
      <w:r>
        <w:rPr>
          <w:rFonts w:hint="eastAsia" w:eastAsiaTheme="majorEastAsia"/>
          <w:b/>
          <w:bCs/>
          <w:color w:val="000000" w:themeColor="text1"/>
          <w:sz w:val="24"/>
          <w14:textFill>
            <w14:solidFill>
              <w14:schemeClr w14:val="tx1"/>
            </w14:solidFill>
          </w14:textFill>
        </w:rPr>
        <w:t>1.2</w:t>
      </w:r>
      <w:r>
        <w:rPr>
          <w:rFonts w:eastAsiaTheme="majorEastAsia"/>
          <w:b/>
          <w:bCs/>
          <w:color w:val="000000" w:themeColor="text1"/>
          <w:sz w:val="24"/>
          <w14:textFill>
            <w14:solidFill>
              <w14:schemeClr w14:val="tx1"/>
            </w14:solidFill>
          </w14:textFill>
        </w:rPr>
        <w:t>产品类型及技术特点</w:t>
      </w:r>
    </w:p>
    <w:p w14:paraId="483460D0">
      <w:pPr>
        <w:shd w:val="clear" w:color="auto" w:fill="FFFFFF"/>
        <w:spacing w:line="360" w:lineRule="auto"/>
        <w:ind w:firstLine="480"/>
        <w:rPr>
          <w:rFonts w:eastAsiaTheme="majorEastAsia"/>
          <w:color w:val="000000" w:themeColor="text1"/>
          <w:sz w:val="24"/>
          <w14:textFill>
            <w14:solidFill>
              <w14:schemeClr w14:val="tx1"/>
            </w14:solidFill>
          </w14:textFill>
        </w:rPr>
      </w:pPr>
      <w:r>
        <w:rPr>
          <w:rFonts w:eastAsiaTheme="majorEastAsia"/>
          <w:color w:val="000000" w:themeColor="text1"/>
          <w:sz w:val="24"/>
          <w14:textFill>
            <w14:solidFill>
              <w14:schemeClr w14:val="tx1"/>
            </w14:solidFill>
          </w14:textFill>
        </w:rPr>
        <w:t>混凝土膨胀剂产品种类齐全，</w:t>
      </w:r>
      <w:r>
        <w:rPr>
          <w:rFonts w:hint="eastAsia" w:eastAsiaTheme="majorEastAsia"/>
          <w:color w:val="000000" w:themeColor="text1"/>
          <w:sz w:val="24"/>
          <w14:textFill>
            <w14:solidFill>
              <w14:schemeClr w14:val="tx1"/>
            </w14:solidFill>
          </w14:textFill>
        </w:rPr>
        <w:t>依据</w:t>
      </w:r>
      <w:r>
        <w:rPr>
          <w:rFonts w:eastAsiaTheme="majorEastAsia"/>
          <w:color w:val="000000" w:themeColor="text1"/>
          <w:sz w:val="24"/>
          <w14:textFill>
            <w14:solidFill>
              <w14:schemeClr w14:val="tx1"/>
            </w14:solidFill>
          </w14:textFill>
        </w:rPr>
        <w:t>主要膨胀源和水化产物类型</w:t>
      </w:r>
      <w:r>
        <w:rPr>
          <w:rFonts w:hint="eastAsia" w:eastAsiaTheme="majorEastAsia"/>
          <w:color w:val="000000" w:themeColor="text1"/>
          <w:sz w:val="24"/>
          <w14:textFill>
            <w14:solidFill>
              <w14:schemeClr w14:val="tx1"/>
            </w14:solidFill>
          </w14:textFill>
        </w:rPr>
        <w:t>进行分类</w:t>
      </w:r>
      <w:r>
        <w:rPr>
          <w:rFonts w:eastAsiaTheme="majorEastAsia"/>
          <w:color w:val="000000" w:themeColor="text1"/>
          <w:sz w:val="24"/>
          <w14:textFill>
            <w14:solidFill>
              <w14:schemeClr w14:val="tx1"/>
            </w14:solidFill>
          </w14:textFill>
        </w:rPr>
        <w:t>，各类产品的技术特点及适用场景明确，适配不同工程需求</w:t>
      </w:r>
      <w:r>
        <w:rPr>
          <w:rFonts w:hint="eastAsia" w:eastAsiaTheme="majorEastAsia"/>
          <w:color w:val="000000" w:themeColor="text1"/>
          <w:sz w:val="24"/>
          <w14:textFill>
            <w14:solidFill>
              <w14:schemeClr w14:val="tx1"/>
            </w14:solidFill>
          </w14:textFill>
        </w:rPr>
        <w:t>。</w:t>
      </w:r>
    </w:p>
    <w:p w14:paraId="1C72EFBE">
      <w:pPr>
        <w:shd w:val="clear" w:color="auto" w:fill="FFFFFF"/>
        <w:spacing w:line="360" w:lineRule="auto"/>
        <w:ind w:firstLine="480"/>
        <w:rPr>
          <w:rFonts w:eastAsiaTheme="majorEastAsia"/>
          <w:bCs/>
          <w:color w:val="000000" w:themeColor="text1"/>
          <w:sz w:val="24"/>
          <w14:textFill>
            <w14:solidFill>
              <w14:schemeClr w14:val="tx1"/>
            </w14:solidFill>
          </w14:textFill>
        </w:rPr>
      </w:pPr>
      <w:r>
        <w:rPr>
          <w:rFonts w:hint="eastAsia" w:eastAsiaTheme="majorEastAsia"/>
          <w:bCs/>
          <w:color w:val="000000" w:themeColor="text1"/>
          <w:sz w:val="24"/>
          <w14:textFill>
            <w14:solidFill>
              <w14:schemeClr w14:val="tx1"/>
            </w14:solidFill>
          </w14:textFill>
        </w:rPr>
        <w:t>（1）</w:t>
      </w:r>
      <w:r>
        <w:rPr>
          <w:rFonts w:eastAsiaTheme="majorEastAsia"/>
          <w:bCs/>
          <w:color w:val="000000" w:themeColor="text1"/>
          <w:sz w:val="24"/>
          <w14:textFill>
            <w14:solidFill>
              <w14:schemeClr w14:val="tx1"/>
            </w14:solidFill>
          </w14:textFill>
        </w:rPr>
        <w:t>硫铝酸钙类膨胀剂</w:t>
      </w:r>
    </w:p>
    <w:p w14:paraId="0064203F">
      <w:pPr>
        <w:shd w:val="clear" w:color="auto" w:fill="FFFFFF"/>
        <w:spacing w:line="360" w:lineRule="auto"/>
        <w:ind w:firstLine="480"/>
        <w:rPr>
          <w:rFonts w:eastAsiaTheme="majorEastAsia"/>
          <w:color w:val="000000" w:themeColor="text1"/>
          <w:sz w:val="24"/>
          <w14:textFill>
            <w14:solidFill>
              <w14:schemeClr w14:val="tx1"/>
            </w14:solidFill>
          </w14:textFill>
        </w:rPr>
      </w:pPr>
      <w:r>
        <w:rPr>
          <w:rFonts w:eastAsiaTheme="majorEastAsia"/>
          <w:color w:val="000000" w:themeColor="text1"/>
          <w:sz w:val="24"/>
          <w14:textFill>
            <w14:solidFill>
              <w14:schemeClr w14:val="tx1"/>
            </w14:solidFill>
          </w14:textFill>
        </w:rPr>
        <w:t>以无水硫铝酸钙为主要膨胀组分，水化后生成钙矾石，通过钙矾石的体积膨胀实现混凝土收缩补偿，是目前我国市场上应用最广泛的膨胀剂类型</w:t>
      </w:r>
      <w:r>
        <w:rPr>
          <w:rFonts w:hint="eastAsia" w:eastAsiaTheme="majorEastAsia"/>
          <w:color w:val="000000" w:themeColor="text1"/>
          <w:sz w:val="24"/>
          <w14:textFill>
            <w14:solidFill>
              <w14:schemeClr w14:val="tx1"/>
            </w14:solidFill>
          </w14:textFill>
        </w:rPr>
        <w:t>。比较有代表性的产品是日本电气化学工业公司的CSA、我国的UEA、ZY、FFA、PNC、CSA等。采取固定SO</w:t>
      </w:r>
      <w:r>
        <w:rPr>
          <w:rFonts w:hint="eastAsia" w:eastAsiaTheme="majorEastAsia"/>
          <w:color w:val="000000" w:themeColor="text1"/>
          <w:sz w:val="24"/>
          <w:vertAlign w:val="subscript"/>
          <w14:textFill>
            <w14:solidFill>
              <w14:schemeClr w14:val="tx1"/>
            </w14:solidFill>
          </w14:textFill>
        </w:rPr>
        <w:t>3</w:t>
      </w:r>
      <w:r>
        <w:rPr>
          <w:rFonts w:hint="eastAsia" w:eastAsiaTheme="majorEastAsia"/>
          <w:color w:val="000000" w:themeColor="text1"/>
          <w:sz w:val="24"/>
          <w14:textFill>
            <w14:solidFill>
              <w14:schemeClr w14:val="tx1"/>
            </w14:solidFill>
          </w14:textFill>
        </w:rPr>
        <w:t>，变换Al</w:t>
      </w:r>
      <w:r>
        <w:rPr>
          <w:rFonts w:hint="eastAsia" w:eastAsiaTheme="majorEastAsia"/>
          <w:color w:val="000000" w:themeColor="text1"/>
          <w:sz w:val="24"/>
          <w:vertAlign w:val="subscript"/>
          <w14:textFill>
            <w14:solidFill>
              <w14:schemeClr w14:val="tx1"/>
            </w14:solidFill>
          </w14:textFill>
        </w:rPr>
        <w:t>2</w:t>
      </w:r>
      <w:r>
        <w:rPr>
          <w:rFonts w:hint="eastAsia" w:eastAsiaTheme="majorEastAsia"/>
          <w:color w:val="000000" w:themeColor="text1"/>
          <w:sz w:val="24"/>
          <w14:textFill>
            <w14:solidFill>
              <w14:schemeClr w14:val="tx1"/>
            </w14:solidFill>
          </w14:textFill>
        </w:rPr>
        <w:t>O</w:t>
      </w:r>
      <w:r>
        <w:rPr>
          <w:rFonts w:hint="eastAsia" w:eastAsiaTheme="majorEastAsia"/>
          <w:color w:val="000000" w:themeColor="text1"/>
          <w:sz w:val="24"/>
          <w:vertAlign w:val="subscript"/>
          <w14:textFill>
            <w14:solidFill>
              <w14:schemeClr w14:val="tx1"/>
            </w14:solidFill>
          </w14:textFill>
        </w:rPr>
        <w:t>3</w:t>
      </w:r>
      <w:r>
        <w:rPr>
          <w:rFonts w:hint="eastAsia" w:eastAsiaTheme="majorEastAsia"/>
          <w:color w:val="000000" w:themeColor="text1"/>
          <w:sz w:val="24"/>
          <w14:textFill>
            <w14:solidFill>
              <w14:schemeClr w14:val="tx1"/>
            </w14:solidFill>
          </w14:textFill>
        </w:rPr>
        <w:t>的来源，如铝酸钙（高铝水泥热料）、硫铝酸钙（硫铝水泥熟料）、明矾石、含铝矿渣、煅烧矾土、高铝煤矸石、高铝粉煤灰、煅烧高岭土、地开石等，各生产厂家据比制定不同的生产配方，形成不同品牌的膨胀剂。由于该膨胀剂水化产物存在32个结晶水，故其对水养护要求较高，因此冬季施工或封闭条件下施工场景（如钢管混凝土）不太适用，该类产品执行现行国家标准GB/T 23439-2017《混凝土膨胀剂》。</w:t>
      </w:r>
    </w:p>
    <w:p w14:paraId="1C35CAA9">
      <w:pPr>
        <w:shd w:val="clear" w:color="auto" w:fill="FFFFFF"/>
        <w:spacing w:line="360" w:lineRule="auto"/>
        <w:ind w:firstLine="480"/>
        <w:rPr>
          <w:rFonts w:eastAsiaTheme="majorEastAsia"/>
          <w:bCs/>
          <w:color w:val="000000" w:themeColor="text1"/>
          <w:sz w:val="24"/>
          <w14:textFill>
            <w14:solidFill>
              <w14:schemeClr w14:val="tx1"/>
            </w14:solidFill>
          </w14:textFill>
        </w:rPr>
      </w:pPr>
      <w:r>
        <w:rPr>
          <w:rFonts w:hint="eastAsia" w:eastAsiaTheme="majorEastAsia"/>
          <w:bCs/>
          <w:color w:val="000000" w:themeColor="text1"/>
          <w:sz w:val="24"/>
          <w14:textFill>
            <w14:solidFill>
              <w14:schemeClr w14:val="tx1"/>
            </w14:solidFill>
          </w14:textFill>
        </w:rPr>
        <w:t>（2）</w:t>
      </w:r>
      <w:r>
        <w:rPr>
          <w:rFonts w:eastAsiaTheme="majorEastAsia"/>
          <w:bCs/>
          <w:color w:val="000000" w:themeColor="text1"/>
          <w:sz w:val="24"/>
          <w14:textFill>
            <w14:solidFill>
              <w14:schemeClr w14:val="tx1"/>
            </w14:solidFill>
          </w14:textFill>
        </w:rPr>
        <w:t xml:space="preserve"> 氧化钙类膨胀剂</w:t>
      </w:r>
    </w:p>
    <w:p w14:paraId="56AC6A98">
      <w:pPr>
        <w:shd w:val="clear" w:color="auto" w:fill="FFFFFF"/>
        <w:spacing w:line="360" w:lineRule="auto"/>
        <w:ind w:firstLine="480"/>
        <w:rPr>
          <w:rFonts w:eastAsiaTheme="majorEastAsia"/>
          <w:color w:val="000000" w:themeColor="text1"/>
          <w:sz w:val="24"/>
          <w14:textFill>
            <w14:solidFill>
              <w14:schemeClr w14:val="tx1"/>
            </w14:solidFill>
          </w14:textFill>
        </w:rPr>
      </w:pPr>
      <w:r>
        <w:rPr>
          <w:rFonts w:eastAsiaTheme="majorEastAsia"/>
          <w:color w:val="000000" w:themeColor="text1"/>
          <w:sz w:val="24"/>
          <w14:textFill>
            <w14:solidFill>
              <w14:schemeClr w14:val="tx1"/>
            </w14:solidFill>
          </w14:textFill>
        </w:rPr>
        <w:t>以氧化钙为主要膨胀组分，水化生成氢氧化钙，体积膨胀效应明显，后期膨胀性能突出，可有效补偿混凝土长期干缩。</w:t>
      </w:r>
      <w:r>
        <w:rPr>
          <w:rFonts w:hint="eastAsia" w:eastAsiaTheme="majorEastAsia"/>
          <w:color w:val="000000" w:themeColor="text1"/>
          <w:sz w:val="24"/>
          <w14:textFill>
            <w14:solidFill>
              <w14:schemeClr w14:val="tx1"/>
            </w14:solidFill>
          </w14:textFill>
        </w:rPr>
        <w:t>比较有代表性的产品是日本小野田水泥公司的CA。我国也在20世纪60年代和80年代分别研制成功几种CaO膨胀剂，如用掺过烧CaO膨胀剂生产的浇筑水泥、包裹法生产的脂膜石灰以及过烧、包裹相结合的复合膨胀剂（CEA）的熟料等。该生产技术和应用要求严格，现在市场上没有这类产品。但是从节约高品质铝矾土和优质石膏等方面考虑，CaO类混凝土膨胀剂应该是一个发展方向。</w:t>
      </w:r>
    </w:p>
    <w:p w14:paraId="2F823019">
      <w:pPr>
        <w:shd w:val="clear" w:color="auto" w:fill="FFFFFF"/>
        <w:spacing w:line="360" w:lineRule="auto"/>
        <w:ind w:firstLine="480"/>
        <w:rPr>
          <w:rFonts w:eastAsiaTheme="majorEastAsia"/>
          <w:color w:val="000000" w:themeColor="text1"/>
          <w:sz w:val="24"/>
          <w14:textFill>
            <w14:solidFill>
              <w14:schemeClr w14:val="tx1"/>
            </w14:solidFill>
          </w14:textFill>
        </w:rPr>
      </w:pPr>
      <w:r>
        <w:rPr>
          <w:rFonts w:hint="eastAsia" w:eastAsiaTheme="majorEastAsia"/>
          <w:color w:val="000000" w:themeColor="text1"/>
          <w:sz w:val="24"/>
          <w14:textFill>
            <w14:solidFill>
              <w14:schemeClr w14:val="tx1"/>
            </w14:solidFill>
          </w14:textFill>
        </w:rPr>
        <w:t>（3）硫铝酸钙-氧化钙类混凝土膨胀剂</w:t>
      </w:r>
    </w:p>
    <w:p w14:paraId="307BF19F">
      <w:pPr>
        <w:shd w:val="clear" w:color="auto" w:fill="FFFFFF"/>
        <w:spacing w:line="360" w:lineRule="auto"/>
        <w:ind w:firstLine="480"/>
        <w:rPr>
          <w:rFonts w:eastAsiaTheme="majorEastAsia"/>
          <w:color w:val="000000" w:themeColor="text1"/>
          <w:sz w:val="24"/>
          <w14:textFill>
            <w14:solidFill>
              <w14:schemeClr w14:val="tx1"/>
            </w14:solidFill>
          </w14:textFill>
        </w:rPr>
      </w:pPr>
      <w:bookmarkStart w:id="0" w:name="OLE_LINK1"/>
      <w:r>
        <w:rPr>
          <w:rFonts w:hint="eastAsia" w:eastAsiaTheme="majorEastAsia"/>
          <w:color w:val="000000" w:themeColor="text1"/>
          <w:sz w:val="24"/>
          <w14:textFill>
            <w14:solidFill>
              <w14:schemeClr w14:val="tx1"/>
            </w14:solidFill>
          </w14:textFill>
        </w:rPr>
        <w:t>以</w:t>
      </w:r>
      <w:r>
        <w:rPr>
          <w:rFonts w:eastAsiaTheme="majorEastAsia"/>
          <w:color w:val="000000" w:themeColor="text1"/>
          <w:sz w:val="24"/>
          <w14:textFill>
            <w14:solidFill>
              <w14:schemeClr w14:val="tx1"/>
            </w14:solidFill>
          </w14:textFill>
        </w:rPr>
        <w:t>无水硫铝酸钙</w:t>
      </w:r>
      <w:r>
        <w:rPr>
          <w:rFonts w:hint="eastAsia" w:eastAsiaTheme="majorEastAsia"/>
          <w:color w:val="000000" w:themeColor="text1"/>
          <w:sz w:val="24"/>
          <w14:textFill>
            <w14:solidFill>
              <w14:schemeClr w14:val="tx1"/>
            </w14:solidFill>
          </w14:textFill>
        </w:rPr>
        <w:t>、</w:t>
      </w:r>
      <w:r>
        <w:rPr>
          <w:rFonts w:eastAsiaTheme="majorEastAsia"/>
          <w:color w:val="000000" w:themeColor="text1"/>
          <w:sz w:val="24"/>
          <w14:textFill>
            <w14:solidFill>
              <w14:schemeClr w14:val="tx1"/>
            </w14:solidFill>
          </w14:textFill>
        </w:rPr>
        <w:t>氧化钙为主要膨胀组分</w:t>
      </w:r>
      <w:r>
        <w:rPr>
          <w:rFonts w:hint="eastAsia" w:eastAsiaTheme="majorEastAsia"/>
          <w:color w:val="000000" w:themeColor="text1"/>
          <w:sz w:val="24"/>
          <w14:textFill>
            <w14:solidFill>
              <w14:schemeClr w14:val="tx1"/>
            </w14:solidFill>
          </w14:textFill>
        </w:rPr>
        <w:t>，水化生成钙矾石与氢氧化钙，膨胀能较大，膨胀速率快，具有绝湿膨胀特性。</w:t>
      </w:r>
      <w:bookmarkEnd w:id="0"/>
      <w:r>
        <w:rPr>
          <w:rFonts w:hint="eastAsia" w:eastAsiaTheme="majorEastAsia"/>
          <w:color w:val="000000" w:themeColor="text1"/>
          <w:sz w:val="24"/>
          <w14:textFill>
            <w14:solidFill>
              <w14:schemeClr w14:val="tx1"/>
            </w14:solidFill>
          </w14:textFill>
        </w:rPr>
        <w:t>有两种生产技术途径，一是生产专用的CaO熟料，再与硫铝酸钙类膨胀剂在粉磨时复合，如与明矾石、硬石膏复合的CEA复合膨胀剂；另一种方法是在熟料烧成中，直接烧制成含有CaO和能够水化形成钙矾石的矿物，如无水硫铝酸钙和硬石膏，通过技术手段控制CaO的结晶程度和有效含量，如HCSA高性能混凝土膨胀剂。该膨胀剂兼具氧化钙类和硫铝酸钙类膨胀的特点，通过技术措施较易控制膨胀速率，是可调控膨胀速率的高性能膨胀剂发展方向之一。该类产品执行现行国家标准GB/T 23439-2017《混凝土膨胀剂》。</w:t>
      </w:r>
    </w:p>
    <w:p w14:paraId="1DF11FA1">
      <w:pPr>
        <w:shd w:val="clear" w:color="auto" w:fill="FFFFFF"/>
        <w:spacing w:line="360" w:lineRule="auto"/>
        <w:ind w:firstLine="480"/>
        <w:rPr>
          <w:rFonts w:eastAsiaTheme="majorEastAsia"/>
          <w:bCs/>
          <w:color w:val="000000" w:themeColor="text1"/>
          <w:sz w:val="24"/>
          <w14:textFill>
            <w14:solidFill>
              <w14:schemeClr w14:val="tx1"/>
            </w14:solidFill>
          </w14:textFill>
        </w:rPr>
      </w:pPr>
      <w:r>
        <w:rPr>
          <w:rFonts w:hint="eastAsia" w:eastAsiaTheme="majorEastAsia"/>
          <w:bCs/>
          <w:color w:val="000000" w:themeColor="text1"/>
          <w:sz w:val="24"/>
          <w14:textFill>
            <w14:solidFill>
              <w14:schemeClr w14:val="tx1"/>
            </w14:solidFill>
          </w14:textFill>
        </w:rPr>
        <w:t>（4）</w:t>
      </w:r>
      <w:r>
        <w:rPr>
          <w:rFonts w:eastAsiaTheme="majorEastAsia"/>
          <w:bCs/>
          <w:color w:val="000000" w:themeColor="text1"/>
          <w:sz w:val="24"/>
          <w14:textFill>
            <w14:solidFill>
              <w14:schemeClr w14:val="tx1"/>
            </w14:solidFill>
          </w14:textFill>
        </w:rPr>
        <w:t>氧化镁类膨胀剂</w:t>
      </w:r>
    </w:p>
    <w:p w14:paraId="4657262D">
      <w:pPr>
        <w:shd w:val="clear" w:color="auto" w:fill="FFFFFF"/>
        <w:spacing w:line="360" w:lineRule="auto"/>
        <w:ind w:firstLine="480"/>
        <w:rPr>
          <w:rFonts w:eastAsiaTheme="majorEastAsia"/>
          <w:color w:val="000000" w:themeColor="text1"/>
          <w:sz w:val="24"/>
          <w14:textFill>
            <w14:solidFill>
              <w14:schemeClr w14:val="tx1"/>
            </w14:solidFill>
          </w14:textFill>
        </w:rPr>
      </w:pPr>
      <w:r>
        <w:rPr>
          <w:rFonts w:eastAsiaTheme="majorEastAsia"/>
          <w:color w:val="000000" w:themeColor="text1"/>
          <w:sz w:val="24"/>
          <w14:textFill>
            <w14:solidFill>
              <w14:schemeClr w14:val="tx1"/>
            </w14:solidFill>
          </w14:textFill>
        </w:rPr>
        <w:t>以氧化镁为主要膨胀组分，水化生成氢氧化镁</w:t>
      </w:r>
      <w:r>
        <w:rPr>
          <w:rFonts w:hint="eastAsia" w:eastAsiaTheme="majorEastAsia"/>
          <w:color w:val="000000" w:themeColor="text1"/>
          <w:sz w:val="24"/>
          <w14:textFill>
            <w14:solidFill>
              <w14:schemeClr w14:val="tx1"/>
            </w14:solidFill>
          </w14:textFill>
        </w:rPr>
        <w:t>，其反应速率受煅烧温度和颗粒细度的影响。比较有代表性的产品是FQY、BM和HME等。该类产品通过控制菱镁矿等含镁原料的煅烧温度和时间，制备具有特定活性的轻烧氧化镁，再经粉磨加工而成。根据不同的混凝土强度等级、结构尺寸、浇筑温度、服役环境等，设计不同掺量和活性的氧化镁膨胀剂，使其释放的膨胀能和膨胀发挥时间与混凝土结构物的收缩相匹配，从而有效补偿混凝土由于内部温降阶段产生的温度收缩以及干燥收缩，可实现不同工况条件下产品膨胀和混凝土收缩全周期的协调补偿。工程应用过程中，该类产品要选择正确的型号，并精确控制掺量，避免延迟性膨胀。该类产品目前执行现行团体标准CBMF 19-2017《混凝土用氧化镁膨胀剂》。</w:t>
      </w:r>
    </w:p>
    <w:p w14:paraId="18605927">
      <w:pPr>
        <w:shd w:val="clear" w:color="auto" w:fill="FFFFFF"/>
        <w:spacing w:line="360" w:lineRule="auto"/>
        <w:ind w:firstLine="480"/>
        <w:rPr>
          <w:rFonts w:eastAsiaTheme="majorEastAsia"/>
          <w:bCs/>
          <w:color w:val="000000" w:themeColor="text1"/>
          <w:sz w:val="24"/>
          <w14:textFill>
            <w14:solidFill>
              <w14:schemeClr w14:val="tx1"/>
            </w14:solidFill>
          </w14:textFill>
        </w:rPr>
      </w:pPr>
      <w:r>
        <w:rPr>
          <w:rFonts w:hint="eastAsia" w:eastAsiaTheme="majorEastAsia"/>
          <w:bCs/>
          <w:color w:val="000000" w:themeColor="text1"/>
          <w:sz w:val="24"/>
          <w14:textFill>
            <w14:solidFill>
              <w14:schemeClr w14:val="tx1"/>
            </w14:solidFill>
          </w14:textFill>
        </w:rPr>
        <w:t>（5）钙镁复合</w:t>
      </w:r>
      <w:r>
        <w:rPr>
          <w:rFonts w:eastAsiaTheme="majorEastAsia"/>
          <w:bCs/>
          <w:color w:val="000000" w:themeColor="text1"/>
          <w:sz w:val="24"/>
          <w14:textFill>
            <w14:solidFill>
              <w14:schemeClr w14:val="tx1"/>
            </w14:solidFill>
          </w14:textFill>
        </w:rPr>
        <w:t>膨胀剂</w:t>
      </w:r>
    </w:p>
    <w:p w14:paraId="4348E79D">
      <w:pPr>
        <w:shd w:val="clear" w:color="auto" w:fill="FFFFFF"/>
        <w:spacing w:line="360" w:lineRule="auto"/>
        <w:ind w:firstLine="480"/>
        <w:rPr>
          <w:rFonts w:eastAsiaTheme="majorEastAsia"/>
          <w:color w:val="000000" w:themeColor="text1"/>
          <w:sz w:val="24"/>
          <w14:textFill>
            <w14:solidFill>
              <w14:schemeClr w14:val="tx1"/>
            </w14:solidFill>
          </w14:textFill>
        </w:rPr>
      </w:pPr>
      <w:r>
        <w:rPr>
          <w:rFonts w:hint="eastAsia" w:eastAsiaTheme="majorEastAsia"/>
          <w:color w:val="000000" w:themeColor="text1"/>
          <w:sz w:val="24"/>
          <w14:textFill>
            <w14:solidFill>
              <w14:schemeClr w14:val="tx1"/>
            </w14:solidFill>
          </w14:textFill>
        </w:rPr>
        <w:t>以氧化钙、氧化镁为主要</w:t>
      </w:r>
      <w:r>
        <w:rPr>
          <w:rFonts w:eastAsiaTheme="majorEastAsia"/>
          <w:color w:val="000000" w:themeColor="text1"/>
          <w:sz w:val="24"/>
          <w14:textFill>
            <w14:solidFill>
              <w14:schemeClr w14:val="tx1"/>
            </w14:solidFill>
          </w14:textFill>
        </w:rPr>
        <w:t>膨胀组分</w:t>
      </w:r>
      <w:r>
        <w:rPr>
          <w:rFonts w:hint="eastAsia" w:eastAsiaTheme="majorEastAsia"/>
          <w:color w:val="000000" w:themeColor="text1"/>
          <w:sz w:val="24"/>
          <w14:textFill>
            <w14:solidFill>
              <w14:schemeClr w14:val="tx1"/>
            </w14:solidFill>
          </w14:textFill>
        </w:rPr>
        <w:t>，水化生成氢氧化钙与氢氧化镁，兼具氧化钙膨胀剂与氧化镁膨胀剂双重特性，</w:t>
      </w:r>
      <w:r>
        <w:rPr>
          <w:rFonts w:eastAsiaTheme="majorEastAsia"/>
          <w:color w:val="000000" w:themeColor="text1"/>
          <w:sz w:val="24"/>
          <w14:textFill>
            <w14:solidFill>
              <w14:schemeClr w14:val="tx1"/>
            </w14:solidFill>
          </w14:textFill>
        </w:rPr>
        <w:t>实现膨胀性能协同优化，可根据工程需求调控膨胀速率和膨胀量，适配不同工况条件。</w:t>
      </w:r>
      <w:r>
        <w:rPr>
          <w:rFonts w:hint="eastAsia" w:eastAsiaTheme="majorEastAsia"/>
          <w:color w:val="000000" w:themeColor="text1"/>
          <w:sz w:val="24"/>
          <w14:textFill>
            <w14:solidFill>
              <w14:schemeClr w14:val="tx1"/>
            </w14:solidFill>
          </w14:textFill>
        </w:rPr>
        <w:t>比较有代表性的产品是HME、FQY与BM等。该产品可由轻烧氧化镁和氧化钙类或硫铝酸钙-氧化钙类膨胀剂按一定比例粉磨制成。该类产品执行现行团体标准</w:t>
      </w:r>
      <w:bookmarkStart w:id="1" w:name="OLE_LINK6"/>
      <w:r>
        <w:rPr>
          <w:rFonts w:hint="eastAsia" w:eastAsiaTheme="majorEastAsia"/>
          <w:color w:val="000000" w:themeColor="text1"/>
          <w:sz w:val="24"/>
          <w14:textFill>
            <w14:solidFill>
              <w14:schemeClr w14:val="tx1"/>
            </w14:solidFill>
          </w14:textFill>
        </w:rPr>
        <w:t>T/CECS 10082-2020《混凝土用钙镁复合膨胀剂》。</w:t>
      </w:r>
    </w:p>
    <w:bookmarkEnd w:id="1"/>
    <w:p w14:paraId="04522D25">
      <w:pPr>
        <w:shd w:val="clear" w:color="auto" w:fill="FFFFFF"/>
        <w:spacing w:line="360" w:lineRule="auto"/>
        <w:ind w:firstLine="482" w:firstLineChars="200"/>
        <w:rPr>
          <w:rFonts w:eastAsiaTheme="majorEastAsia"/>
          <w:b/>
          <w:bCs/>
          <w:color w:val="000000" w:themeColor="text1"/>
          <w:sz w:val="24"/>
          <w14:textFill>
            <w14:solidFill>
              <w14:schemeClr w14:val="tx1"/>
            </w14:solidFill>
          </w14:textFill>
        </w:rPr>
      </w:pPr>
      <w:r>
        <w:rPr>
          <w:rFonts w:hint="eastAsia" w:eastAsiaTheme="majorEastAsia"/>
          <w:b/>
          <w:bCs/>
          <w:color w:val="000000" w:themeColor="text1"/>
          <w:sz w:val="24"/>
          <w14:textFill>
            <w14:solidFill>
              <w14:schemeClr w14:val="tx1"/>
            </w14:solidFill>
          </w14:textFill>
        </w:rPr>
        <w:t>1.3 补偿收缩混凝土</w:t>
      </w:r>
    </w:p>
    <w:p w14:paraId="49C4B7EB">
      <w:pPr>
        <w:shd w:val="clear" w:color="auto" w:fill="FFFFFF"/>
        <w:spacing w:line="360" w:lineRule="auto"/>
        <w:ind w:firstLine="480" w:firstLineChars="200"/>
        <w:rPr>
          <w:rFonts w:eastAsiaTheme="majorEastAsia"/>
          <w:color w:val="000000" w:themeColor="text1"/>
          <w:sz w:val="24"/>
          <w14:textFill>
            <w14:solidFill>
              <w14:schemeClr w14:val="tx1"/>
            </w14:solidFill>
          </w14:textFill>
        </w:rPr>
      </w:pPr>
      <w:r>
        <w:rPr>
          <w:rFonts w:hint="eastAsia" w:eastAsiaTheme="majorEastAsia"/>
          <w:color w:val="000000" w:themeColor="text1"/>
          <w:sz w:val="24"/>
          <w14:textFill>
            <w14:solidFill>
              <w14:schemeClr w14:val="tx1"/>
            </w14:solidFill>
          </w14:textFill>
        </w:rPr>
        <w:t>膨胀剂在水化过程中生成的膨胀性水化产物（钙矾石、氢氧化钙、氢氧化镁）受在临位混凝土和钢筋的约束，在混凝土内部储存在一定的预压应力，可以有效补偿混凝土的干燥收缩与温度应力收缩，主要用于混凝土结构自防水、超长结构无缝施工与大体积混凝土裂缝控制。</w:t>
      </w:r>
    </w:p>
    <w:p w14:paraId="492D3F42">
      <w:pPr>
        <w:shd w:val="clear" w:color="auto" w:fill="FFFFFF"/>
        <w:spacing w:line="360" w:lineRule="auto"/>
        <w:ind w:firstLine="480" w:firstLineChars="200"/>
        <w:rPr>
          <w:rFonts w:eastAsiaTheme="majorEastAsia"/>
          <w:color w:val="000000" w:themeColor="text1"/>
          <w:sz w:val="24"/>
          <w14:textFill>
            <w14:solidFill>
              <w14:schemeClr w14:val="tx1"/>
            </w14:solidFill>
          </w14:textFill>
        </w:rPr>
      </w:pPr>
      <w:r>
        <w:rPr>
          <w:rFonts w:hint="eastAsia" w:eastAsiaTheme="majorEastAsia"/>
          <w:color w:val="000000" w:themeColor="text1"/>
          <w:sz w:val="24"/>
          <w14:textFill>
            <w14:solidFill>
              <w14:schemeClr w14:val="tx1"/>
            </w14:solidFill>
          </w14:textFill>
        </w:rPr>
        <w:t>1960年开始，中国建材总院采用膨胀水泥制备补偿收缩混凝土，并将其应用于水池、地下室、后浇缝及渗漏修补等。1980年后，采用明矾石膨胀水泥补偿收缩混凝土修建了一座600m</w:t>
      </w:r>
      <w:r>
        <w:rPr>
          <w:rFonts w:hint="eastAsia" w:eastAsiaTheme="majorEastAsia"/>
          <w:color w:val="000000" w:themeColor="text1"/>
          <w:sz w:val="24"/>
          <w:vertAlign w:val="superscript"/>
          <w14:textFill>
            <w14:solidFill>
              <w14:schemeClr w14:val="tx1"/>
            </w14:solidFill>
          </w14:textFill>
        </w:rPr>
        <w:t>2</w:t>
      </w:r>
      <w:r>
        <w:rPr>
          <w:rFonts w:hint="eastAsia" w:eastAsiaTheme="majorEastAsia"/>
          <w:color w:val="000000" w:themeColor="text1"/>
          <w:sz w:val="24"/>
          <w14:textFill>
            <w14:solidFill>
              <w14:schemeClr w14:val="tx1"/>
            </w14:solidFill>
          </w14:textFill>
        </w:rPr>
        <w:t>地下人防工程，历经20年无渗漏。而后，在毛主席纪念堂（100m×100m）、北京饭店做后浇带回填混凝土，在天津地铁西站做结构自防水，这些工程实践开创了我国补偿收缩混凝土应用之先河，对其后期发展起到重要推进作用。</w:t>
      </w:r>
    </w:p>
    <w:p w14:paraId="4992CDBD">
      <w:pPr>
        <w:shd w:val="clear" w:color="auto" w:fill="FFFFFF"/>
        <w:spacing w:line="360" w:lineRule="auto"/>
        <w:ind w:firstLine="480" w:firstLineChars="200"/>
        <w:rPr>
          <w:rFonts w:eastAsiaTheme="majorEastAsia"/>
          <w:color w:val="000000" w:themeColor="text1"/>
          <w:sz w:val="24"/>
          <w14:textFill>
            <w14:solidFill>
              <w14:schemeClr w14:val="tx1"/>
            </w14:solidFill>
          </w14:textFill>
        </w:rPr>
      </w:pPr>
      <w:r>
        <w:rPr>
          <w:rFonts w:hint="eastAsia" w:eastAsiaTheme="majorEastAsia"/>
          <w:color w:val="000000" w:themeColor="text1"/>
          <w:sz w:val="24"/>
          <w14:textFill>
            <w14:solidFill>
              <w14:schemeClr w14:val="tx1"/>
            </w14:solidFill>
          </w14:textFill>
        </w:rPr>
        <w:t>借鉴日本发展膨胀混凝土经验，中国建材总院从1985年后，将补偿收缩混凝土配制由膨胀水泥转为膨胀剂。UEA补偿收缩混凝土在亚运会工程、北京十三陵水下九龙宫和天津市第一人民医院地下室等一批大型工程应用成功，奠定了补偿收缩混凝土三大应用技术。首先提出结构自防水是根本、抗裂比抗渗更重要的概念，开发补偿收缩混凝土结构自防水技术，1992年建设部把《UEA补偿收缩混凝土防水工法》列为国家级工法。其次，根据“抗”、“放”结合的补偿收缩混凝土原理，以膨胀加强带替代后浇带，“UEA补偿收缩砼超长结构施工应用技术”项目荣获1997年度建材行业部级科技进步奖三等奖。最后，提出采用膨胀剂、掺合料（矿渣和粉煤灰）和缓凝减水剂“三掺”方法的大体积混凝土裂渗控制技术。2008年，膨胀剂成功应用于北京奥运会国家体育场地下防水主体结构、国家游泳中心“水立方”、首都机场3号航站楼及北京南站等，为北京奥运会场馆及附属工程建设做出应有的贡献。2018年，水化热抑制剂与高性能膨胀剂复合制备的补偿收缩混凝土与</w:t>
      </w:r>
      <w:r>
        <w:rPr>
          <w:rFonts w:hint="eastAsia" w:asciiTheme="minorEastAsia" w:hAnsiTheme="minorEastAsia" w:eastAsiaTheme="minorEastAsia"/>
          <w:color w:val="000000" w:themeColor="text1"/>
          <w:sz w:val="24"/>
          <w14:textFill>
            <w14:solidFill>
              <w14:schemeClr w14:val="tx1"/>
            </w14:solidFill>
          </w14:textFill>
        </w:rPr>
        <w:t>“</w:t>
      </w:r>
      <w:r>
        <w:rPr>
          <w:rFonts w:asciiTheme="minorEastAsia" w:hAnsiTheme="minorEastAsia" w:eastAsiaTheme="minorEastAsia"/>
          <w:color w:val="000000" w:themeColor="text1"/>
          <w:sz w:val="24"/>
          <w14:textFill>
            <w14:solidFill>
              <w14:schemeClr w14:val="tx1"/>
            </w14:solidFill>
          </w14:textFill>
        </w:rPr>
        <w:t>互联网+”检</w:t>
      </w:r>
      <w:r>
        <w:rPr>
          <w:rFonts w:hint="eastAsia" w:eastAsiaTheme="majorEastAsia"/>
          <w:color w:val="000000" w:themeColor="text1"/>
          <w:sz w:val="24"/>
          <w14:textFill>
            <w14:solidFill>
              <w14:schemeClr w14:val="tx1"/>
            </w14:solidFill>
          </w14:textFill>
        </w:rPr>
        <w:t>测仪在首都新机场试用，取得较好的抗裂效果，积累了宝贵经验。目前，我国膨胀剂产量与用量稳居世界之首。高性能混凝土膨胀剂应用成套技术为有效解决现代混凝土非载荷变形开裂世界性难题提供关键材料与技术支撑，极大推动我国高性能混凝土和建筑、建工行业的技术进步，有助于提升了高铁、核电等战略新兴产业建设水平与国际竞争力。</w:t>
      </w:r>
    </w:p>
    <w:p w14:paraId="7B851F58">
      <w:pPr>
        <w:shd w:val="clear" w:color="auto" w:fill="FFFFFF"/>
        <w:spacing w:line="360" w:lineRule="auto"/>
        <w:ind w:firstLine="482" w:firstLineChars="200"/>
        <w:rPr>
          <w:rFonts w:eastAsiaTheme="majorEastAsia"/>
          <w:b/>
          <w:bCs/>
          <w:color w:val="000000" w:themeColor="text1"/>
          <w:sz w:val="24"/>
          <w14:textFill>
            <w14:solidFill>
              <w14:schemeClr w14:val="tx1"/>
            </w14:solidFill>
          </w14:textFill>
        </w:rPr>
      </w:pPr>
      <w:r>
        <w:rPr>
          <w:rFonts w:hint="eastAsia" w:eastAsiaTheme="majorEastAsia"/>
          <w:b/>
          <w:bCs/>
          <w:color w:val="000000" w:themeColor="text1"/>
          <w:sz w:val="24"/>
          <w14:textFill>
            <w14:solidFill>
              <w14:schemeClr w14:val="tx1"/>
            </w14:solidFill>
          </w14:textFill>
        </w:rPr>
        <w:t>1.4 混凝土膨胀剂工程应用</w:t>
      </w:r>
    </w:p>
    <w:p w14:paraId="2A36EF0F">
      <w:pPr>
        <w:shd w:val="clear" w:color="auto" w:fill="FFFFFF"/>
        <w:spacing w:line="360" w:lineRule="auto"/>
        <w:ind w:firstLine="480" w:firstLineChars="200"/>
        <w:rPr>
          <w:rFonts w:eastAsiaTheme="majorEastAsia"/>
          <w:color w:val="000000" w:themeColor="text1"/>
          <w:sz w:val="24"/>
          <w14:textFill>
            <w14:solidFill>
              <w14:schemeClr w14:val="tx1"/>
            </w14:solidFill>
          </w14:textFill>
        </w:rPr>
      </w:pPr>
      <w:r>
        <w:rPr>
          <w:rFonts w:eastAsiaTheme="majorEastAsia"/>
          <w:color w:val="000000" w:themeColor="text1"/>
          <w:sz w:val="24"/>
          <w14:textFill>
            <w14:solidFill>
              <w14:schemeClr w14:val="tx1"/>
            </w14:solidFill>
          </w14:textFill>
        </w:rPr>
        <w:t>随着我国基础设施建设的持续推进，混凝土膨胀剂的应用范围不断扩大，已广泛应用于以下领域：</w:t>
      </w:r>
    </w:p>
    <w:p w14:paraId="2D244A79">
      <w:pPr>
        <w:shd w:val="clear" w:color="auto" w:fill="FFFFFF"/>
        <w:spacing w:line="360" w:lineRule="auto"/>
        <w:ind w:firstLine="480" w:firstLineChars="200"/>
        <w:rPr>
          <w:rFonts w:eastAsiaTheme="majorEastAsia"/>
          <w:color w:val="000000" w:themeColor="text1"/>
          <w:sz w:val="24"/>
          <w14:textFill>
            <w14:solidFill>
              <w14:schemeClr w14:val="tx1"/>
            </w14:solidFill>
          </w14:textFill>
        </w:rPr>
      </w:pPr>
      <w:r>
        <w:rPr>
          <w:rFonts w:hint="eastAsia" w:eastAsiaTheme="majorEastAsia"/>
          <w:color w:val="000000" w:themeColor="text1"/>
          <w:sz w:val="24"/>
          <w14:textFill>
            <w14:solidFill>
              <w14:schemeClr w14:val="tx1"/>
            </w14:solidFill>
          </w14:textFill>
        </w:rPr>
        <w:t>（1）</w:t>
      </w:r>
      <w:r>
        <w:rPr>
          <w:rFonts w:eastAsiaTheme="majorEastAsia"/>
          <w:color w:val="000000" w:themeColor="text1"/>
          <w:sz w:val="24"/>
          <w14:textFill>
            <w14:solidFill>
              <w14:schemeClr w14:val="tx1"/>
            </w14:solidFill>
          </w14:textFill>
        </w:rPr>
        <w:t>地下工程：地下室底板、墙体、顶板、地下连续墙、隧道衬砌等，利用其收缩补偿性能，减少地下工程渗漏隐患，目前地下工程是膨胀剂最主要的应用领域，占总用量的40%以上。</w:t>
      </w:r>
    </w:p>
    <w:p w14:paraId="5EBEFD8C">
      <w:pPr>
        <w:shd w:val="clear" w:color="auto" w:fill="FFFFFF"/>
        <w:spacing w:line="360" w:lineRule="auto"/>
        <w:ind w:firstLine="480" w:firstLineChars="200"/>
        <w:rPr>
          <w:rFonts w:eastAsiaTheme="majorEastAsia"/>
          <w:color w:val="000000" w:themeColor="text1"/>
          <w:sz w:val="24"/>
          <w14:textFill>
            <w14:solidFill>
              <w14:schemeClr w14:val="tx1"/>
            </w14:solidFill>
          </w14:textFill>
        </w:rPr>
      </w:pPr>
      <w:r>
        <w:rPr>
          <w:rFonts w:hint="eastAsia" w:eastAsiaTheme="majorEastAsia"/>
          <w:color w:val="000000" w:themeColor="text1"/>
          <w:sz w:val="24"/>
          <w14:textFill>
            <w14:solidFill>
              <w14:schemeClr w14:val="tx1"/>
            </w14:solidFill>
          </w14:textFill>
        </w:rPr>
        <w:t>（2）</w:t>
      </w:r>
      <w:r>
        <w:rPr>
          <w:rFonts w:eastAsiaTheme="majorEastAsia"/>
          <w:color w:val="000000" w:themeColor="text1"/>
          <w:sz w:val="24"/>
          <w14:textFill>
            <w14:solidFill>
              <w14:schemeClr w14:val="tx1"/>
            </w14:solidFill>
          </w14:textFill>
        </w:rPr>
        <w:t>工业与民用建筑：高层建筑筏板基础、梁柱节点、屋面防水、墙体砌筑砂浆等，解决建筑结构收缩开裂问题，提升建筑防水性能和结构稳定性；预制构件生产中，膨胀剂的应用可减少构件收缩裂缝，提高构件合格率。</w:t>
      </w:r>
    </w:p>
    <w:p w14:paraId="4F70723B">
      <w:pPr>
        <w:shd w:val="clear" w:color="auto" w:fill="FFFFFF"/>
        <w:spacing w:line="360" w:lineRule="auto"/>
        <w:ind w:firstLine="480" w:firstLineChars="200"/>
        <w:rPr>
          <w:rFonts w:eastAsiaTheme="majorEastAsia"/>
          <w:color w:val="000000" w:themeColor="text1"/>
          <w:sz w:val="24"/>
          <w14:textFill>
            <w14:solidFill>
              <w14:schemeClr w14:val="tx1"/>
            </w14:solidFill>
          </w14:textFill>
        </w:rPr>
      </w:pPr>
      <w:r>
        <w:rPr>
          <w:rFonts w:hint="eastAsia" w:eastAsiaTheme="majorEastAsia"/>
          <w:color w:val="000000" w:themeColor="text1"/>
          <w:sz w:val="24"/>
          <w14:textFill>
            <w14:solidFill>
              <w14:schemeClr w14:val="tx1"/>
            </w14:solidFill>
          </w14:textFill>
        </w:rPr>
        <w:t>（3）</w:t>
      </w:r>
      <w:r>
        <w:rPr>
          <w:rFonts w:eastAsiaTheme="majorEastAsia"/>
          <w:color w:val="000000" w:themeColor="text1"/>
          <w:sz w:val="24"/>
          <w14:textFill>
            <w14:solidFill>
              <w14:schemeClr w14:val="tx1"/>
            </w14:solidFill>
          </w14:textFill>
        </w:rPr>
        <w:t>交通工程：高速公路、高速铁路、桥梁、机场跑道、港口码头等，如桥梁支座、桥面铺装、铁路轨道板等，要求混凝土具有良好的抗裂性和耐久性，膨胀剂的应用可有效提升工程质量，延长使用寿命。</w:t>
      </w:r>
    </w:p>
    <w:p w14:paraId="745B6CCE">
      <w:pPr>
        <w:shd w:val="clear" w:color="auto" w:fill="FFFFFF"/>
        <w:spacing w:line="360" w:lineRule="auto"/>
        <w:ind w:firstLine="480" w:firstLineChars="200"/>
        <w:rPr>
          <w:rFonts w:eastAsiaTheme="majorEastAsia"/>
          <w:color w:val="000000" w:themeColor="text1"/>
          <w:sz w:val="24"/>
          <w14:textFill>
            <w14:solidFill>
              <w14:schemeClr w14:val="tx1"/>
            </w14:solidFill>
          </w14:textFill>
        </w:rPr>
      </w:pPr>
      <w:r>
        <w:rPr>
          <w:rFonts w:hint="eastAsia" w:eastAsiaTheme="majorEastAsia"/>
          <w:color w:val="000000" w:themeColor="text1"/>
          <w:sz w:val="24"/>
          <w14:textFill>
            <w14:solidFill>
              <w14:schemeClr w14:val="tx1"/>
            </w14:solidFill>
          </w14:textFill>
        </w:rPr>
        <w:t>（4）</w:t>
      </w:r>
      <w:r>
        <w:rPr>
          <w:rFonts w:eastAsiaTheme="majorEastAsia"/>
          <w:color w:val="000000" w:themeColor="text1"/>
          <w:sz w:val="24"/>
          <w14:textFill>
            <w14:solidFill>
              <w14:schemeClr w14:val="tx1"/>
            </w14:solidFill>
          </w14:textFill>
        </w:rPr>
        <w:t>水利水电工程：大坝、水闸、泵站、输水管道等，尤其是大体积混凝土工程，采用氧化镁类或复合型膨胀剂，补偿混凝土温度收缩和干缩，防止裂缝产生，保障水工结构的耐久性。</w:t>
      </w:r>
    </w:p>
    <w:p w14:paraId="36FE158A">
      <w:pPr>
        <w:shd w:val="clear" w:color="auto" w:fill="FFFFFF"/>
        <w:spacing w:line="360" w:lineRule="auto"/>
        <w:ind w:firstLine="480" w:firstLineChars="200"/>
        <w:rPr>
          <w:rFonts w:eastAsiaTheme="majorEastAsia"/>
          <w:color w:val="000000" w:themeColor="text1"/>
          <w:sz w:val="24"/>
          <w14:textFill>
            <w14:solidFill>
              <w14:schemeClr w14:val="tx1"/>
            </w14:solidFill>
          </w14:textFill>
        </w:rPr>
      </w:pPr>
      <w:r>
        <w:rPr>
          <w:rFonts w:hint="eastAsia" w:eastAsiaTheme="majorEastAsia"/>
          <w:color w:val="000000" w:themeColor="text1"/>
          <w:sz w:val="24"/>
          <w14:textFill>
            <w14:solidFill>
              <w14:schemeClr w14:val="tx1"/>
            </w14:solidFill>
          </w14:textFill>
        </w:rPr>
        <w:t>（5）</w:t>
      </w:r>
      <w:r>
        <w:rPr>
          <w:rFonts w:eastAsiaTheme="majorEastAsia"/>
          <w:color w:val="000000" w:themeColor="text1"/>
          <w:sz w:val="24"/>
          <w14:textFill>
            <w14:solidFill>
              <w14:schemeClr w14:val="tx1"/>
            </w14:solidFill>
          </w14:textFill>
        </w:rPr>
        <w:t>特种工程：核电工程、海洋工程、冻融环境工程等，如</w:t>
      </w:r>
      <w:r>
        <w:rPr>
          <w:rFonts w:hint="eastAsia" w:eastAsiaTheme="majorEastAsia"/>
          <w:color w:val="000000" w:themeColor="text1"/>
          <w:sz w:val="24"/>
          <w14:textFill>
            <w14:solidFill>
              <w14:schemeClr w14:val="tx1"/>
            </w14:solidFill>
          </w14:textFill>
        </w:rPr>
        <w:t>福建漳州核电华龙一号机组、跨海大桥等，补偿干燥收缩与温度应力，控制混凝土结构开裂，从而保证特种工程在复杂服役环境下的耐久性。</w:t>
      </w:r>
    </w:p>
    <w:p w14:paraId="3436FCE7">
      <w:pPr>
        <w:shd w:val="clear" w:color="auto" w:fill="FFFFFF"/>
        <w:spacing w:line="360" w:lineRule="auto"/>
        <w:ind w:firstLine="480" w:firstLineChars="200"/>
        <w:rPr>
          <w:rFonts w:eastAsiaTheme="majorEastAsia"/>
          <w:color w:val="000000" w:themeColor="text1"/>
          <w:sz w:val="24"/>
          <w14:textFill>
            <w14:solidFill>
              <w14:schemeClr w14:val="tx1"/>
            </w14:solidFill>
          </w14:textFill>
        </w:rPr>
      </w:pPr>
      <w:r>
        <w:rPr>
          <w:rFonts w:hint="eastAsia" w:eastAsiaTheme="majorEastAsia"/>
          <w:color w:val="000000" w:themeColor="text1"/>
          <w:sz w:val="24"/>
          <w14:textFill>
            <w14:solidFill>
              <w14:schemeClr w14:val="tx1"/>
            </w14:solidFill>
          </w14:textFill>
        </w:rPr>
        <w:t>混凝土膨胀剂应用的几个典型工程案例如下：</w:t>
      </w:r>
    </w:p>
    <w:p w14:paraId="0FFFBE2F">
      <w:pPr>
        <w:shd w:val="clear" w:color="auto" w:fill="FFFFFF"/>
        <w:spacing w:after="240" w:line="360" w:lineRule="auto"/>
        <w:ind w:firstLine="480" w:firstLineChars="200"/>
        <w:rPr>
          <w:rFonts w:eastAsiaTheme="majorEastAsia"/>
          <w:color w:val="000000" w:themeColor="text1"/>
          <w:sz w:val="24"/>
          <w14:textFill>
            <w14:solidFill>
              <w14:schemeClr w14:val="tx1"/>
            </w14:solidFill>
          </w14:textFill>
        </w:rPr>
      </w:pPr>
      <w:r>
        <w:rPr>
          <w:rFonts w:hint="eastAsia" w:eastAsiaTheme="majorEastAsia"/>
          <w:color w:val="000000" w:themeColor="text1"/>
          <w:sz w:val="24"/>
          <w14:textFill>
            <w14:solidFill>
              <w14:schemeClr w14:val="tx1"/>
            </w14:solidFill>
          </w14:textFill>
        </w:rPr>
        <w:t>（1）广东梅州韩江高陂水利枢纽工程是国务院部署开工建设的27项重大水利工程之一。工程采用氧化镁膨胀剂解决重力坝与泄水闸坝段常态垫层及碾压混凝土开裂难题，累计浇筑混凝土65529立方，未出现开裂现象。</w:t>
      </w:r>
    </w:p>
    <w:p w14:paraId="0196DB42">
      <w:pPr>
        <w:shd w:val="clear" w:color="auto" w:fill="FFFFFF"/>
        <w:spacing w:line="360" w:lineRule="auto"/>
        <w:rPr>
          <w:rFonts w:eastAsiaTheme="majorEastAsia"/>
          <w:color w:val="000000" w:themeColor="text1"/>
          <w:sz w:val="24"/>
          <w14:textFill>
            <w14:solidFill>
              <w14:schemeClr w14:val="tx1"/>
            </w14:solidFill>
          </w14:textFill>
        </w:rPr>
      </w:pPr>
      <w:r>
        <w:drawing>
          <wp:inline distT="0" distB="0" distL="0" distR="0">
            <wp:extent cx="2495550" cy="1484630"/>
            <wp:effectExtent l="0" t="0" r="0" b="1270"/>
            <wp:docPr id="205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b="10749"/>
                    <a:stretch>
                      <a:fillRect/>
                    </a:stretch>
                  </pic:blipFill>
                  <pic:spPr>
                    <a:xfrm>
                      <a:off x="0" y="0"/>
                      <a:ext cx="2512166" cy="1494751"/>
                    </a:xfrm>
                    <a:prstGeom prst="rect">
                      <a:avLst/>
                    </a:prstGeom>
                    <a:noFill/>
                    <a:ln>
                      <a:noFill/>
                    </a:ln>
                  </pic:spPr>
                </pic:pic>
              </a:graphicData>
            </a:graphic>
          </wp:inline>
        </w:drawing>
      </w:r>
      <w:r>
        <w:rPr>
          <w:rFonts w:hint="eastAsia" w:eastAsiaTheme="majorEastAsia"/>
          <w:color w:val="000000" w:themeColor="text1"/>
          <w:sz w:val="24"/>
          <w14:textFill>
            <w14:solidFill>
              <w14:schemeClr w14:val="tx1"/>
            </w14:solidFill>
          </w14:textFill>
        </w:rPr>
        <w:t xml:space="preserve"> </w:t>
      </w:r>
      <w:r>
        <w:drawing>
          <wp:inline distT="0" distB="0" distL="0" distR="0">
            <wp:extent cx="2669540" cy="1482090"/>
            <wp:effectExtent l="0" t="0" r="0" b="3810"/>
            <wp:docPr id="1971467016" name="图片 10"/>
            <wp:cNvGraphicFramePr/>
            <a:graphic xmlns:a="http://schemas.openxmlformats.org/drawingml/2006/main">
              <a:graphicData uri="http://schemas.openxmlformats.org/drawingml/2006/picture">
                <pic:pic xmlns:pic="http://schemas.openxmlformats.org/drawingml/2006/picture">
                  <pic:nvPicPr>
                    <pic:cNvPr id="1971467016" name="图片 10"/>
                    <pic:cNvPicPr/>
                  </pic:nvPicPr>
                  <pic:blipFill>
                    <a:blip r:embed="rId10" cstate="print"/>
                    <a:srcRect/>
                    <a:stretch>
                      <a:fillRect/>
                    </a:stretch>
                  </pic:blipFill>
                  <pic:spPr>
                    <a:xfrm>
                      <a:off x="0" y="0"/>
                      <a:ext cx="2695840" cy="1496991"/>
                    </a:xfrm>
                    <a:prstGeom prst="rect">
                      <a:avLst/>
                    </a:prstGeom>
                    <a:noFill/>
                    <a:ln w="9525">
                      <a:noFill/>
                      <a:miter lim="800000"/>
                      <a:headEnd/>
                      <a:tailEnd/>
                    </a:ln>
                  </pic:spPr>
                </pic:pic>
              </a:graphicData>
            </a:graphic>
          </wp:inline>
        </w:drawing>
      </w:r>
    </w:p>
    <w:p w14:paraId="56988E59">
      <w:pPr>
        <w:shd w:val="clear" w:color="auto" w:fill="FFFFFF"/>
        <w:spacing w:line="360" w:lineRule="auto"/>
        <w:jc w:val="center"/>
        <w:rPr>
          <w:rFonts w:eastAsiaTheme="majorEastAsia"/>
          <w:b/>
          <w:bCs/>
          <w:color w:val="000000" w:themeColor="text1"/>
          <w:szCs w:val="21"/>
          <w14:textFill>
            <w14:solidFill>
              <w14:schemeClr w14:val="tx1"/>
            </w14:solidFill>
          </w14:textFill>
        </w:rPr>
      </w:pPr>
      <w:r>
        <w:rPr>
          <w:rFonts w:hint="eastAsia" w:eastAsiaTheme="majorEastAsia"/>
          <w:b/>
          <w:bCs/>
          <w:color w:val="000000" w:themeColor="text1"/>
          <w:szCs w:val="21"/>
          <w14:textFill>
            <w14:solidFill>
              <w14:schemeClr w14:val="tx1"/>
            </w14:solidFill>
          </w14:textFill>
        </w:rPr>
        <w:t>图1.1 广东梅州韩江高陂水利枢纽</w:t>
      </w:r>
    </w:p>
    <w:p w14:paraId="0F3E0D21">
      <w:pPr>
        <w:shd w:val="clear" w:color="auto" w:fill="FFFFFF"/>
        <w:spacing w:before="240" w:line="360" w:lineRule="auto"/>
        <w:ind w:firstLine="480" w:firstLineChars="200"/>
        <w:rPr>
          <w:rFonts w:eastAsiaTheme="majorEastAsia"/>
          <w:color w:val="000000" w:themeColor="text1"/>
          <w:sz w:val="24"/>
          <w14:textFill>
            <w14:solidFill>
              <w14:schemeClr w14:val="tx1"/>
            </w14:solidFill>
          </w14:textFill>
        </w:rPr>
      </w:pPr>
      <w:r>
        <w:rPr>
          <w:rFonts w:hint="eastAsia" w:eastAsiaTheme="majorEastAsia"/>
          <w:color w:val="000000" w:themeColor="text1"/>
          <w:sz w:val="24"/>
          <w14:textFill>
            <w14:solidFill>
              <w14:schemeClr w14:val="tx1"/>
            </w14:solidFill>
          </w14:textFill>
        </w:rPr>
        <w:t>（2）双柳长江大桥是武汉城市圈环线的重要组成部分，全长34.7公里。锚定、塔柱属于大体混凝土，工程采用具有分阶段、全过程补偿混凝土收缩变形特性的钙镁复合膨胀剂，有效控制混凝土体积变形，根除温度开裂风险。</w:t>
      </w:r>
      <w:r>
        <w:rPr>
          <w:rFonts w:eastAsiaTheme="majorEastAsia"/>
          <w:color w:val="000000" w:themeColor="text1"/>
          <w:sz w:val="24"/>
          <w14:textFill>
            <w14:solidFill>
              <w14:schemeClr w14:val="tx1"/>
            </w14:solidFill>
          </w14:textFill>
        </w:rPr>
        <w:cr/>
      </w:r>
      <w:r>
        <w:drawing>
          <wp:inline distT="0" distB="0" distL="0" distR="0">
            <wp:extent cx="2735580" cy="1538605"/>
            <wp:effectExtent l="0" t="0" r="7620" b="4445"/>
            <wp:docPr id="10737873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8734" name="图片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2767811" cy="1556595"/>
                    </a:xfrm>
                    <a:prstGeom prst="rect">
                      <a:avLst/>
                    </a:prstGeom>
                    <a:noFill/>
                    <a:ln>
                      <a:noFill/>
                    </a:ln>
                  </pic:spPr>
                </pic:pic>
              </a:graphicData>
            </a:graphic>
          </wp:inline>
        </w:drawing>
      </w:r>
      <w:r>
        <w:rPr>
          <w:rFonts w:hint="eastAsia" w:eastAsiaTheme="majorEastAsia"/>
          <w:color w:val="000000" w:themeColor="text1"/>
          <w:sz w:val="24"/>
          <w14:textFill>
            <w14:solidFill>
              <w14:schemeClr w14:val="tx1"/>
            </w14:solidFill>
          </w14:textFill>
        </w:rPr>
        <w:t xml:space="preserve">   </w:t>
      </w:r>
      <w:r>
        <w:drawing>
          <wp:inline distT="0" distB="0" distL="0" distR="0">
            <wp:extent cx="2280920" cy="1512570"/>
            <wp:effectExtent l="0" t="0" r="5080" b="0"/>
            <wp:docPr id="8" name="Picture 2"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2" descr="4"/>
                    <pic:cNvPicPr>
                      <a:picLocks noChangeAspect="1" noChangeArrowheads="1"/>
                    </pic:cNvPicPr>
                  </pic:nvPicPr>
                  <pic:blipFill>
                    <a:blip r:embed="rId12"/>
                    <a:srcRect r="7843" b="11854"/>
                    <a:stretch>
                      <a:fillRect/>
                    </a:stretch>
                  </pic:blipFill>
                  <pic:spPr>
                    <a:xfrm>
                      <a:off x="0" y="0"/>
                      <a:ext cx="2296524" cy="1522929"/>
                    </a:xfrm>
                    <a:prstGeom prst="rect">
                      <a:avLst/>
                    </a:prstGeom>
                    <a:noFill/>
                    <a:ln w="9525">
                      <a:noFill/>
                      <a:miter lim="800000"/>
                      <a:headEnd/>
                      <a:tailEnd/>
                    </a:ln>
                  </pic:spPr>
                </pic:pic>
              </a:graphicData>
            </a:graphic>
          </wp:inline>
        </w:drawing>
      </w:r>
    </w:p>
    <w:p w14:paraId="01756B91">
      <w:pPr>
        <w:shd w:val="clear" w:color="auto" w:fill="FFFFFF"/>
        <w:spacing w:line="360" w:lineRule="auto"/>
        <w:jc w:val="center"/>
        <w:rPr>
          <w:rFonts w:eastAsiaTheme="majorEastAsia"/>
          <w:color w:val="000000" w:themeColor="text1"/>
          <w:sz w:val="24"/>
          <w14:textFill>
            <w14:solidFill>
              <w14:schemeClr w14:val="tx1"/>
            </w14:solidFill>
          </w14:textFill>
        </w:rPr>
      </w:pPr>
      <w:r>
        <w:rPr>
          <w:rFonts w:hint="eastAsia" w:eastAsiaTheme="majorEastAsia"/>
          <w:b/>
          <w:bCs/>
          <w:color w:val="000000" w:themeColor="text1"/>
          <w:szCs w:val="21"/>
          <w14:textFill>
            <w14:solidFill>
              <w14:schemeClr w14:val="tx1"/>
            </w14:solidFill>
          </w14:textFill>
        </w:rPr>
        <w:t>图1.2 双柳长江大桥</w:t>
      </w:r>
    </w:p>
    <w:p w14:paraId="09C6E7DD">
      <w:pPr>
        <w:shd w:val="clear" w:color="auto" w:fill="FFFFFF"/>
        <w:spacing w:before="240" w:line="360" w:lineRule="auto"/>
        <w:ind w:firstLine="480" w:firstLineChars="200"/>
        <w:rPr>
          <w:rFonts w:eastAsiaTheme="majorEastAsia"/>
          <w:color w:val="000000" w:themeColor="text1"/>
          <w:sz w:val="24"/>
          <w14:textFill>
            <w14:solidFill>
              <w14:schemeClr w14:val="tx1"/>
            </w14:solidFill>
          </w14:textFill>
        </w:rPr>
      </w:pPr>
      <w:r>
        <w:rPr>
          <w:rFonts w:hint="eastAsia" w:eastAsiaTheme="majorEastAsia"/>
          <w:color w:val="000000" w:themeColor="text1"/>
          <w:sz w:val="24"/>
          <w14:textFill>
            <w14:solidFill>
              <w14:schemeClr w14:val="tx1"/>
            </w14:solidFill>
          </w14:textFill>
        </w:rPr>
        <w:t>（3）北京丰台站是国内首例高铁普速双层车场站房，也是亚洲最大铁路枢纽客站，建筑面积40万平米。采用具有绝湿膨胀功能的双膨胀源HCSA膨胀剂解决了大体积混凝土开裂难题，实现超大尺寸结构无缝连续施工。经两年运行观察，未出现有害裂缝，达到预期效果。</w:t>
      </w:r>
      <w:r>
        <w:rPr>
          <w:rFonts w:eastAsiaTheme="majorEastAsia"/>
          <w:color w:val="000000" w:themeColor="text1"/>
          <w:sz w:val="24"/>
          <w14:textFill>
            <w14:solidFill>
              <w14:schemeClr w14:val="tx1"/>
            </w14:solidFill>
          </w14:textFill>
        </w:rPr>
        <w:cr/>
      </w:r>
      <w:r>
        <w:drawing>
          <wp:inline distT="0" distB="0" distL="0" distR="0">
            <wp:extent cx="2319655" cy="1574800"/>
            <wp:effectExtent l="0" t="0" r="4445" b="6350"/>
            <wp:docPr id="41638050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380508" name="图片 7"/>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338219" cy="1587089"/>
                    </a:xfrm>
                    <a:prstGeom prst="rect">
                      <a:avLst/>
                    </a:prstGeom>
                  </pic:spPr>
                </pic:pic>
              </a:graphicData>
            </a:graphic>
          </wp:inline>
        </w:drawing>
      </w:r>
      <w:r>
        <w:rPr>
          <w:rFonts w:hint="eastAsia" w:eastAsiaTheme="majorEastAsia"/>
          <w:color w:val="000000" w:themeColor="text1"/>
          <w:sz w:val="24"/>
          <w14:textFill>
            <w14:solidFill>
              <w14:schemeClr w14:val="tx1"/>
            </w14:solidFill>
          </w14:textFill>
        </w:rPr>
        <w:t xml:space="preserve"> </w:t>
      </w:r>
      <w:r>
        <w:drawing>
          <wp:inline distT="0" distB="0" distL="0" distR="0">
            <wp:extent cx="2825115" cy="1585595"/>
            <wp:effectExtent l="0" t="0" r="0" b="0"/>
            <wp:docPr id="180237622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2376229" name="图片 15"/>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857200" cy="1604115"/>
                    </a:xfrm>
                    <a:prstGeom prst="rect">
                      <a:avLst/>
                    </a:prstGeom>
                  </pic:spPr>
                </pic:pic>
              </a:graphicData>
            </a:graphic>
          </wp:inline>
        </w:drawing>
      </w:r>
    </w:p>
    <w:p w14:paraId="293EC163">
      <w:pPr>
        <w:shd w:val="clear" w:color="auto" w:fill="FFFFFF"/>
        <w:spacing w:line="360" w:lineRule="auto"/>
        <w:jc w:val="center"/>
        <w:rPr>
          <w:rFonts w:eastAsiaTheme="majorEastAsia"/>
          <w:color w:val="000000" w:themeColor="text1"/>
          <w:sz w:val="24"/>
          <w14:textFill>
            <w14:solidFill>
              <w14:schemeClr w14:val="tx1"/>
            </w14:solidFill>
          </w14:textFill>
        </w:rPr>
      </w:pPr>
      <w:r>
        <w:rPr>
          <w:rFonts w:hint="eastAsia" w:eastAsiaTheme="majorEastAsia"/>
          <w:b/>
          <w:bCs/>
          <w:color w:val="000000" w:themeColor="text1"/>
          <w:szCs w:val="21"/>
          <w14:textFill>
            <w14:solidFill>
              <w14:schemeClr w14:val="tx1"/>
            </w14:solidFill>
          </w14:textFill>
        </w:rPr>
        <w:t>图1.3 北京丰台站</w:t>
      </w:r>
    </w:p>
    <w:p w14:paraId="0DDCD1E3">
      <w:pPr>
        <w:shd w:val="clear" w:color="auto" w:fill="FFFFFF"/>
        <w:spacing w:before="240" w:line="360" w:lineRule="auto"/>
        <w:ind w:firstLine="480" w:firstLineChars="200"/>
        <w:rPr>
          <w:rFonts w:eastAsiaTheme="majorEastAsia"/>
          <w:color w:val="000000" w:themeColor="text1"/>
          <w:sz w:val="24"/>
          <w14:textFill>
            <w14:solidFill>
              <w14:schemeClr w14:val="tx1"/>
            </w14:solidFill>
          </w14:textFill>
        </w:rPr>
      </w:pPr>
      <w:bookmarkStart w:id="2" w:name="OLE_LINK2"/>
      <w:r>
        <w:rPr>
          <w:rFonts w:hint="eastAsia" w:eastAsiaTheme="majorEastAsia"/>
          <w:color w:val="000000" w:themeColor="text1"/>
          <w:sz w:val="24"/>
          <w14:textFill>
            <w14:solidFill>
              <w14:schemeClr w14:val="tx1"/>
            </w14:solidFill>
          </w14:textFill>
        </w:rPr>
        <w:t>（4）天府机场T1航站楼建筑面积约为37.93万平米，采用“T”字型布局，属于典型的超长结构体系。航站楼及中间部位的整个建筑及其地下的综合管廊采用氧化镁膨胀剂，实现混凝土抗裂及超长无缝施工。</w:t>
      </w:r>
    </w:p>
    <w:bookmarkEnd w:id="2"/>
    <w:p w14:paraId="256343D6">
      <w:pPr>
        <w:shd w:val="clear" w:color="auto" w:fill="FFFFFF"/>
        <w:spacing w:line="360" w:lineRule="auto"/>
        <w:jc w:val="center"/>
        <w:rPr>
          <w:rFonts w:eastAsiaTheme="majorEastAsia"/>
          <w:color w:val="000000" w:themeColor="text1"/>
          <w:sz w:val="24"/>
          <w14:textFill>
            <w14:solidFill>
              <w14:schemeClr w14:val="tx1"/>
            </w14:solidFill>
          </w14:textFill>
        </w:rPr>
      </w:pPr>
      <w:r>
        <w:drawing>
          <wp:inline distT="0" distB="0" distL="0" distR="0">
            <wp:extent cx="3840480" cy="1537970"/>
            <wp:effectExtent l="0" t="0" r="7620" b="5080"/>
            <wp:docPr id="101" name="图片 100"/>
            <wp:cNvGraphicFramePr/>
            <a:graphic xmlns:a="http://schemas.openxmlformats.org/drawingml/2006/main">
              <a:graphicData uri="http://schemas.openxmlformats.org/drawingml/2006/picture">
                <pic:pic xmlns:pic="http://schemas.openxmlformats.org/drawingml/2006/picture">
                  <pic:nvPicPr>
                    <pic:cNvPr id="101" name="图片 100"/>
                    <pic:cNvPicPr/>
                  </pic:nvPicPr>
                  <pic:blipFill>
                    <a:blip r:embed="rId15"/>
                    <a:stretch>
                      <a:fillRect/>
                    </a:stretch>
                  </pic:blipFill>
                  <pic:spPr>
                    <a:xfrm>
                      <a:off x="0" y="0"/>
                      <a:ext cx="3863166" cy="1547122"/>
                    </a:xfrm>
                    <a:prstGeom prst="rect">
                      <a:avLst/>
                    </a:prstGeom>
                    <a:noFill/>
                    <a:ln w="9525">
                      <a:noFill/>
                    </a:ln>
                  </pic:spPr>
                </pic:pic>
              </a:graphicData>
            </a:graphic>
          </wp:inline>
        </w:drawing>
      </w:r>
    </w:p>
    <w:p w14:paraId="25BAD9B7">
      <w:pPr>
        <w:shd w:val="clear" w:color="auto" w:fill="FFFFFF"/>
        <w:spacing w:line="360" w:lineRule="auto"/>
        <w:jc w:val="center"/>
        <w:rPr>
          <w:rFonts w:eastAsiaTheme="majorEastAsia"/>
          <w:color w:val="000000" w:themeColor="text1"/>
          <w:sz w:val="24"/>
          <w14:textFill>
            <w14:solidFill>
              <w14:schemeClr w14:val="tx1"/>
            </w14:solidFill>
          </w14:textFill>
        </w:rPr>
      </w:pPr>
      <w:r>
        <w:rPr>
          <w:rFonts w:hint="eastAsia" w:eastAsiaTheme="majorEastAsia"/>
          <w:b/>
          <w:bCs/>
          <w:color w:val="000000" w:themeColor="text1"/>
          <w:szCs w:val="21"/>
          <w14:textFill>
            <w14:solidFill>
              <w14:schemeClr w14:val="tx1"/>
            </w14:solidFill>
          </w14:textFill>
        </w:rPr>
        <w:t>图1.4 天府机场T1航站楼</w:t>
      </w:r>
    </w:p>
    <w:p w14:paraId="6EC2BFBB">
      <w:pPr>
        <w:spacing w:before="240" w:line="360" w:lineRule="auto"/>
        <w:ind w:firstLine="480" w:firstLineChars="200"/>
        <w:rPr>
          <w:rFonts w:eastAsiaTheme="majorEastAsia"/>
          <w:color w:val="000000" w:themeColor="text1"/>
          <w:sz w:val="24"/>
          <w14:textFill>
            <w14:solidFill>
              <w14:schemeClr w14:val="tx1"/>
            </w14:solidFill>
          </w14:textFill>
        </w:rPr>
      </w:pPr>
      <w:r>
        <w:rPr>
          <w:rFonts w:hint="eastAsia" w:eastAsiaTheme="majorEastAsia"/>
          <w:color w:val="000000" w:themeColor="text1"/>
          <w:sz w:val="24"/>
          <w14:textFill>
            <w14:solidFill>
              <w14:schemeClr w14:val="tx1"/>
            </w14:solidFill>
          </w14:textFill>
        </w:rPr>
        <w:t>（5）中国医学科学院肿瘤医院廊坊院区，号称亚洲最大肿瘤医院，地</w:t>
      </w:r>
      <w:r>
        <w:rPr>
          <w:rFonts w:eastAsiaTheme="majorEastAsia"/>
          <w:color w:val="000000" w:themeColor="text1"/>
          <w:sz w:val="24"/>
          <w14:textFill>
            <w14:solidFill>
              <w14:schemeClr w14:val="tx1"/>
            </w14:solidFill>
          </w14:textFill>
        </w:rPr>
        <w:t>下室设有质子、直线加速器、影像区、手术室等大型医疗设备用房及防射线、屏蔽构造</w:t>
      </w:r>
      <w:r>
        <w:rPr>
          <w:rFonts w:hint="eastAsia" w:eastAsiaTheme="majorEastAsia"/>
          <w:color w:val="000000" w:themeColor="text1"/>
          <w:sz w:val="24"/>
          <w14:textFill>
            <w14:solidFill>
              <w14:schemeClr w14:val="tx1"/>
            </w14:solidFill>
          </w14:textFill>
        </w:rPr>
        <w:t>。</w:t>
      </w:r>
      <w:r>
        <w:rPr>
          <w:rFonts w:eastAsiaTheme="majorEastAsia"/>
          <w:color w:val="000000" w:themeColor="text1"/>
          <w:sz w:val="24"/>
          <w14:textFill>
            <w14:solidFill>
              <w14:schemeClr w14:val="tx1"/>
            </w14:solidFill>
          </w14:textFill>
        </w:rPr>
        <w:t>其中</w:t>
      </w:r>
      <w:r>
        <w:rPr>
          <w:rFonts w:hint="eastAsia" w:eastAsiaTheme="majorEastAsia"/>
          <w:color w:val="000000" w:themeColor="text1"/>
          <w:sz w:val="24"/>
          <w14:textFill>
            <w14:solidFill>
              <w14:schemeClr w14:val="tx1"/>
            </w14:solidFill>
          </w14:textFill>
        </w:rPr>
        <w:t>直</w:t>
      </w:r>
      <w:r>
        <w:rPr>
          <w:rFonts w:eastAsiaTheme="majorEastAsia"/>
          <w:color w:val="000000" w:themeColor="text1"/>
          <w:sz w:val="24"/>
          <w14:textFill>
            <w14:solidFill>
              <w14:schemeClr w14:val="tx1"/>
            </w14:solidFill>
          </w14:textFill>
        </w:rPr>
        <w:t>线加速器、质子</w:t>
      </w:r>
      <w:bookmarkStart w:id="3" w:name="OLE_LINK3"/>
      <w:r>
        <w:rPr>
          <w:rFonts w:eastAsiaTheme="majorEastAsia"/>
          <w:color w:val="000000" w:themeColor="text1"/>
          <w:sz w:val="24"/>
          <w14:textFill>
            <w14:solidFill>
              <w14:schemeClr w14:val="tx1"/>
            </w14:solidFill>
          </w14:textFill>
        </w:rPr>
        <w:t>治疗区</w:t>
      </w:r>
      <w:bookmarkEnd w:id="3"/>
      <w:r>
        <w:rPr>
          <w:rFonts w:eastAsiaTheme="majorEastAsia"/>
          <w:color w:val="000000" w:themeColor="text1"/>
          <w:sz w:val="24"/>
          <w14:textFill>
            <w14:solidFill>
              <w14:schemeClr w14:val="tx1"/>
            </w14:solidFill>
          </w14:textFill>
        </w:rPr>
        <w:t>混凝土结构为超长、大体积混凝土结构，</w:t>
      </w:r>
      <w:r>
        <w:rPr>
          <w:rFonts w:hint="eastAsia" w:eastAsiaTheme="majorEastAsia"/>
          <w:color w:val="000000" w:themeColor="text1"/>
          <w:sz w:val="24"/>
          <w14:textFill>
            <w14:solidFill>
              <w14:schemeClr w14:val="tx1"/>
            </w14:solidFill>
          </w14:textFill>
        </w:rPr>
        <w:t>部分墙体厚度近8米，极易开</w:t>
      </w:r>
      <w:r>
        <w:rPr>
          <w:rFonts w:hint="eastAsia" w:ascii="宋体" w:hAnsi="宋体"/>
          <w:color w:val="000000" w:themeColor="text1"/>
          <w:sz w:val="24"/>
          <w14:textFill>
            <w14:solidFill>
              <w14:schemeClr w14:val="tx1"/>
            </w14:solidFill>
          </w14:textFill>
        </w:rPr>
        <w:t>裂。为了满足防幅射要求，本工程采用“膨胀剂+中热水泥+大掺量粉煤灰”技术方案，实现</w:t>
      </w:r>
      <w:r>
        <w:rPr>
          <w:rFonts w:hint="eastAsia" w:eastAsiaTheme="majorEastAsia"/>
          <w:color w:val="000000" w:themeColor="text1"/>
          <w:sz w:val="24"/>
          <w14:textFill>
            <w14:solidFill>
              <w14:schemeClr w14:val="tx1"/>
            </w14:solidFill>
          </w14:textFill>
        </w:rPr>
        <w:t>C30外墙无裂缝施工。</w:t>
      </w:r>
      <w:r>
        <w:rPr>
          <w:rFonts w:eastAsiaTheme="majorEastAsia"/>
          <w:color w:val="000000" w:themeColor="text1"/>
          <w:sz w:val="24"/>
          <w14:textFill>
            <w14:solidFill>
              <w14:schemeClr w14:val="tx1"/>
            </w14:solidFill>
          </w14:textFill>
        </w:rPr>
        <w:t xml:space="preserve"> </w:t>
      </w:r>
    </w:p>
    <w:tbl>
      <w:tblPr>
        <w:tblStyle w:val="11"/>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103"/>
        <w:gridCol w:w="4419"/>
      </w:tblGrid>
      <w:tr w14:paraId="210C97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999" w:type="dxa"/>
            <w:vAlign w:val="center"/>
          </w:tcPr>
          <w:p w14:paraId="1AE64D36">
            <w:pPr>
              <w:spacing w:line="360" w:lineRule="auto"/>
              <w:jc w:val="center"/>
              <w:rPr>
                <w:rFonts w:eastAsiaTheme="majorEastAsia"/>
                <w:color w:val="000000" w:themeColor="text1"/>
                <w:sz w:val="24"/>
                <w14:textFill>
                  <w14:solidFill>
                    <w14:schemeClr w14:val="tx1"/>
                  </w14:solidFill>
                </w14:textFill>
              </w:rPr>
            </w:pPr>
            <w:r>
              <w:rPr>
                <w:rFonts w:hint="eastAsia"/>
              </w:rPr>
              <w:drawing>
                <wp:inline distT="0" distB="0" distL="0" distR="0">
                  <wp:extent cx="2501265" cy="1407795"/>
                  <wp:effectExtent l="0" t="0" r="0" b="1905"/>
                  <wp:docPr id="936713230" name="图片 3" descr="疗愈港湾 水韵绿舟 / 中国医学科学院肿瘤医院分院—廊坊院区_湖南拓普智汇景观建筑设计股份有限公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713230" name="图片 3" descr="疗愈港湾 水韵绿舟 / 中国医学科学院肿瘤医院分院—廊坊院区_湖南拓普智汇景观建筑设计股份有限公司"/>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2524615" cy="1421275"/>
                          </a:xfrm>
                          <a:prstGeom prst="rect">
                            <a:avLst/>
                          </a:prstGeom>
                          <a:noFill/>
                          <a:ln>
                            <a:noFill/>
                          </a:ln>
                        </pic:spPr>
                      </pic:pic>
                    </a:graphicData>
                  </a:graphic>
                </wp:inline>
              </w:drawing>
            </w:r>
          </w:p>
        </w:tc>
        <w:tc>
          <w:tcPr>
            <w:tcW w:w="4307" w:type="dxa"/>
            <w:vAlign w:val="center"/>
          </w:tcPr>
          <w:p w14:paraId="102CC84B">
            <w:pPr>
              <w:spacing w:line="360" w:lineRule="auto"/>
              <w:jc w:val="center"/>
              <w:rPr>
                <w:rFonts w:eastAsiaTheme="majorEastAsia"/>
                <w:color w:val="000000" w:themeColor="text1"/>
                <w:sz w:val="24"/>
                <w14:textFill>
                  <w14:solidFill>
                    <w14:schemeClr w14:val="tx1"/>
                  </w14:solidFill>
                </w14:textFill>
              </w:rPr>
            </w:pPr>
            <w:r>
              <w:rPr>
                <w:rFonts w:eastAsiaTheme="majorEastAsia"/>
                <w:color w:val="000000" w:themeColor="text1"/>
                <w:sz w:val="24"/>
                <w14:textFill>
                  <w14:solidFill>
                    <w14:schemeClr w14:val="tx1"/>
                  </w14:solidFill>
                </w14:textFill>
              </w:rPr>
              <w:drawing>
                <wp:inline distT="0" distB="0" distL="0" distR="0">
                  <wp:extent cx="2696845" cy="1136015"/>
                  <wp:effectExtent l="0" t="0" r="8255" b="6985"/>
                  <wp:docPr id="12268759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6875942" name="图片 1"/>
                          <pic:cNvPicPr>
                            <a:picLocks noChangeAspect="1"/>
                          </pic:cNvPicPr>
                        </pic:nvPicPr>
                        <pic:blipFill>
                          <a:blip r:embed="rId17"/>
                          <a:srcRect r="1999"/>
                          <a:stretch>
                            <a:fillRect/>
                          </a:stretch>
                        </pic:blipFill>
                        <pic:spPr>
                          <a:xfrm>
                            <a:off x="0" y="0"/>
                            <a:ext cx="2724215" cy="1147926"/>
                          </a:xfrm>
                          <a:prstGeom prst="rect">
                            <a:avLst/>
                          </a:prstGeom>
                          <a:ln>
                            <a:noFill/>
                          </a:ln>
                        </pic:spPr>
                      </pic:pic>
                    </a:graphicData>
                  </a:graphic>
                </wp:inline>
              </w:drawing>
            </w:r>
          </w:p>
        </w:tc>
      </w:tr>
    </w:tbl>
    <w:p w14:paraId="0384D0D6">
      <w:pPr>
        <w:shd w:val="clear" w:color="auto" w:fill="FFFFFF"/>
        <w:spacing w:line="360" w:lineRule="auto"/>
        <w:jc w:val="center"/>
        <w:rPr>
          <w:rFonts w:eastAsiaTheme="majorEastAsia"/>
          <w:b/>
          <w:bCs/>
          <w:color w:val="000000" w:themeColor="text1"/>
          <w:szCs w:val="21"/>
          <w14:textFill>
            <w14:solidFill>
              <w14:schemeClr w14:val="tx1"/>
            </w14:solidFill>
          </w14:textFill>
        </w:rPr>
      </w:pPr>
      <w:r>
        <w:rPr>
          <w:rFonts w:hint="eastAsia" w:eastAsiaTheme="majorEastAsia"/>
          <w:b/>
          <w:bCs/>
          <w:color w:val="000000" w:themeColor="text1"/>
          <w:szCs w:val="21"/>
          <w14:textFill>
            <w14:solidFill>
              <w14:schemeClr w14:val="tx1"/>
            </w14:solidFill>
          </w14:textFill>
        </w:rPr>
        <w:t>图1.5 中国医学科学院肿瘤医院廊坊院区</w:t>
      </w:r>
    </w:p>
    <w:p w14:paraId="21A16BCD">
      <w:pPr>
        <w:spacing w:line="360" w:lineRule="auto"/>
        <w:ind w:firstLine="480" w:firstLineChars="200"/>
        <w:rPr>
          <w:rFonts w:eastAsiaTheme="majorEastAsia"/>
          <w:color w:val="000000" w:themeColor="text1"/>
          <w:sz w:val="24"/>
          <w14:textFill>
            <w14:solidFill>
              <w14:schemeClr w14:val="tx1"/>
            </w14:solidFill>
          </w14:textFill>
        </w:rPr>
      </w:pPr>
      <w:r>
        <w:rPr>
          <w:rFonts w:eastAsiaTheme="majorEastAsia"/>
          <w:color w:val="000000" w:themeColor="text1"/>
          <w:sz w:val="24"/>
          <w14:textFill>
            <w14:solidFill>
              <w14:schemeClr w14:val="tx1"/>
            </w14:solidFill>
          </w14:textFill>
        </w:rPr>
        <w:t>我国膨胀剂工程应用已积累了丰富的实践经验，但仍存在一些问题：部分工程存在膨胀剂掺量不合理、配合比设计不科学的情况，导致膨胀效果不佳或过度膨胀；施工过程中，搅拌、浇筑、养护工艺不规范，影响膨胀剂性能发挥；部分工程质量管控不到位，存在劣质膨胀剂流入施工现场的情况，给工程结构安全留下隐患。</w:t>
      </w:r>
    </w:p>
    <w:p w14:paraId="4101B5A6">
      <w:pPr>
        <w:spacing w:line="360" w:lineRule="auto"/>
        <w:ind w:firstLine="482" w:firstLineChars="200"/>
        <w:rPr>
          <w:rFonts w:eastAsiaTheme="majorEastAsia"/>
          <w:b/>
          <w:color w:val="000000" w:themeColor="text1"/>
          <w:sz w:val="24"/>
          <w14:textFill>
            <w14:solidFill>
              <w14:schemeClr w14:val="tx1"/>
            </w14:solidFill>
          </w14:textFill>
        </w:rPr>
      </w:pPr>
      <w:r>
        <w:rPr>
          <w:rFonts w:hint="eastAsia" w:eastAsiaTheme="majorEastAsia"/>
          <w:b/>
          <w:color w:val="000000" w:themeColor="text1"/>
          <w:sz w:val="24"/>
          <w14:textFill>
            <w14:solidFill>
              <w14:schemeClr w14:val="tx1"/>
            </w14:solidFill>
          </w14:textFill>
        </w:rPr>
        <w:t xml:space="preserve">1.5 </w:t>
      </w:r>
      <w:r>
        <w:rPr>
          <w:rFonts w:eastAsiaTheme="majorEastAsia"/>
          <w:b/>
          <w:color w:val="000000" w:themeColor="text1"/>
          <w:sz w:val="24"/>
          <w14:textFill>
            <w14:solidFill>
              <w14:schemeClr w14:val="tx1"/>
            </w14:solidFill>
          </w14:textFill>
        </w:rPr>
        <w:t>标准体系建设</w:t>
      </w:r>
    </w:p>
    <w:p w14:paraId="5C478729">
      <w:pPr>
        <w:spacing w:line="360" w:lineRule="auto"/>
        <w:ind w:firstLine="480" w:firstLineChars="200"/>
        <w:rPr>
          <w:rFonts w:eastAsiaTheme="majorEastAsia"/>
          <w:color w:val="000000" w:themeColor="text1"/>
          <w:sz w:val="24"/>
          <w14:textFill>
            <w14:solidFill>
              <w14:schemeClr w14:val="tx1"/>
            </w14:solidFill>
          </w14:textFill>
        </w:rPr>
      </w:pPr>
      <w:r>
        <w:rPr>
          <w:rFonts w:hint="eastAsia" w:eastAsiaTheme="majorEastAsia"/>
          <w:color w:val="000000" w:themeColor="text1"/>
          <w:sz w:val="24"/>
          <w14:textFill>
            <w14:solidFill>
              <w14:schemeClr w14:val="tx1"/>
            </w14:solidFill>
          </w14:textFill>
        </w:rPr>
        <w:t>1.5.1 国内标准</w:t>
      </w:r>
    </w:p>
    <w:p w14:paraId="79A2839C">
      <w:pPr>
        <w:spacing w:line="360" w:lineRule="auto"/>
        <w:ind w:firstLine="480" w:firstLineChars="200"/>
        <w:rPr>
          <w:rFonts w:eastAsiaTheme="majorEastAsia"/>
          <w:color w:val="000000" w:themeColor="text1"/>
          <w:sz w:val="24"/>
          <w14:textFill>
            <w14:solidFill>
              <w14:schemeClr w14:val="tx1"/>
            </w14:solidFill>
          </w14:textFill>
        </w:rPr>
      </w:pPr>
      <w:r>
        <w:rPr>
          <w:rFonts w:eastAsiaTheme="majorEastAsia"/>
          <w:color w:val="000000" w:themeColor="text1"/>
          <w:sz w:val="24"/>
          <w14:textFill>
            <w14:solidFill>
              <w14:schemeClr w14:val="tx1"/>
            </w14:solidFill>
          </w14:textFill>
        </w:rPr>
        <w:t>我国已建立起涵盖产品性能、施工应用、检测方法的混凝土膨胀剂标准体系，为产品生产、质量管控和工程应用提供了明确依据，主要核心标准包括：</w:t>
      </w:r>
    </w:p>
    <w:p w14:paraId="6A9FE8F6">
      <w:pPr>
        <w:spacing w:line="360" w:lineRule="auto"/>
        <w:ind w:firstLine="480" w:firstLineChars="200"/>
        <w:rPr>
          <w:rFonts w:eastAsiaTheme="majorEastAsia"/>
          <w:color w:val="000000" w:themeColor="text1"/>
          <w:sz w:val="24"/>
          <w14:textFill>
            <w14:solidFill>
              <w14:schemeClr w14:val="tx1"/>
            </w14:solidFill>
          </w14:textFill>
        </w:rPr>
      </w:pPr>
      <w:r>
        <w:rPr>
          <w:rFonts w:hint="eastAsia" w:eastAsiaTheme="majorEastAsia"/>
          <w:color w:val="000000" w:themeColor="text1"/>
          <w:sz w:val="24"/>
          <w14:textFill>
            <w14:solidFill>
              <w14:schemeClr w14:val="tx1"/>
            </w14:solidFill>
          </w14:textFill>
        </w:rPr>
        <w:t>（1）</w:t>
      </w:r>
      <w:r>
        <w:rPr>
          <w:rFonts w:eastAsiaTheme="majorEastAsia"/>
          <w:color w:val="000000" w:themeColor="text1"/>
          <w:sz w:val="24"/>
          <w14:textFill>
            <w14:solidFill>
              <w14:schemeClr w14:val="tx1"/>
            </w14:solidFill>
          </w14:textFill>
        </w:rPr>
        <w:t>GB/T</w:t>
      </w:r>
      <w:r>
        <w:rPr>
          <w:rFonts w:hint="eastAsia" w:eastAsiaTheme="majorEastAsia"/>
          <w:color w:val="000000" w:themeColor="text1"/>
          <w:sz w:val="24"/>
          <w14:textFill>
            <w14:solidFill>
              <w14:schemeClr w14:val="tx1"/>
            </w14:solidFill>
          </w14:textFill>
        </w:rPr>
        <w:t xml:space="preserve"> </w:t>
      </w:r>
      <w:r>
        <w:rPr>
          <w:rFonts w:eastAsiaTheme="majorEastAsia"/>
          <w:color w:val="000000" w:themeColor="text1"/>
          <w:sz w:val="24"/>
          <w14:textFill>
            <w14:solidFill>
              <w14:schemeClr w14:val="tx1"/>
            </w14:solidFill>
          </w14:textFill>
        </w:rPr>
        <w:t>23439</w:t>
      </w:r>
      <w:r>
        <w:rPr>
          <w:rFonts w:hint="eastAsia" w:eastAsiaTheme="majorEastAsia"/>
          <w:color w:val="000000" w:themeColor="text1"/>
          <w:sz w:val="24"/>
          <w14:textFill>
            <w14:solidFill>
              <w14:schemeClr w14:val="tx1"/>
            </w14:solidFill>
          </w14:textFill>
        </w:rPr>
        <w:t>—</w:t>
      </w:r>
      <w:r>
        <w:rPr>
          <w:rFonts w:eastAsiaTheme="majorEastAsia"/>
          <w:color w:val="000000" w:themeColor="text1"/>
          <w:sz w:val="24"/>
          <w14:textFill>
            <w14:solidFill>
              <w14:schemeClr w14:val="tx1"/>
            </w14:solidFill>
          </w14:textFill>
        </w:rPr>
        <w:t>2017《混凝土膨胀剂》：核心产品标准，</w:t>
      </w:r>
      <w:r>
        <w:rPr>
          <w:rFonts w:hint="eastAsia" w:eastAsiaTheme="majorEastAsia"/>
          <w:color w:val="000000" w:themeColor="text1"/>
          <w:sz w:val="24"/>
          <w14:textFill>
            <w14:solidFill>
              <w14:schemeClr w14:val="tx1"/>
            </w14:solidFill>
          </w14:textFill>
        </w:rPr>
        <w:t>该标准适用于硫铝酸钙类、氧化钙类、硫铝酸钙-氧化钙类粉状混凝土膨胀剂，主要是规定</w:t>
      </w:r>
      <w:r>
        <w:rPr>
          <w:rFonts w:eastAsiaTheme="majorEastAsia"/>
          <w:color w:val="000000" w:themeColor="text1"/>
          <w:sz w:val="24"/>
          <w14:textFill>
            <w14:solidFill>
              <w14:schemeClr w14:val="tx1"/>
            </w14:solidFill>
          </w14:textFill>
        </w:rPr>
        <w:t>了膨胀剂的分类、技术要求、试验方法、检验规则、标志、包装、运输与贮存等，规定了化学性能（</w:t>
      </w:r>
      <w:r>
        <w:rPr>
          <w:rFonts w:hint="eastAsia" w:eastAsiaTheme="majorEastAsia"/>
          <w:color w:val="000000" w:themeColor="text1"/>
          <w:sz w:val="24"/>
          <w14:textFill>
            <w14:solidFill>
              <w14:schemeClr w14:val="tx1"/>
            </w14:solidFill>
          </w14:textFill>
        </w:rPr>
        <w:t>氧化镁、</w:t>
      </w:r>
      <w:r>
        <w:rPr>
          <w:rFonts w:eastAsiaTheme="majorEastAsia"/>
          <w:color w:val="000000" w:themeColor="text1"/>
          <w:sz w:val="24"/>
          <w14:textFill>
            <w14:solidFill>
              <w14:schemeClr w14:val="tx1"/>
            </w14:solidFill>
          </w14:textFill>
        </w:rPr>
        <w:t>碱含量）和物理性能（</w:t>
      </w:r>
      <w:r>
        <w:rPr>
          <w:rFonts w:hint="eastAsia" w:eastAsiaTheme="majorEastAsia"/>
          <w:color w:val="000000" w:themeColor="text1"/>
          <w:sz w:val="24"/>
          <w14:textFill>
            <w14:solidFill>
              <w14:schemeClr w14:val="tx1"/>
            </w14:solidFill>
          </w14:textFill>
        </w:rPr>
        <w:t>细度、</w:t>
      </w:r>
      <w:r>
        <w:rPr>
          <w:rFonts w:eastAsiaTheme="majorEastAsia"/>
          <w:color w:val="000000" w:themeColor="text1"/>
          <w:sz w:val="24"/>
          <w14:textFill>
            <w14:solidFill>
              <w14:schemeClr w14:val="tx1"/>
            </w14:solidFill>
          </w14:textFill>
        </w:rPr>
        <w:t>凝结时间、抗压强度、</w:t>
      </w:r>
      <w:r>
        <w:rPr>
          <w:rFonts w:hint="eastAsia" w:eastAsiaTheme="majorEastAsia"/>
          <w:color w:val="000000" w:themeColor="text1"/>
          <w:sz w:val="24"/>
          <w14:textFill>
            <w14:solidFill>
              <w14:schemeClr w14:val="tx1"/>
            </w14:solidFill>
          </w14:textFill>
        </w:rPr>
        <w:t>限制</w:t>
      </w:r>
      <w:r>
        <w:rPr>
          <w:rFonts w:eastAsiaTheme="majorEastAsia"/>
          <w:color w:val="000000" w:themeColor="text1"/>
          <w:sz w:val="24"/>
          <w14:textFill>
            <w14:solidFill>
              <w14:schemeClr w14:val="tx1"/>
            </w14:solidFill>
          </w14:textFill>
        </w:rPr>
        <w:t>膨胀率）</w:t>
      </w:r>
      <w:r>
        <w:rPr>
          <w:rFonts w:hint="eastAsia" w:eastAsiaTheme="majorEastAsia"/>
          <w:color w:val="000000" w:themeColor="text1"/>
          <w:sz w:val="24"/>
          <w14:textFill>
            <w14:solidFill>
              <w14:schemeClr w14:val="tx1"/>
            </w14:solidFill>
          </w14:textFill>
        </w:rPr>
        <w:t>等指标</w:t>
      </w:r>
      <w:r>
        <w:rPr>
          <w:rFonts w:eastAsiaTheme="majorEastAsia"/>
          <w:color w:val="000000" w:themeColor="text1"/>
          <w:sz w:val="24"/>
          <w14:textFill>
            <w14:solidFill>
              <w14:schemeClr w14:val="tx1"/>
            </w14:solidFill>
          </w14:textFill>
        </w:rPr>
        <w:t>。该标准框架逻辑性较强，遵循</w:t>
      </w:r>
      <w:r>
        <w:rPr>
          <w:rFonts w:hint="eastAsia" w:eastAsiaTheme="majorEastAsia"/>
          <w:color w:val="000000" w:themeColor="text1"/>
          <w:sz w:val="24"/>
          <w14:textFill>
            <w14:solidFill>
              <w14:schemeClr w14:val="tx1"/>
            </w14:solidFill>
          </w14:textFill>
        </w:rPr>
        <w:t>“界定范围－奠定基础－明确要求－规范方法”的逻</w:t>
      </w:r>
      <w:r>
        <w:rPr>
          <w:rFonts w:eastAsiaTheme="majorEastAsia"/>
          <w:color w:val="000000" w:themeColor="text1"/>
          <w:sz w:val="24"/>
          <w14:textFill>
            <w14:solidFill>
              <w14:schemeClr w14:val="tx1"/>
            </w14:solidFill>
          </w14:textFill>
        </w:rPr>
        <w:t>辑链条，各部分衔接顺畅，但未覆盖</w:t>
      </w:r>
      <w:r>
        <w:rPr>
          <w:rFonts w:hint="eastAsia" w:eastAsiaTheme="majorEastAsia"/>
          <w:color w:val="000000" w:themeColor="text1"/>
          <w:sz w:val="24"/>
          <w14:textFill>
            <w14:solidFill>
              <w14:schemeClr w14:val="tx1"/>
            </w14:solidFill>
          </w14:textFill>
        </w:rPr>
        <w:t>氧化镁膨胀剂、钙镁复合膨胀剂</w:t>
      </w:r>
      <w:r>
        <w:rPr>
          <w:rFonts w:eastAsiaTheme="majorEastAsia"/>
          <w:color w:val="000000" w:themeColor="text1"/>
          <w:sz w:val="24"/>
          <w14:textFill>
            <w14:solidFill>
              <w14:schemeClr w14:val="tx1"/>
            </w14:solidFill>
          </w14:textFill>
        </w:rPr>
        <w:t>，也未涵盖与其他外加剂复合使用的特殊要求。</w:t>
      </w:r>
    </w:p>
    <w:p w14:paraId="3E2C3027">
      <w:pPr>
        <w:spacing w:line="360" w:lineRule="auto"/>
        <w:ind w:firstLine="480" w:firstLineChars="200"/>
        <w:rPr>
          <w:rFonts w:eastAsiaTheme="majorEastAsia"/>
          <w:color w:val="000000" w:themeColor="text1"/>
          <w:sz w:val="24"/>
          <w14:textFill>
            <w14:solidFill>
              <w14:schemeClr w14:val="tx1"/>
            </w14:solidFill>
          </w14:textFill>
        </w:rPr>
      </w:pPr>
      <w:r>
        <w:rPr>
          <w:rFonts w:hint="eastAsia" w:eastAsiaTheme="majorEastAsia"/>
          <w:color w:val="000000" w:themeColor="text1"/>
          <w:sz w:val="24"/>
          <w14:textFill>
            <w14:solidFill>
              <w14:schemeClr w14:val="tx1"/>
            </w14:solidFill>
          </w14:textFill>
        </w:rPr>
        <w:t>（2）</w:t>
      </w:r>
      <w:r>
        <w:rPr>
          <w:rFonts w:eastAsiaTheme="majorEastAsia"/>
          <w:color w:val="000000" w:themeColor="text1"/>
          <w:sz w:val="24"/>
          <w14:textFill>
            <w14:solidFill>
              <w14:schemeClr w14:val="tx1"/>
            </w14:solidFill>
          </w14:textFill>
        </w:rPr>
        <w:t>JGJ/T</w:t>
      </w:r>
      <w:r>
        <w:rPr>
          <w:rFonts w:hint="eastAsia" w:eastAsiaTheme="majorEastAsia"/>
          <w:color w:val="000000" w:themeColor="text1"/>
          <w:sz w:val="24"/>
          <w14:textFill>
            <w14:solidFill>
              <w14:schemeClr w14:val="tx1"/>
            </w14:solidFill>
          </w14:textFill>
        </w:rPr>
        <w:t xml:space="preserve"> </w:t>
      </w:r>
      <w:r>
        <w:rPr>
          <w:rFonts w:eastAsiaTheme="majorEastAsia"/>
          <w:color w:val="000000" w:themeColor="text1"/>
          <w:sz w:val="24"/>
          <w14:textFill>
            <w14:solidFill>
              <w14:schemeClr w14:val="tx1"/>
            </w14:solidFill>
          </w14:textFill>
        </w:rPr>
        <w:t>178</w:t>
      </w:r>
      <w:r>
        <w:rPr>
          <w:rFonts w:hint="eastAsia" w:eastAsiaTheme="majorEastAsia"/>
          <w:color w:val="000000" w:themeColor="text1"/>
          <w:sz w:val="24"/>
          <w14:textFill>
            <w14:solidFill>
              <w14:schemeClr w14:val="tx1"/>
            </w14:solidFill>
          </w14:textFill>
        </w:rPr>
        <w:t>—</w:t>
      </w:r>
      <w:r>
        <w:rPr>
          <w:rFonts w:eastAsiaTheme="majorEastAsia"/>
          <w:color w:val="000000" w:themeColor="text1"/>
          <w:sz w:val="24"/>
          <w14:textFill>
            <w14:solidFill>
              <w14:schemeClr w14:val="tx1"/>
            </w14:solidFill>
          </w14:textFill>
        </w:rPr>
        <w:t>2009《补偿收缩混凝土应用技术规程》：</w:t>
      </w:r>
      <w:bookmarkStart w:id="4" w:name="OLE_LINK4"/>
      <w:r>
        <w:rPr>
          <w:rFonts w:hint="eastAsia" w:eastAsiaTheme="majorEastAsia"/>
          <w:color w:val="000000" w:themeColor="text1"/>
          <w:sz w:val="24"/>
          <w14:textFill>
            <w14:solidFill>
              <w14:schemeClr w14:val="tx1"/>
            </w14:solidFill>
          </w14:textFill>
        </w:rPr>
        <w:t>工程建设</w:t>
      </w:r>
      <w:r>
        <w:rPr>
          <w:rFonts w:eastAsiaTheme="majorEastAsia"/>
          <w:color w:val="000000" w:themeColor="text1"/>
          <w:sz w:val="24"/>
          <w14:textFill>
            <w14:solidFill>
              <w14:schemeClr w14:val="tx1"/>
            </w14:solidFill>
          </w14:textFill>
        </w:rPr>
        <w:t>标准</w:t>
      </w:r>
      <w:bookmarkEnd w:id="4"/>
      <w:r>
        <w:rPr>
          <w:rFonts w:eastAsiaTheme="majorEastAsia"/>
          <w:color w:val="000000" w:themeColor="text1"/>
          <w:sz w:val="24"/>
          <w14:textFill>
            <w14:solidFill>
              <w14:schemeClr w14:val="tx1"/>
            </w14:solidFill>
          </w14:textFill>
        </w:rPr>
        <w:t>，规定了补偿收缩混凝土的</w:t>
      </w:r>
      <w:r>
        <w:rPr>
          <w:rFonts w:hint="eastAsia" w:eastAsiaTheme="majorEastAsia"/>
          <w:color w:val="000000" w:themeColor="text1"/>
          <w:sz w:val="24"/>
          <w14:textFill>
            <w14:solidFill>
              <w14:schemeClr w14:val="tx1"/>
            </w14:solidFill>
          </w14:textFill>
        </w:rPr>
        <w:t>设计原则、原材料选择、配合比、生产和运输、浇筑和养护、验收等技术要求。该标准仅适用于GB/T 23439规定的硫铝酸钙类、氧化钙类、硫铝酸钙-氧化钙类粉状混凝土膨胀剂。</w:t>
      </w:r>
    </w:p>
    <w:p w14:paraId="40D3D585">
      <w:pPr>
        <w:spacing w:line="360" w:lineRule="auto"/>
        <w:ind w:firstLine="480" w:firstLineChars="200"/>
        <w:rPr>
          <w:rFonts w:eastAsiaTheme="majorEastAsia"/>
          <w:color w:val="000000" w:themeColor="text1"/>
          <w:sz w:val="24"/>
          <w14:textFill>
            <w14:solidFill>
              <w14:schemeClr w14:val="tx1"/>
            </w14:solidFill>
          </w14:textFill>
        </w:rPr>
      </w:pPr>
      <w:r>
        <w:rPr>
          <w:rFonts w:hint="eastAsia" w:eastAsiaTheme="majorEastAsia"/>
          <w:color w:val="000000" w:themeColor="text1"/>
          <w:sz w:val="24"/>
          <w14:textFill>
            <w14:solidFill>
              <w14:schemeClr w14:val="tx1"/>
            </w14:solidFill>
          </w14:textFill>
        </w:rPr>
        <w:t>（3）</w:t>
      </w:r>
      <w:r>
        <w:rPr>
          <w:rFonts w:eastAsiaTheme="majorEastAsia"/>
          <w:color w:val="000000" w:themeColor="text1"/>
          <w:sz w:val="24"/>
          <w14:textFill>
            <w14:solidFill>
              <w14:schemeClr w14:val="tx1"/>
            </w14:solidFill>
          </w14:textFill>
        </w:rPr>
        <w:t>GB 50119</w:t>
      </w:r>
      <w:r>
        <w:rPr>
          <w:rFonts w:hint="eastAsia" w:eastAsiaTheme="majorEastAsia"/>
          <w:color w:val="000000" w:themeColor="text1"/>
          <w:sz w:val="24"/>
          <w14:textFill>
            <w14:solidFill>
              <w14:schemeClr w14:val="tx1"/>
            </w14:solidFill>
          </w14:textFill>
        </w:rPr>
        <w:t>—</w:t>
      </w:r>
      <w:r>
        <w:rPr>
          <w:rFonts w:eastAsiaTheme="majorEastAsia"/>
          <w:color w:val="000000" w:themeColor="text1"/>
          <w:sz w:val="24"/>
          <w14:textFill>
            <w14:solidFill>
              <w14:schemeClr w14:val="tx1"/>
            </w14:solidFill>
          </w14:textFill>
        </w:rPr>
        <w:t>2013《混凝土外加剂应用技术规范》：通用应用标准，对膨胀剂的</w:t>
      </w:r>
      <w:r>
        <w:rPr>
          <w:rFonts w:hint="eastAsia" w:eastAsiaTheme="majorEastAsia"/>
          <w:color w:val="000000" w:themeColor="text1"/>
          <w:sz w:val="24"/>
          <w14:textFill>
            <w14:solidFill>
              <w14:schemeClr w14:val="tx1"/>
            </w14:solidFill>
          </w14:textFill>
        </w:rPr>
        <w:t>适用</w:t>
      </w:r>
      <w:r>
        <w:rPr>
          <w:rFonts w:eastAsiaTheme="majorEastAsia"/>
          <w:color w:val="000000" w:themeColor="text1"/>
          <w:sz w:val="24"/>
          <w14:textFill>
            <w14:solidFill>
              <w14:schemeClr w14:val="tx1"/>
            </w14:solidFill>
          </w14:textFill>
        </w:rPr>
        <w:t>范围、</w:t>
      </w:r>
      <w:r>
        <w:rPr>
          <w:rFonts w:hint="eastAsia" w:eastAsiaTheme="majorEastAsia"/>
          <w:color w:val="000000" w:themeColor="text1"/>
          <w:sz w:val="24"/>
          <w14:textFill>
            <w14:solidFill>
              <w14:schemeClr w14:val="tx1"/>
            </w14:solidFill>
          </w14:textFill>
        </w:rPr>
        <w:t>技术要求、进场检验、施工，并规定了补偿收缩混凝土的限制膨胀率测定方法。该标准适用于硫铝酸钙类、氧化钙类、硫铝酸钙-氧化钙类混凝土膨胀剂。</w:t>
      </w:r>
    </w:p>
    <w:p w14:paraId="34FA0C8A">
      <w:pPr>
        <w:spacing w:line="360" w:lineRule="auto"/>
        <w:ind w:firstLine="480" w:firstLineChars="200"/>
        <w:rPr>
          <w:rFonts w:eastAsiaTheme="majorEastAsia"/>
          <w:color w:val="000000" w:themeColor="text1"/>
          <w:sz w:val="24"/>
          <w14:textFill>
            <w14:solidFill>
              <w14:schemeClr w14:val="tx1"/>
            </w14:solidFill>
          </w14:textFill>
        </w:rPr>
      </w:pPr>
      <w:r>
        <w:rPr>
          <w:rFonts w:hint="eastAsia" w:eastAsiaTheme="majorEastAsia"/>
          <w:color w:val="000000" w:themeColor="text1"/>
          <w:sz w:val="24"/>
          <w14:textFill>
            <w14:solidFill>
              <w14:schemeClr w14:val="tx1"/>
            </w14:solidFill>
          </w14:textFill>
        </w:rPr>
        <w:t>（4）DL/T 5296—2013 《水工混凝土掺用氧化镁技术规范》，工程建设标准，该标准适用于水电水利工程掺合氧化镁的混凝土，规定了氧化镁技术要求、水工混凝土掺用氧化镁的技术要求、掺氧化镁混凝土的质量控制和检查及相应的测定试验方法，有效规范了氧化镁在水工混凝土中的应用。</w:t>
      </w:r>
    </w:p>
    <w:p w14:paraId="4AA541A3">
      <w:pPr>
        <w:spacing w:line="360" w:lineRule="auto"/>
        <w:ind w:firstLine="480" w:firstLineChars="200"/>
        <w:rPr>
          <w:rFonts w:eastAsiaTheme="majorEastAsia"/>
          <w:color w:val="000000" w:themeColor="text1"/>
          <w:sz w:val="24"/>
          <w14:textFill>
            <w14:solidFill>
              <w14:schemeClr w14:val="tx1"/>
            </w14:solidFill>
          </w14:textFill>
        </w:rPr>
      </w:pPr>
      <w:r>
        <w:rPr>
          <w:rFonts w:hint="eastAsia" w:eastAsiaTheme="majorEastAsia"/>
          <w:color w:val="000000" w:themeColor="text1"/>
          <w:sz w:val="24"/>
          <w14:textFill>
            <w14:solidFill>
              <w14:schemeClr w14:val="tx1"/>
            </w14:solidFill>
          </w14:textFill>
        </w:rPr>
        <w:t>（5）CBMF 19—2017《混凝土用氧化镁膨胀剂》，产品标准，规定了混凝土用氧化镁膨胀剂的分类、技术要求、试验方法和检验规定，在一定程度上规范了我国氧化镁膨胀剂的产品品质，该标准成功入选2018年“百项团体标准应用示范项目”。但由于部分产品指标设置不合理，导致产品检测经常不合格。</w:t>
      </w:r>
    </w:p>
    <w:p w14:paraId="206D1BB9">
      <w:pPr>
        <w:spacing w:line="360" w:lineRule="auto"/>
        <w:ind w:firstLine="480" w:firstLineChars="200"/>
        <w:rPr>
          <w:rFonts w:eastAsiaTheme="majorEastAsia"/>
          <w:color w:val="000000" w:themeColor="text1"/>
          <w:sz w:val="24"/>
          <w14:textFill>
            <w14:solidFill>
              <w14:schemeClr w14:val="tx1"/>
            </w14:solidFill>
          </w14:textFill>
        </w:rPr>
      </w:pPr>
      <w:r>
        <w:rPr>
          <w:rFonts w:hint="eastAsia" w:eastAsiaTheme="majorEastAsia"/>
          <w:color w:val="000000" w:themeColor="text1"/>
          <w:sz w:val="24"/>
          <w14:textFill>
            <w14:solidFill>
              <w14:schemeClr w14:val="tx1"/>
            </w14:solidFill>
          </w14:textFill>
        </w:rPr>
        <w:t>（6）T/CECS 540—2018《混凝土用氧化镁膨胀剂应用技术规程》，工程建设标准，该标准适用于氧化镁膨胀剂在工业与民用建筑、市政、交通和一般构筑物等混凝土工程中的应用，主要内容包括设计、原材料选择、混凝土技术要求、配合比、生产和运输、浇筑和养护、质量检验与验收，为工程应用推广奠定了标准基础，促进了行业发展。</w:t>
      </w:r>
    </w:p>
    <w:p w14:paraId="7057BF34">
      <w:pPr>
        <w:shd w:val="clear" w:color="auto" w:fill="FFFFFF"/>
        <w:spacing w:line="360" w:lineRule="auto"/>
        <w:ind w:firstLine="480"/>
        <w:rPr>
          <w:rFonts w:eastAsiaTheme="majorEastAsia"/>
          <w:color w:val="000000" w:themeColor="text1"/>
          <w:sz w:val="24"/>
          <w14:textFill>
            <w14:solidFill>
              <w14:schemeClr w14:val="tx1"/>
            </w14:solidFill>
          </w14:textFill>
        </w:rPr>
      </w:pPr>
      <w:r>
        <w:rPr>
          <w:rFonts w:hint="eastAsia" w:eastAsiaTheme="majorEastAsia"/>
          <w:color w:val="000000" w:themeColor="text1"/>
          <w:sz w:val="24"/>
          <w14:textFill>
            <w14:solidFill>
              <w14:schemeClr w14:val="tx1"/>
            </w14:solidFill>
          </w14:textFill>
        </w:rPr>
        <w:t>（7）T/CECS 10082—2020《混凝土用钙镁复合膨胀剂》，产品标准，该标准适用于混凝土用钙镁复合膨胀剂，规定了其分类和标记、技术要求、检验规则，该标准在一定程度规范我国钙镁复合膨胀剂的产品品质，推动了钙镁复合膨胀剂在我国工程中的应用。</w:t>
      </w:r>
    </w:p>
    <w:p w14:paraId="42CD2C4E">
      <w:pPr>
        <w:spacing w:line="360" w:lineRule="auto"/>
        <w:ind w:firstLine="480" w:firstLineChars="200"/>
        <w:rPr>
          <w:rFonts w:eastAsiaTheme="majorEastAsia"/>
          <w:color w:val="000000" w:themeColor="text1"/>
          <w:sz w:val="24"/>
          <w14:textFill>
            <w14:solidFill>
              <w14:schemeClr w14:val="tx1"/>
            </w14:solidFill>
          </w14:textFill>
        </w:rPr>
      </w:pPr>
      <w:r>
        <w:rPr>
          <w:rFonts w:hint="eastAsia" w:eastAsiaTheme="majorEastAsia"/>
          <w:color w:val="000000" w:themeColor="text1"/>
          <w:sz w:val="24"/>
          <w14:textFill>
            <w14:solidFill>
              <w14:schemeClr w14:val="tx1"/>
            </w14:solidFill>
          </w14:textFill>
        </w:rPr>
        <w:t>1.5.2 国外标准</w:t>
      </w:r>
    </w:p>
    <w:p w14:paraId="73679CFB">
      <w:pPr>
        <w:spacing w:line="360" w:lineRule="auto"/>
        <w:ind w:firstLine="480" w:firstLineChars="200"/>
        <w:rPr>
          <w:rFonts w:eastAsiaTheme="majorEastAsia"/>
          <w:color w:val="000000" w:themeColor="text1"/>
          <w:sz w:val="24"/>
          <w14:textFill>
            <w14:solidFill>
              <w14:schemeClr w14:val="tx1"/>
            </w14:solidFill>
          </w14:textFill>
        </w:rPr>
      </w:pPr>
      <w:r>
        <w:rPr>
          <w:rFonts w:eastAsiaTheme="majorEastAsia"/>
          <w:color w:val="000000" w:themeColor="text1"/>
          <w:sz w:val="24"/>
          <w14:textFill>
            <w14:solidFill>
              <w14:schemeClr w14:val="tx1"/>
            </w14:solidFill>
          </w14:textFill>
        </w:rPr>
        <w:t>国外混凝土膨胀剂标准体系起步早，注重与工程实际需求结合，强调产品性能的精细化、专用化和环保性，主要核心标准如下：</w:t>
      </w:r>
    </w:p>
    <w:p w14:paraId="39EA2738">
      <w:pPr>
        <w:spacing w:line="360" w:lineRule="auto"/>
        <w:ind w:firstLine="480" w:firstLineChars="200"/>
        <w:rPr>
          <w:rFonts w:eastAsiaTheme="majorEastAsia"/>
          <w:color w:val="000000" w:themeColor="text1"/>
          <w:sz w:val="24"/>
          <w14:textFill>
            <w14:solidFill>
              <w14:schemeClr w14:val="tx1"/>
            </w14:solidFill>
          </w14:textFill>
        </w:rPr>
      </w:pPr>
      <w:r>
        <w:rPr>
          <w:rFonts w:hint="eastAsia" w:eastAsiaTheme="majorEastAsia"/>
          <w:color w:val="000000" w:themeColor="text1"/>
          <w:sz w:val="24"/>
          <w14:textFill>
            <w14:solidFill>
              <w14:schemeClr w14:val="tx1"/>
            </w14:solidFill>
          </w14:textFill>
        </w:rPr>
        <w:t>（1）</w:t>
      </w:r>
      <w:r>
        <w:rPr>
          <w:rFonts w:eastAsiaTheme="majorEastAsia"/>
          <w:color w:val="000000" w:themeColor="text1"/>
          <w:sz w:val="24"/>
          <w14:textFill>
            <w14:solidFill>
              <w14:schemeClr w14:val="tx1"/>
            </w14:solidFill>
          </w14:textFill>
        </w:rPr>
        <w:t>日本：</w:t>
      </w:r>
      <w:bookmarkStart w:id="5" w:name="OLE_LINK7"/>
      <w:r>
        <w:rPr>
          <w:rFonts w:eastAsiaTheme="majorEastAsia"/>
          <w:color w:val="000000" w:themeColor="text1"/>
          <w:sz w:val="24"/>
          <w14:textFill>
            <w14:solidFill>
              <w14:schemeClr w14:val="tx1"/>
            </w14:solidFill>
          </w14:textFill>
        </w:rPr>
        <w:t>JIS A 6202</w:t>
      </w:r>
      <w:bookmarkEnd w:id="5"/>
      <w:r>
        <w:rPr>
          <w:rFonts w:hint="eastAsia" w:eastAsiaTheme="majorEastAsia"/>
          <w:color w:val="000000" w:themeColor="text1"/>
          <w:sz w:val="24"/>
          <w14:textFill>
            <w14:solidFill>
              <w14:schemeClr w14:val="tx1"/>
            </w14:solidFill>
          </w14:textFill>
        </w:rPr>
        <w:t>：2017</w:t>
      </w:r>
      <w:r>
        <w:rPr>
          <w:rFonts w:eastAsiaTheme="majorEastAsia"/>
          <w:color w:val="000000" w:themeColor="text1"/>
          <w:sz w:val="24"/>
          <w14:textFill>
            <w14:solidFill>
              <w14:schemeClr w14:val="tx1"/>
            </w14:solidFill>
          </w14:textFill>
        </w:rPr>
        <w:t>《コンクリート用膨張材》，</w:t>
      </w:r>
      <w:r>
        <w:rPr>
          <w:rFonts w:hint="eastAsia" w:eastAsiaTheme="majorEastAsia"/>
          <w:color w:val="000000" w:themeColor="text1"/>
          <w:sz w:val="24"/>
          <w14:textFill>
            <w14:solidFill>
              <w14:schemeClr w14:val="tx1"/>
            </w14:solidFill>
          </w14:textFill>
        </w:rPr>
        <w:t>产品标准，该标准适</w:t>
      </w:r>
      <w:r>
        <w:rPr>
          <w:rFonts w:eastAsiaTheme="majorEastAsia"/>
          <w:color w:val="000000" w:themeColor="text1"/>
          <w:sz w:val="24"/>
          <w14:textFill>
            <w14:solidFill>
              <w14:schemeClr w14:val="tx1"/>
            </w14:solidFill>
          </w14:textFill>
        </w:rPr>
        <w:t>用于混凝土或砂浆中的膨胀剂</w:t>
      </w:r>
      <w:r>
        <w:rPr>
          <w:rFonts w:hint="eastAsia" w:eastAsiaTheme="majorEastAsia"/>
          <w:color w:val="000000" w:themeColor="text1"/>
          <w:sz w:val="24"/>
          <w14:textFill>
            <w14:solidFill>
              <w14:schemeClr w14:val="tx1"/>
            </w14:solidFill>
          </w14:textFill>
        </w:rPr>
        <w:t>。</w:t>
      </w:r>
      <w:r>
        <w:rPr>
          <w:rFonts w:eastAsiaTheme="majorEastAsia"/>
          <w:color w:val="000000" w:themeColor="text1"/>
          <w:sz w:val="24"/>
          <w14:textFill>
            <w14:solidFill>
              <w14:schemeClr w14:val="tx1"/>
            </w14:solidFill>
          </w14:textFill>
        </w:rPr>
        <w:t>与我国GB/T 23439</w:t>
      </w:r>
      <w:r>
        <w:rPr>
          <w:rFonts w:hint="eastAsia" w:eastAsiaTheme="majorEastAsia"/>
          <w:color w:val="000000" w:themeColor="text1"/>
          <w:sz w:val="24"/>
          <w14:textFill>
            <w14:solidFill>
              <w14:schemeClr w14:val="tx1"/>
            </w14:solidFill>
          </w14:textFill>
        </w:rPr>
        <w:t>—</w:t>
      </w:r>
      <w:r>
        <w:rPr>
          <w:rFonts w:eastAsiaTheme="majorEastAsia"/>
          <w:color w:val="000000" w:themeColor="text1"/>
          <w:sz w:val="24"/>
          <w14:textFill>
            <w14:solidFill>
              <w14:schemeClr w14:val="tx1"/>
            </w14:solidFill>
          </w14:textFill>
        </w:rPr>
        <w:t>2017类似，</w:t>
      </w:r>
      <w:r>
        <w:rPr>
          <w:rFonts w:hint="eastAsia" w:eastAsiaTheme="majorEastAsia"/>
          <w:color w:val="000000" w:themeColor="text1"/>
          <w:sz w:val="24"/>
          <w14:textFill>
            <w14:solidFill>
              <w14:schemeClr w14:val="tx1"/>
            </w14:solidFill>
          </w14:textFill>
        </w:rPr>
        <w:t>明确了膨胀剂的分类，规定了氧化镁、烧失量、碱含量、氯离子、细度、凝结时间、限制膨胀率、抗压强度等产品技术要求和试验方法，</w:t>
      </w:r>
      <w:r>
        <w:rPr>
          <w:rFonts w:eastAsiaTheme="majorEastAsia"/>
          <w:color w:val="000000" w:themeColor="text1"/>
          <w:sz w:val="24"/>
          <w14:textFill>
            <w14:solidFill>
              <w14:schemeClr w14:val="tx1"/>
            </w14:solidFill>
          </w14:textFill>
        </w:rPr>
        <w:t>注重膨胀剂的体积稳定性</w:t>
      </w:r>
      <w:r>
        <w:rPr>
          <w:rFonts w:hint="eastAsia" w:eastAsiaTheme="majorEastAsia"/>
          <w:color w:val="000000" w:themeColor="text1"/>
          <w:sz w:val="24"/>
          <w14:textFill>
            <w14:solidFill>
              <w14:schemeClr w14:val="tx1"/>
            </w14:solidFill>
          </w14:textFill>
        </w:rPr>
        <w:t>，</w:t>
      </w:r>
      <w:r>
        <w:rPr>
          <w:rFonts w:eastAsiaTheme="majorEastAsia"/>
          <w:color w:val="000000" w:themeColor="text1"/>
          <w:sz w:val="24"/>
          <w14:textFill>
            <w14:solidFill>
              <w14:schemeClr w14:val="tx1"/>
            </w14:solidFill>
          </w14:textFill>
        </w:rPr>
        <w:t>与日本的工程实际需求结合紧密，尤其适配铁路、地下工程等对膨胀性能要求较高的场景。</w:t>
      </w:r>
    </w:p>
    <w:p w14:paraId="0DBA67E2">
      <w:pPr>
        <w:spacing w:line="360" w:lineRule="auto"/>
        <w:ind w:firstLine="480" w:firstLineChars="200"/>
        <w:rPr>
          <w:rFonts w:eastAsiaTheme="majorEastAsia"/>
          <w:color w:val="000000" w:themeColor="text1"/>
          <w:sz w:val="24"/>
          <w14:textFill>
            <w14:solidFill>
              <w14:schemeClr w14:val="tx1"/>
            </w14:solidFill>
          </w14:textFill>
        </w:rPr>
      </w:pPr>
      <w:r>
        <w:rPr>
          <w:rFonts w:hint="eastAsia" w:eastAsiaTheme="majorEastAsia"/>
          <w:color w:val="000000" w:themeColor="text1"/>
          <w:sz w:val="24"/>
          <w14:textFill>
            <w14:solidFill>
              <w14:schemeClr w14:val="tx1"/>
            </w14:solidFill>
          </w14:textFill>
        </w:rPr>
        <w:t>（2）</w:t>
      </w:r>
      <w:r>
        <w:rPr>
          <w:rFonts w:eastAsiaTheme="majorEastAsia"/>
          <w:color w:val="000000" w:themeColor="text1"/>
          <w:sz w:val="24"/>
          <w14:textFill>
            <w14:solidFill>
              <w14:schemeClr w14:val="tx1"/>
            </w14:solidFill>
          </w14:textFill>
        </w:rPr>
        <w:t>美国：ASTM C845</w:t>
      </w:r>
      <w:r>
        <w:rPr>
          <w:rFonts w:hint="eastAsia" w:eastAsiaTheme="majorEastAsia"/>
          <w:color w:val="000000" w:themeColor="text1"/>
          <w:sz w:val="24"/>
          <w14:textFill>
            <w14:solidFill>
              <w14:schemeClr w14:val="tx1"/>
            </w14:solidFill>
          </w14:textFill>
        </w:rPr>
        <w:t>/C845M-24</w:t>
      </w:r>
      <w:r>
        <w:rPr>
          <w:rFonts w:eastAsiaTheme="majorEastAsia"/>
          <w:color w:val="000000" w:themeColor="text1"/>
          <w:sz w:val="24"/>
          <w14:textFill>
            <w14:solidFill>
              <w14:schemeClr w14:val="tx1"/>
            </w14:solidFill>
          </w14:textFill>
        </w:rPr>
        <w:t>《Standard Specification for Expansive Hydraulic Cement》，</w:t>
      </w:r>
      <w:r>
        <w:rPr>
          <w:rFonts w:hint="eastAsia" w:eastAsiaTheme="majorEastAsia"/>
          <w:color w:val="000000" w:themeColor="text1"/>
          <w:sz w:val="24"/>
          <w14:textFill>
            <w14:solidFill>
              <w14:schemeClr w14:val="tx1"/>
            </w14:solidFill>
          </w14:textFill>
        </w:rPr>
        <w:t>该标准规定</w:t>
      </w:r>
      <w:r>
        <w:rPr>
          <w:rFonts w:eastAsiaTheme="majorEastAsia"/>
          <w:color w:val="000000" w:themeColor="text1"/>
          <w:sz w:val="24"/>
          <w14:textFill>
            <w14:solidFill>
              <w14:schemeClr w14:val="tx1"/>
            </w14:solidFill>
          </w14:textFill>
        </w:rPr>
        <w:t>了三种膨胀水硬性水泥：K型（含无水硫铝酸钙）、M型（含铝酸钙水泥）和S型（含C</w:t>
      </w:r>
      <w:r>
        <w:rPr>
          <w:rFonts w:eastAsiaTheme="majorEastAsia"/>
          <w:color w:val="000000" w:themeColor="text1"/>
          <w:sz w:val="24"/>
          <w:vertAlign w:val="subscript"/>
          <w14:textFill>
            <w14:solidFill>
              <w14:schemeClr w14:val="tx1"/>
            </w14:solidFill>
          </w14:textFill>
        </w:rPr>
        <w:t>3</w:t>
      </w:r>
      <w:r>
        <w:rPr>
          <w:rFonts w:eastAsiaTheme="majorEastAsia"/>
          <w:color w:val="000000" w:themeColor="text1"/>
          <w:sz w:val="24"/>
          <w14:textFill>
            <w14:solidFill>
              <w14:schemeClr w14:val="tx1"/>
            </w14:solidFill>
          </w14:textFill>
        </w:rPr>
        <w:t>A）。其膨胀机理主要源于钙矾石生成反应，7天膨胀率要求0.04-0.10%，28天强度需达24MPa以上。</w:t>
      </w:r>
      <w:r>
        <w:rPr>
          <w:rFonts w:hint="eastAsia" w:eastAsiaTheme="majorEastAsia"/>
          <w:color w:val="000000" w:themeColor="text1"/>
          <w:sz w:val="24"/>
          <w14:textFill>
            <w14:solidFill>
              <w14:schemeClr w14:val="tx1"/>
            </w14:solidFill>
          </w14:textFill>
        </w:rPr>
        <w:t>ASTM C878/C878M-22《</w:t>
      </w:r>
      <w:r>
        <w:rPr>
          <w:rFonts w:eastAsiaTheme="majorEastAsia"/>
          <w:color w:val="000000" w:themeColor="text1"/>
          <w:sz w:val="24"/>
          <w14:textFill>
            <w14:solidFill>
              <w14:schemeClr w14:val="tx1"/>
            </w14:solidFill>
          </w14:textFill>
        </w:rPr>
        <w:t>Standard Test Method for Restrained Expansion of Shrinkage-Compensating Concrete</w:t>
      </w:r>
      <w:r>
        <w:rPr>
          <w:rFonts w:hint="eastAsia" w:eastAsiaTheme="majorEastAsia"/>
          <w:color w:val="000000" w:themeColor="text1"/>
          <w:sz w:val="24"/>
          <w14:textFill>
            <w14:solidFill>
              <w14:schemeClr w14:val="tx1"/>
            </w14:solidFill>
          </w14:textFill>
        </w:rPr>
        <w:t>》，方法标准，该标准规定了补偿收缩混凝土限制膨胀率测试方法。</w:t>
      </w:r>
      <w:bookmarkStart w:id="6" w:name="OLE_LINK11"/>
      <w:r>
        <w:rPr>
          <w:rFonts w:eastAsiaTheme="majorEastAsia"/>
          <w:color w:val="000000" w:themeColor="text1"/>
          <w:sz w:val="24"/>
          <w14:textFill>
            <w14:solidFill>
              <w14:schemeClr w14:val="tx1"/>
            </w14:solidFill>
          </w14:textFill>
        </w:rPr>
        <w:t>ACI</w:t>
      </w:r>
      <w:r>
        <w:rPr>
          <w:rFonts w:hint="eastAsia" w:eastAsiaTheme="majorEastAsia"/>
          <w:color w:val="000000" w:themeColor="text1"/>
          <w:sz w:val="24"/>
          <w14:textFill>
            <w14:solidFill>
              <w14:schemeClr w14:val="tx1"/>
            </w14:solidFill>
          </w14:textFill>
        </w:rPr>
        <w:t xml:space="preserve"> PRC-223-21</w:t>
      </w:r>
      <w:bookmarkEnd w:id="6"/>
      <w:r>
        <w:rPr>
          <w:rFonts w:hint="eastAsia" w:eastAsiaTheme="majorEastAsia"/>
          <w:color w:val="000000" w:themeColor="text1"/>
          <w:sz w:val="24"/>
          <w14:textFill>
            <w14:solidFill>
              <w14:schemeClr w14:val="tx1"/>
            </w14:solidFill>
          </w14:textFill>
        </w:rPr>
        <w:t>《</w:t>
      </w:r>
      <w:r>
        <w:rPr>
          <w:rFonts w:eastAsiaTheme="majorEastAsia"/>
          <w:color w:val="000000" w:themeColor="text1"/>
          <w:sz w:val="24"/>
          <w14:textFill>
            <w14:solidFill>
              <w14:schemeClr w14:val="tx1"/>
            </w14:solidFill>
          </w14:textFill>
        </w:rPr>
        <w:t>Shrinkage-Compensating Concrete—Guide</w:t>
      </w:r>
      <w:r>
        <w:rPr>
          <w:rFonts w:hint="eastAsia" w:eastAsiaTheme="majorEastAsia"/>
          <w:color w:val="000000" w:themeColor="text1"/>
          <w:sz w:val="24"/>
          <w14:textFill>
            <w14:solidFill>
              <w14:schemeClr w14:val="tx1"/>
            </w14:solidFill>
          </w14:textFill>
        </w:rPr>
        <w:t>》工程建设标准，</w:t>
      </w:r>
      <w:r>
        <w:rPr>
          <w:rFonts w:eastAsiaTheme="majorEastAsia"/>
          <w:color w:val="000000" w:themeColor="text1"/>
          <w:sz w:val="24"/>
          <w14:textFill>
            <w14:solidFill>
              <w14:schemeClr w14:val="tx1"/>
            </w14:solidFill>
          </w14:textFill>
        </w:rPr>
        <w:t>指导膨胀</w:t>
      </w:r>
      <w:r>
        <w:rPr>
          <w:rFonts w:hint="eastAsia" w:eastAsiaTheme="majorEastAsia"/>
          <w:color w:val="000000" w:themeColor="text1"/>
          <w:sz w:val="24"/>
          <w14:textFill>
            <w14:solidFill>
              <w14:schemeClr w14:val="tx1"/>
            </w14:solidFill>
          </w14:textFill>
        </w:rPr>
        <w:t>水泥</w:t>
      </w:r>
      <w:r>
        <w:rPr>
          <w:rFonts w:eastAsiaTheme="majorEastAsia"/>
          <w:color w:val="000000" w:themeColor="text1"/>
          <w:sz w:val="24"/>
          <w14:textFill>
            <w14:solidFill>
              <w14:schemeClr w14:val="tx1"/>
            </w14:solidFill>
          </w14:textFill>
        </w:rPr>
        <w:t>在实际工程中应用的实践标准。本指南阐述了确保混凝土膨胀应变发展的标准和实践。除了讨论基本原则外，还提供了方法和细节，包括</w:t>
      </w:r>
      <w:bookmarkStart w:id="7" w:name="OLE_LINK12"/>
      <w:r>
        <w:rPr>
          <w:rFonts w:eastAsiaTheme="majorEastAsia"/>
          <w:color w:val="000000" w:themeColor="text1"/>
          <w:sz w:val="24"/>
          <w14:textFill>
            <w14:solidFill>
              <w14:schemeClr w14:val="tx1"/>
            </w14:solidFill>
          </w14:textFill>
        </w:rPr>
        <w:t>结构设计细节和应用、混凝土混合料配比、浇筑、饰面和养护</w:t>
      </w:r>
      <w:bookmarkEnd w:id="7"/>
      <w:r>
        <w:rPr>
          <w:rFonts w:eastAsiaTheme="majorEastAsia"/>
          <w:color w:val="000000" w:themeColor="text1"/>
          <w:sz w:val="24"/>
          <w14:textFill>
            <w14:solidFill>
              <w14:schemeClr w14:val="tx1"/>
            </w14:solidFill>
          </w14:textFill>
        </w:rPr>
        <w:t>。</w:t>
      </w:r>
    </w:p>
    <w:p w14:paraId="5B73A3CE">
      <w:pPr>
        <w:spacing w:line="360" w:lineRule="auto"/>
        <w:ind w:firstLine="480" w:firstLineChars="200"/>
        <w:rPr>
          <w:rFonts w:eastAsiaTheme="majorEastAsia"/>
          <w:color w:val="000000" w:themeColor="text1"/>
          <w:sz w:val="24"/>
          <w14:textFill>
            <w14:solidFill>
              <w14:schemeClr w14:val="tx1"/>
            </w14:solidFill>
          </w14:textFill>
        </w:rPr>
      </w:pPr>
      <w:r>
        <w:rPr>
          <w:rFonts w:hint="eastAsia" w:eastAsiaTheme="majorEastAsia"/>
          <w:color w:val="000000" w:themeColor="text1"/>
          <w:sz w:val="24"/>
          <w14:textFill>
            <w14:solidFill>
              <w14:schemeClr w14:val="tx1"/>
            </w14:solidFill>
          </w14:textFill>
        </w:rPr>
        <w:t>（3）</w:t>
      </w:r>
      <w:r>
        <w:rPr>
          <w:rFonts w:eastAsiaTheme="majorEastAsia"/>
          <w:color w:val="000000" w:themeColor="text1"/>
          <w:sz w:val="24"/>
          <w14:textFill>
            <w14:solidFill>
              <w14:schemeClr w14:val="tx1"/>
            </w14:solidFill>
          </w14:textFill>
        </w:rPr>
        <w:t>欧盟：EAD 260055-00-0301</w:t>
      </w:r>
      <w:r>
        <w:rPr>
          <w:rFonts w:hint="eastAsia" w:eastAsiaTheme="majorEastAsia"/>
          <w:color w:val="000000" w:themeColor="text1"/>
          <w:sz w:val="24"/>
          <w14:textFill>
            <w14:solidFill>
              <w14:schemeClr w14:val="tx1"/>
            </w14:solidFill>
          </w14:textFill>
        </w:rPr>
        <w:t>《Non-metallic expansive mixture based on calcium oxide for concrete》，</w:t>
      </w:r>
      <w:r>
        <w:rPr>
          <w:rFonts w:eastAsiaTheme="majorEastAsia"/>
          <w:color w:val="000000" w:themeColor="text1"/>
          <w:sz w:val="24"/>
          <w14:textFill>
            <w14:solidFill>
              <w14:schemeClr w14:val="tx1"/>
            </w14:solidFill>
          </w14:textFill>
        </w:rPr>
        <w:t>定义了产品范围（基于氧化钙）、类型、基本成分和用途</w:t>
      </w:r>
      <w:r>
        <w:rPr>
          <w:rFonts w:hint="eastAsia" w:eastAsiaTheme="majorEastAsia"/>
          <w:color w:val="000000" w:themeColor="text1"/>
          <w:sz w:val="24"/>
          <w14:textFill>
            <w14:solidFill>
              <w14:schemeClr w14:val="tx1"/>
            </w14:solidFill>
          </w14:textFill>
        </w:rPr>
        <w:t>，</w:t>
      </w:r>
      <w:r>
        <w:rPr>
          <w:rFonts w:eastAsiaTheme="majorEastAsia"/>
          <w:color w:val="000000" w:themeColor="text1"/>
          <w:sz w:val="24"/>
          <w14:textFill>
            <w14:solidFill>
              <w14:schemeClr w14:val="tx1"/>
            </w14:solidFill>
          </w14:textFill>
        </w:rPr>
        <w:t>规定膨胀性能、化学稳定性等关键性能指标</w:t>
      </w:r>
      <w:r>
        <w:rPr>
          <w:rFonts w:hint="eastAsia" w:eastAsiaTheme="majorEastAsia"/>
          <w:color w:val="000000" w:themeColor="text1"/>
          <w:sz w:val="24"/>
          <w14:textFill>
            <w14:solidFill>
              <w14:schemeClr w14:val="tx1"/>
            </w14:solidFill>
          </w14:textFill>
        </w:rPr>
        <w:t>，同时</w:t>
      </w:r>
      <w:r>
        <w:rPr>
          <w:rFonts w:eastAsiaTheme="majorEastAsia"/>
          <w:color w:val="000000" w:themeColor="text1"/>
          <w:sz w:val="24"/>
          <w14:textFill>
            <w14:solidFill>
              <w14:schemeClr w14:val="tx1"/>
            </w14:solidFill>
          </w14:textFill>
        </w:rPr>
        <w:t>规定了评估其是否符合性能要求的统一测试方法。</w:t>
      </w:r>
      <w:r>
        <w:rPr>
          <w:rFonts w:hint="eastAsia" w:eastAsiaTheme="majorEastAsia"/>
          <w:color w:val="000000" w:themeColor="text1"/>
          <w:sz w:val="24"/>
          <w14:textFill>
            <w14:solidFill>
              <w14:schemeClr w14:val="tx1"/>
            </w14:solidFill>
          </w14:textFill>
        </w:rPr>
        <w:t>该标准</w:t>
      </w:r>
      <w:r>
        <w:rPr>
          <w:rFonts w:eastAsiaTheme="majorEastAsia"/>
          <w:color w:val="000000" w:themeColor="text1"/>
          <w:sz w:val="24"/>
          <w14:textFill>
            <w14:solidFill>
              <w14:schemeClr w14:val="tx1"/>
            </w14:solidFill>
          </w14:textFill>
        </w:rPr>
        <w:t>确保</w:t>
      </w:r>
      <w:r>
        <w:rPr>
          <w:rFonts w:hint="eastAsia" w:eastAsiaTheme="majorEastAsia"/>
          <w:color w:val="000000" w:themeColor="text1"/>
          <w:sz w:val="24"/>
          <w14:textFill>
            <w14:solidFill>
              <w14:schemeClr w14:val="tx1"/>
            </w14:solidFill>
          </w14:textFill>
        </w:rPr>
        <w:t>了</w:t>
      </w:r>
      <w:r>
        <w:rPr>
          <w:rFonts w:eastAsiaTheme="majorEastAsia"/>
          <w:color w:val="000000" w:themeColor="text1"/>
          <w:sz w:val="24"/>
          <w14:textFill>
            <w14:solidFill>
              <w14:schemeClr w14:val="tx1"/>
            </w14:solidFill>
          </w14:textFill>
        </w:rPr>
        <w:t>全欧盟对该产品有统一、明确的技术要求</w:t>
      </w:r>
      <w:r>
        <w:rPr>
          <w:rFonts w:hint="eastAsia" w:eastAsiaTheme="majorEastAsia"/>
          <w:color w:val="000000" w:themeColor="text1"/>
          <w:sz w:val="24"/>
          <w14:textFill>
            <w14:solidFill>
              <w14:schemeClr w14:val="tx1"/>
            </w14:solidFill>
          </w14:textFill>
        </w:rPr>
        <w:t>，</w:t>
      </w:r>
      <w:r>
        <w:rPr>
          <w:rFonts w:eastAsiaTheme="majorEastAsia"/>
          <w:color w:val="000000" w:themeColor="text1"/>
          <w:sz w:val="24"/>
          <w14:textFill>
            <w14:solidFill>
              <w14:schemeClr w14:val="tx1"/>
            </w14:solidFill>
          </w14:textFill>
        </w:rPr>
        <w:t>确保产品在膨胀性能、耐久性、环保安全等方面达标</w:t>
      </w:r>
      <w:r>
        <w:rPr>
          <w:rFonts w:hint="eastAsia" w:eastAsiaTheme="majorEastAsia"/>
          <w:color w:val="000000" w:themeColor="text1"/>
          <w:sz w:val="24"/>
          <w14:textFill>
            <w14:solidFill>
              <w14:schemeClr w14:val="tx1"/>
            </w14:solidFill>
          </w14:textFill>
        </w:rPr>
        <w:t>。</w:t>
      </w:r>
      <w:r>
        <w:rPr>
          <w:rFonts w:eastAsiaTheme="majorEastAsia"/>
          <w:color w:val="000000" w:themeColor="text1"/>
          <w:sz w:val="24"/>
          <w14:textFill>
            <w14:solidFill>
              <w14:schemeClr w14:val="tx1"/>
            </w14:solidFill>
          </w14:textFill>
        </w:rPr>
        <w:t>UNI 8146:2017</w:t>
      </w:r>
      <w:r>
        <w:rPr>
          <w:rFonts w:hint="eastAsia" w:eastAsiaTheme="majorEastAsia"/>
          <w:color w:val="000000" w:themeColor="text1"/>
          <w:sz w:val="24"/>
          <w14:textFill>
            <w14:solidFill>
              <w14:schemeClr w14:val="tx1"/>
            </w14:solidFill>
          </w14:textFill>
        </w:rPr>
        <w:t>《</w:t>
      </w:r>
      <w:r>
        <w:rPr>
          <w:rFonts w:eastAsiaTheme="majorEastAsia"/>
          <w:color w:val="000000" w:themeColor="text1"/>
          <w:sz w:val="24"/>
          <w14:textFill>
            <w14:solidFill>
              <w14:schemeClr w14:val="tx1"/>
            </w14:solidFill>
          </w14:textFill>
        </w:rPr>
        <w:t>Non metallic expansive agents for cement mixings - Fitness and relevant checking methods</w:t>
      </w:r>
      <w:r>
        <w:rPr>
          <w:rFonts w:hint="eastAsia" w:eastAsiaTheme="majorEastAsia"/>
          <w:color w:val="000000" w:themeColor="text1"/>
          <w:sz w:val="24"/>
          <w14:textFill>
            <w14:solidFill>
              <w14:schemeClr w14:val="tx1"/>
            </w14:solidFill>
          </w14:textFill>
        </w:rPr>
        <w:t>》、</w:t>
      </w:r>
      <w:r>
        <w:rPr>
          <w:rFonts w:eastAsiaTheme="majorEastAsia"/>
          <w:color w:val="000000" w:themeColor="text1"/>
          <w:sz w:val="24"/>
          <w14:textFill>
            <w14:solidFill>
              <w14:schemeClr w14:val="tx1"/>
            </w14:solidFill>
          </w14:textFill>
        </w:rPr>
        <w:t>UNI 8147:2017</w:t>
      </w:r>
      <w:r>
        <w:rPr>
          <w:rFonts w:hint="eastAsia" w:eastAsiaTheme="majorEastAsia"/>
          <w:color w:val="000000" w:themeColor="text1"/>
          <w:sz w:val="24"/>
          <w14:textFill>
            <w14:solidFill>
              <w14:schemeClr w14:val="tx1"/>
            </w14:solidFill>
          </w14:textFill>
        </w:rPr>
        <w:t>《</w:t>
      </w:r>
      <w:r>
        <w:rPr>
          <w:rFonts w:eastAsiaTheme="majorEastAsia"/>
          <w:color w:val="000000" w:themeColor="text1"/>
          <w:sz w:val="24"/>
          <w14:textFill>
            <w14:solidFill>
              <w14:schemeClr w14:val="tx1"/>
            </w14:solidFill>
          </w14:textFill>
        </w:rPr>
        <w:t>Not metallic expansive agents for cement mixings - Determination of restrained expansion of mortar</w:t>
      </w:r>
      <w:r>
        <w:rPr>
          <w:rFonts w:hint="eastAsia" w:eastAsiaTheme="majorEastAsia"/>
          <w:color w:val="000000" w:themeColor="text1"/>
          <w:sz w:val="24"/>
          <w14:textFill>
            <w14:solidFill>
              <w14:schemeClr w14:val="tx1"/>
            </w14:solidFill>
          </w14:textFill>
        </w:rPr>
        <w:t>》及</w:t>
      </w:r>
      <w:r>
        <w:rPr>
          <w:rFonts w:eastAsiaTheme="majorEastAsia"/>
          <w:color w:val="000000" w:themeColor="text1"/>
          <w:sz w:val="24"/>
          <w14:textFill>
            <w14:solidFill>
              <w14:schemeClr w14:val="tx1"/>
            </w14:solidFill>
          </w14:textFill>
        </w:rPr>
        <w:t>UNI 814</w:t>
      </w:r>
      <w:r>
        <w:rPr>
          <w:rFonts w:hint="eastAsia" w:eastAsiaTheme="majorEastAsia"/>
          <w:color w:val="000000" w:themeColor="text1"/>
          <w:sz w:val="24"/>
          <w14:textFill>
            <w14:solidFill>
              <w14:schemeClr w14:val="tx1"/>
            </w14:solidFill>
          </w14:textFill>
        </w:rPr>
        <w:t>8</w:t>
      </w:r>
      <w:r>
        <w:rPr>
          <w:rFonts w:eastAsiaTheme="majorEastAsia"/>
          <w:color w:val="000000" w:themeColor="text1"/>
          <w:sz w:val="24"/>
          <w14:textFill>
            <w14:solidFill>
              <w14:schemeClr w14:val="tx1"/>
            </w14:solidFill>
          </w14:textFill>
        </w:rPr>
        <w:t>:201</w:t>
      </w:r>
      <w:r>
        <w:rPr>
          <w:rFonts w:hint="eastAsia" w:eastAsiaTheme="majorEastAsia"/>
          <w:color w:val="000000" w:themeColor="text1"/>
          <w:sz w:val="24"/>
          <w14:textFill>
            <w14:solidFill>
              <w14:schemeClr w14:val="tx1"/>
            </w14:solidFill>
          </w14:textFill>
        </w:rPr>
        <w:t>8《</w:t>
      </w:r>
      <w:r>
        <w:rPr>
          <w:rFonts w:eastAsiaTheme="majorEastAsia"/>
          <w:color w:val="000000" w:themeColor="text1"/>
          <w:sz w:val="24"/>
          <w14:textFill>
            <w14:solidFill>
              <w14:schemeClr w14:val="tx1"/>
            </w14:solidFill>
          </w14:textFill>
        </w:rPr>
        <w:t xml:space="preserve">Not metallic expansive agents for cement mixings - Determination of restrained expansion of </w:t>
      </w:r>
      <w:r>
        <w:rPr>
          <w:rFonts w:hint="eastAsia" w:eastAsiaTheme="majorEastAsia"/>
          <w:color w:val="000000" w:themeColor="text1"/>
          <w:sz w:val="24"/>
          <w14:textFill>
            <w14:solidFill>
              <w14:schemeClr w14:val="tx1"/>
            </w14:solidFill>
          </w14:textFill>
        </w:rPr>
        <w:t>concrete》分别规定了</w:t>
      </w:r>
      <w:r>
        <w:rPr>
          <w:rFonts w:eastAsiaTheme="majorEastAsia"/>
          <w:color w:val="000000" w:themeColor="text1"/>
          <w:sz w:val="24"/>
          <w14:textFill>
            <w14:solidFill>
              <w14:schemeClr w14:val="tx1"/>
            </w14:solidFill>
          </w14:textFill>
        </w:rPr>
        <w:t>适</w:t>
      </w:r>
      <w:r>
        <w:rPr>
          <w:rFonts w:hint="eastAsia" w:eastAsiaTheme="majorEastAsia"/>
          <w:color w:val="000000" w:themeColor="text1"/>
          <w:sz w:val="24"/>
          <w14:textFill>
            <w14:solidFill>
              <w14:schemeClr w14:val="tx1"/>
            </w14:solidFill>
          </w14:textFill>
        </w:rPr>
        <w:t>用</w:t>
      </w:r>
      <w:r>
        <w:rPr>
          <w:rFonts w:eastAsiaTheme="majorEastAsia"/>
          <w:color w:val="000000" w:themeColor="text1"/>
          <w:sz w:val="24"/>
          <w14:textFill>
            <w14:solidFill>
              <w14:schemeClr w14:val="tx1"/>
            </w14:solidFill>
          </w14:textFill>
        </w:rPr>
        <w:t>性、砂浆及混凝土限制膨胀率测定</w:t>
      </w:r>
      <w:r>
        <w:rPr>
          <w:rFonts w:hint="eastAsia" w:eastAsiaTheme="majorEastAsia"/>
          <w:color w:val="000000" w:themeColor="text1"/>
          <w:sz w:val="24"/>
          <w14:textFill>
            <w14:solidFill>
              <w14:schemeClr w14:val="tx1"/>
            </w14:solidFill>
          </w14:textFill>
        </w:rPr>
        <w:t>方法。</w:t>
      </w:r>
    </w:p>
    <w:p w14:paraId="0D9C24C8">
      <w:pPr>
        <w:spacing w:line="360" w:lineRule="auto"/>
        <w:ind w:firstLine="480" w:firstLineChars="200"/>
        <w:rPr>
          <w:rFonts w:eastAsiaTheme="majorEastAsia"/>
          <w:color w:val="000000" w:themeColor="text1"/>
          <w:sz w:val="24"/>
          <w14:textFill>
            <w14:solidFill>
              <w14:schemeClr w14:val="tx1"/>
            </w14:solidFill>
          </w14:textFill>
        </w:rPr>
      </w:pPr>
      <w:r>
        <w:rPr>
          <w:rFonts w:hint="eastAsia" w:eastAsiaTheme="majorEastAsia"/>
          <w:color w:val="000000" w:themeColor="text1"/>
          <w:sz w:val="24"/>
          <w14:textFill>
            <w14:solidFill>
              <w14:schemeClr w14:val="tx1"/>
            </w14:solidFill>
          </w14:textFill>
        </w:rPr>
        <w:t>（4）韩国：KS F 2562-2020(2024)《</w:t>
      </w:r>
      <w:r>
        <w:rPr>
          <w:rFonts w:hint="eastAsia" w:ascii="Batang" w:hAnsi="Batang" w:eastAsia="Batang" w:cs="Batang"/>
          <w:color w:val="000000" w:themeColor="text1"/>
          <w:sz w:val="24"/>
          <w14:textFill>
            <w14:solidFill>
              <w14:schemeClr w14:val="tx1"/>
            </w14:solidFill>
          </w14:textFill>
        </w:rPr>
        <w:t>콘크리트용</w:t>
      </w:r>
      <w:r>
        <w:rPr>
          <w:rFonts w:eastAsiaTheme="majorEastAsia"/>
          <w:color w:val="000000" w:themeColor="text1"/>
          <w:sz w:val="24"/>
          <w14:textFill>
            <w14:solidFill>
              <w14:schemeClr w14:val="tx1"/>
            </w14:solidFill>
          </w14:textFill>
        </w:rPr>
        <w:t xml:space="preserve"> </w:t>
      </w:r>
      <w:r>
        <w:rPr>
          <w:rFonts w:hint="eastAsia" w:ascii="Batang" w:hAnsi="Batang" w:eastAsia="Batang" w:cs="Batang"/>
          <w:color w:val="000000" w:themeColor="text1"/>
          <w:sz w:val="24"/>
          <w14:textFill>
            <w14:solidFill>
              <w14:schemeClr w14:val="tx1"/>
            </w14:solidFill>
          </w14:textFill>
        </w:rPr>
        <w:t>팽창재</w:t>
      </w:r>
      <w:r>
        <w:rPr>
          <w:rFonts w:hint="eastAsia" w:eastAsiaTheme="majorEastAsia"/>
          <w:color w:val="000000" w:themeColor="text1"/>
          <w:sz w:val="24"/>
          <w14:textFill>
            <w14:solidFill>
              <w14:schemeClr w14:val="tx1"/>
            </w14:solidFill>
          </w14:textFill>
        </w:rPr>
        <w:t>》，产品标准，</w:t>
      </w:r>
      <w:r>
        <w:rPr>
          <w:rFonts w:eastAsiaTheme="majorEastAsia"/>
          <w:color w:val="000000" w:themeColor="text1"/>
          <w:sz w:val="24"/>
          <w14:textFill>
            <w14:solidFill>
              <w14:schemeClr w14:val="tx1"/>
            </w14:solidFill>
          </w14:textFill>
        </w:rPr>
        <w:t>该标准规定了混凝土用膨胀剂的技术要求、试验方法及检验规则。内容涵盖</w:t>
      </w:r>
      <w:r>
        <w:rPr>
          <w:rFonts w:hint="eastAsia" w:eastAsiaTheme="majorEastAsia"/>
          <w:color w:val="000000" w:themeColor="text1"/>
          <w:sz w:val="24"/>
          <w14:textFill>
            <w14:solidFill>
              <w14:schemeClr w14:val="tx1"/>
            </w14:solidFill>
          </w14:textFill>
        </w:rPr>
        <w:t>膨胀</w:t>
      </w:r>
      <w:r>
        <w:rPr>
          <w:rFonts w:eastAsiaTheme="majorEastAsia"/>
          <w:color w:val="000000" w:themeColor="text1"/>
          <w:sz w:val="24"/>
          <w14:textFill>
            <w14:solidFill>
              <w14:schemeClr w14:val="tx1"/>
            </w14:solidFill>
          </w14:textFill>
        </w:rPr>
        <w:t>剂的化学成分、物理性能以及在混凝土中的应用特性。标准中明确了不同种类膨胀剂的分类依据，并对产品的包装、储存及运输条件进行了说明。</w:t>
      </w:r>
    </w:p>
    <w:p w14:paraId="1109BFD8">
      <w:pPr>
        <w:spacing w:line="360" w:lineRule="auto"/>
        <w:ind w:firstLine="480" w:firstLineChars="200"/>
        <w:rPr>
          <w:rFonts w:eastAsiaTheme="majorEastAsia"/>
          <w:color w:val="000000" w:themeColor="text1"/>
          <w:sz w:val="24"/>
          <w14:textFill>
            <w14:solidFill>
              <w14:schemeClr w14:val="tx1"/>
            </w14:solidFill>
          </w14:textFill>
        </w:rPr>
      </w:pPr>
      <w:r>
        <w:rPr>
          <w:rFonts w:eastAsiaTheme="majorEastAsia"/>
          <w:color w:val="000000" w:themeColor="text1"/>
          <w:sz w:val="24"/>
          <w14:textFill>
            <w14:solidFill>
              <w14:schemeClr w14:val="tx1"/>
            </w14:solidFill>
          </w14:textFill>
        </w:rPr>
        <w:t>国外标准体系的主要特点的是：标准之间衔接紧密，产品标准与施工应用标准、检测方法标准相互配套；指标要求精细化、差异化，针对不同类型、不同应用场景的膨胀剂制定不同的技术指标；注重环保性和耐久性，将低碱、低氯离子、无危</w:t>
      </w:r>
      <w:r>
        <w:rPr>
          <w:rFonts w:hint="eastAsia" w:eastAsiaTheme="majorEastAsia"/>
          <w:color w:val="000000" w:themeColor="text1"/>
          <w:sz w:val="24"/>
          <w14:textFill>
            <w14:solidFill>
              <w14:schemeClr w14:val="tx1"/>
            </w14:solidFill>
          </w14:textFill>
        </w:rPr>
        <w:t>作为核心环保指标；与国际标准接轨程度高，便于产品的国际流通。</w:t>
      </w:r>
    </w:p>
    <w:p w14:paraId="64F21895">
      <w:pPr>
        <w:spacing w:line="360" w:lineRule="auto"/>
        <w:ind w:firstLine="482" w:firstLineChars="200"/>
        <w:rPr>
          <w:b/>
          <w:bCs/>
          <w:color w:val="auto"/>
          <w:sz w:val="24"/>
        </w:rPr>
      </w:pPr>
      <w:r>
        <w:rPr>
          <w:rFonts w:hint="eastAsia"/>
          <w:b/>
          <w:bCs/>
          <w:color w:val="auto"/>
          <w:sz w:val="24"/>
        </w:rPr>
        <w:t>2</w:t>
      </w:r>
      <w:r>
        <w:rPr>
          <w:b/>
          <w:bCs/>
          <w:color w:val="auto"/>
          <w:sz w:val="24"/>
        </w:rPr>
        <w:t>.</w:t>
      </w:r>
      <w:r>
        <w:rPr>
          <w:rFonts w:hint="eastAsia"/>
          <w:b/>
          <w:bCs/>
          <w:color w:val="auto"/>
          <w:sz w:val="24"/>
        </w:rPr>
        <w:t xml:space="preserve"> 标准启动暨第一次工作会议</w:t>
      </w:r>
    </w:p>
    <w:p w14:paraId="31023A86">
      <w:pPr>
        <w:spacing w:line="360" w:lineRule="auto"/>
        <w:ind w:firstLine="480"/>
        <w:rPr>
          <w:sz w:val="24"/>
        </w:rPr>
      </w:pPr>
      <w:r>
        <w:rPr>
          <w:rFonts w:hint="eastAsia" w:eastAsiaTheme="majorEastAsia"/>
          <w:color w:val="000000" w:themeColor="text1"/>
          <w:sz w:val="24"/>
          <w14:textFill>
            <w14:solidFill>
              <w14:schemeClr w14:val="tx1"/>
            </w14:solidFill>
          </w14:textFill>
        </w:rPr>
        <w:t>2024年10月10日，建筑材料工业技术监督研究中心在北京以“线上+线下”方式组织召开了</w:t>
      </w:r>
      <w:r>
        <w:rPr>
          <w:rFonts w:eastAsiaTheme="majorEastAsia"/>
          <w:color w:val="000000" w:themeColor="text1"/>
          <w:sz w:val="24"/>
          <w14:textFill>
            <w14:solidFill>
              <w14:schemeClr w14:val="tx1"/>
            </w14:solidFill>
          </w14:textFill>
        </w:rPr>
        <w:t>标准启动会暨第一次工作会议</w:t>
      </w:r>
      <w:r>
        <w:rPr>
          <w:rFonts w:hint="eastAsia" w:eastAsiaTheme="majorEastAsia"/>
          <w:color w:val="000000" w:themeColor="text1"/>
          <w:sz w:val="24"/>
          <w14:textFill>
            <w14:solidFill>
              <w14:schemeClr w14:val="tx1"/>
            </w14:solidFill>
          </w14:textFill>
        </w:rPr>
        <w:t>，共13家单位20人参加了会议。</w:t>
      </w:r>
    </w:p>
    <w:p w14:paraId="021D7C52">
      <w:pPr>
        <w:spacing w:line="360" w:lineRule="auto"/>
        <w:jc w:val="left"/>
        <w:rPr>
          <w:rFonts w:eastAsiaTheme="majorEastAsia"/>
          <w:color w:val="000000" w:themeColor="text1"/>
          <w:sz w:val="24"/>
          <w14:textFill>
            <w14:solidFill>
              <w14:schemeClr w14:val="tx1"/>
            </w14:solidFill>
          </w14:textFill>
        </w:rPr>
      </w:pPr>
      <w:r>
        <w:drawing>
          <wp:inline distT="0" distB="0" distL="0" distR="0">
            <wp:extent cx="2569210" cy="1927225"/>
            <wp:effectExtent l="0" t="0" r="2540" b="0"/>
            <wp:docPr id="40992628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926287" name="图片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2573447" cy="1930240"/>
                    </a:xfrm>
                    <a:prstGeom prst="rect">
                      <a:avLst/>
                    </a:prstGeom>
                    <a:noFill/>
                    <a:ln>
                      <a:noFill/>
                    </a:ln>
                  </pic:spPr>
                </pic:pic>
              </a:graphicData>
            </a:graphic>
          </wp:inline>
        </w:drawing>
      </w:r>
      <w:r>
        <w:rPr>
          <w:rFonts w:hint="eastAsia" w:eastAsiaTheme="majorEastAsia"/>
          <w:color w:val="000000" w:themeColor="text1"/>
          <w:sz w:val="24"/>
          <w14:textFill>
            <w14:solidFill>
              <w14:schemeClr w14:val="tx1"/>
            </w14:solidFill>
          </w14:textFill>
        </w:rPr>
        <w:t xml:space="preserve"> </w:t>
      </w:r>
      <w:r>
        <w:drawing>
          <wp:inline distT="0" distB="0" distL="0" distR="0">
            <wp:extent cx="2577465" cy="1933575"/>
            <wp:effectExtent l="0" t="0" r="0" b="0"/>
            <wp:docPr id="186805367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053677" name="图片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2591685" cy="1943920"/>
                    </a:xfrm>
                    <a:prstGeom prst="rect">
                      <a:avLst/>
                    </a:prstGeom>
                    <a:noFill/>
                    <a:ln>
                      <a:noFill/>
                    </a:ln>
                  </pic:spPr>
                </pic:pic>
              </a:graphicData>
            </a:graphic>
          </wp:inline>
        </w:drawing>
      </w:r>
    </w:p>
    <w:p w14:paraId="2E21DE53">
      <w:pPr>
        <w:shd w:val="clear" w:color="auto" w:fill="FFFFFF"/>
        <w:spacing w:line="360" w:lineRule="auto"/>
        <w:jc w:val="center"/>
        <w:rPr>
          <w:rFonts w:eastAsiaTheme="majorEastAsia"/>
          <w:b/>
          <w:bCs/>
          <w:color w:val="000000" w:themeColor="text1"/>
          <w:szCs w:val="21"/>
          <w14:textFill>
            <w14:solidFill>
              <w14:schemeClr w14:val="tx1"/>
            </w14:solidFill>
          </w14:textFill>
        </w:rPr>
      </w:pPr>
      <w:r>
        <w:rPr>
          <w:rFonts w:hint="eastAsia" w:eastAsiaTheme="majorEastAsia"/>
          <w:b/>
          <w:bCs/>
          <w:color w:val="000000" w:themeColor="text1"/>
          <w:szCs w:val="21"/>
          <w14:textFill>
            <w14:solidFill>
              <w14:schemeClr w14:val="tx1"/>
            </w14:solidFill>
          </w14:textFill>
        </w:rPr>
        <w:t>图1.6 第一次工作会议</w:t>
      </w:r>
    </w:p>
    <w:p w14:paraId="088F44B3">
      <w:pPr>
        <w:shd w:val="clear" w:color="auto" w:fill="FFFFFF"/>
        <w:spacing w:line="360" w:lineRule="auto"/>
        <w:ind w:firstLine="480" w:firstLineChars="200"/>
        <w:rPr>
          <w:rFonts w:eastAsiaTheme="majorEastAsia"/>
          <w:color w:val="000000" w:themeColor="text1"/>
          <w:sz w:val="24"/>
          <w14:textFill>
            <w14:solidFill>
              <w14:schemeClr w14:val="tx1"/>
            </w14:solidFill>
          </w14:textFill>
        </w:rPr>
      </w:pPr>
      <w:r>
        <w:rPr>
          <w:rFonts w:hint="eastAsia" w:eastAsiaTheme="majorEastAsia"/>
          <w:color w:val="000000" w:themeColor="text1"/>
          <w:sz w:val="24"/>
          <w14:textFill>
            <w14:solidFill>
              <w14:schemeClr w14:val="tx1"/>
            </w14:solidFill>
          </w14:textFill>
        </w:rPr>
        <w:t>与会代表</w:t>
      </w:r>
      <w:r>
        <w:rPr>
          <w:sz w:val="24"/>
        </w:rPr>
        <w:t>对标准</w:t>
      </w:r>
      <w:r>
        <w:rPr>
          <w:rFonts w:hint="eastAsia"/>
          <w:sz w:val="24"/>
        </w:rPr>
        <w:t>草案</w:t>
      </w:r>
      <w:r>
        <w:rPr>
          <w:sz w:val="24"/>
        </w:rPr>
        <w:t>和主要内容进行</w:t>
      </w:r>
      <w:r>
        <w:rPr>
          <w:rFonts w:hint="eastAsia"/>
          <w:sz w:val="24"/>
        </w:rPr>
        <w:t>了</w:t>
      </w:r>
      <w:r>
        <w:rPr>
          <w:sz w:val="24"/>
        </w:rPr>
        <w:t>讨论，</w:t>
      </w:r>
      <w:r>
        <w:rPr>
          <w:rFonts w:hint="eastAsia" w:eastAsiaTheme="majorEastAsia"/>
          <w:color w:val="000000" w:themeColor="text1"/>
          <w:sz w:val="24"/>
          <w14:textFill>
            <w14:solidFill>
              <w14:schemeClr w14:val="tx1"/>
            </w14:solidFill>
          </w14:textFill>
        </w:rPr>
        <w:t>提出了大量建设性意见和建议，主要包括：（1）S型氧化镁膨胀剂对混凝土的结构安全性问题，该种型号氧化镁膨胀剂除水利水电工程外较少使用，本标准是否有必要将其纳入；（2）增加氧化镁膨胀剂的安定性检测要求与方法；（3）</w:t>
      </w:r>
      <w:r>
        <w:rPr>
          <w:rFonts w:eastAsiaTheme="majorEastAsia"/>
          <w:bCs/>
          <w:color w:val="000000" w:themeColor="text1"/>
          <w:sz w:val="24"/>
          <w14:textFill>
            <w14:solidFill>
              <w14:schemeClr w14:val="tx1"/>
            </w14:solidFill>
          </w14:textFill>
        </w:rPr>
        <w:t>现行国家标准《混凝土外加剂应用技术规范》</w:t>
      </w:r>
      <w:r>
        <w:rPr>
          <w:rFonts w:eastAsiaTheme="majorEastAsia"/>
          <w:color w:val="000000" w:themeColor="text1"/>
          <w:sz w:val="24"/>
          <w14:textFill>
            <w14:solidFill>
              <w14:schemeClr w14:val="tx1"/>
            </w14:solidFill>
          </w14:textFill>
        </w:rPr>
        <w:t>GB 50119</w:t>
      </w:r>
      <w:r>
        <w:rPr>
          <w:rFonts w:hint="eastAsia" w:eastAsiaTheme="majorEastAsia"/>
          <w:color w:val="000000" w:themeColor="text1"/>
          <w:sz w:val="24"/>
          <w14:textFill>
            <w14:solidFill>
              <w14:schemeClr w14:val="tx1"/>
            </w14:solidFill>
          </w14:textFill>
        </w:rPr>
        <w:t>—2013</w:t>
      </w:r>
      <w:r>
        <w:rPr>
          <w:rFonts w:eastAsiaTheme="majorEastAsia"/>
          <w:color w:val="000000" w:themeColor="text1"/>
          <w:sz w:val="24"/>
          <w14:textFill>
            <w14:solidFill>
              <w14:schemeClr w14:val="tx1"/>
            </w14:solidFill>
          </w14:textFill>
        </w:rPr>
        <w:t>的附录B</w:t>
      </w:r>
      <w:r>
        <w:rPr>
          <w:rFonts w:hint="eastAsia" w:eastAsiaTheme="majorEastAsia"/>
          <w:color w:val="000000" w:themeColor="text1"/>
          <w:sz w:val="24"/>
          <w14:textFill>
            <w14:solidFill>
              <w14:schemeClr w14:val="tx1"/>
            </w14:solidFill>
          </w14:textFill>
        </w:rPr>
        <w:t>规定的</w:t>
      </w:r>
      <w:r>
        <w:rPr>
          <w:rFonts w:eastAsiaTheme="majorEastAsia"/>
          <w:color w:val="000000" w:themeColor="text1"/>
          <w:sz w:val="24"/>
          <w14:textFill>
            <w14:solidFill>
              <w14:schemeClr w14:val="tx1"/>
            </w14:solidFill>
          </w14:textFill>
        </w:rPr>
        <w:t>掺</w:t>
      </w:r>
      <w:r>
        <w:rPr>
          <w:rFonts w:hint="eastAsia" w:eastAsiaTheme="majorEastAsia"/>
          <w:color w:val="000000" w:themeColor="text1"/>
          <w:sz w:val="24"/>
          <w14:textFill>
            <w14:solidFill>
              <w14:schemeClr w14:val="tx1"/>
            </w14:solidFill>
          </w14:textFill>
        </w:rPr>
        <w:t>加</w:t>
      </w:r>
      <w:r>
        <w:rPr>
          <w:rFonts w:eastAsiaTheme="majorEastAsia"/>
          <w:color w:val="000000" w:themeColor="text1"/>
          <w:sz w:val="24"/>
          <w14:textFill>
            <w14:solidFill>
              <w14:schemeClr w14:val="tx1"/>
            </w14:solidFill>
          </w14:textFill>
        </w:rPr>
        <w:t>膨胀剂混凝土</w:t>
      </w:r>
      <w:r>
        <w:rPr>
          <w:rFonts w:eastAsiaTheme="majorEastAsia"/>
          <w:bCs/>
          <w:color w:val="000000" w:themeColor="text1"/>
          <w:sz w:val="24"/>
          <w14:textFill>
            <w14:solidFill>
              <w14:schemeClr w14:val="tx1"/>
            </w14:solidFill>
          </w14:textFill>
        </w:rPr>
        <w:t>的限制膨胀率和限制收缩率的测</w:t>
      </w:r>
      <w:r>
        <w:rPr>
          <w:rFonts w:hint="eastAsia" w:eastAsiaTheme="majorEastAsia"/>
          <w:bCs/>
          <w:color w:val="000000" w:themeColor="text1"/>
          <w:sz w:val="24"/>
          <w14:textFill>
            <w14:solidFill>
              <w14:schemeClr w14:val="tx1"/>
            </w14:solidFill>
          </w14:textFill>
        </w:rPr>
        <w:t>试方法的适用范围；（4）规定钙镁复合膨胀剂中的氧化钙与氧化镁范围。会上</w:t>
      </w:r>
      <w:r>
        <w:rPr>
          <w:sz w:val="24"/>
        </w:rPr>
        <w:t>组成了标准工作组，明确了各成员单位的任务，并制定了详细的工作计划。</w:t>
      </w:r>
    </w:p>
    <w:p w14:paraId="0838ACBC">
      <w:pPr>
        <w:shd w:val="clear" w:color="auto" w:fill="FFFFFF"/>
        <w:spacing w:before="156" w:beforeLines="50" w:after="156" w:afterLines="50" w:line="360" w:lineRule="auto"/>
        <w:ind w:firstLine="482" w:firstLineChars="200"/>
        <w:outlineLvl w:val="2"/>
        <w:rPr>
          <w:sz w:val="24"/>
        </w:rPr>
      </w:pPr>
      <w:r>
        <w:rPr>
          <w:rFonts w:hint="eastAsia"/>
          <w:b/>
          <w:bCs/>
          <w:color w:val="auto"/>
          <w:sz w:val="24"/>
        </w:rPr>
        <w:t xml:space="preserve">3. </w:t>
      </w:r>
      <w:r>
        <w:rPr>
          <w:b/>
          <w:bCs/>
          <w:color w:val="auto"/>
          <w:sz w:val="24"/>
        </w:rPr>
        <w:t>样品征集和验证试验</w:t>
      </w:r>
    </w:p>
    <w:p w14:paraId="51B56602">
      <w:pPr>
        <w:shd w:val="clear" w:color="auto" w:fill="FFFFFF"/>
        <w:spacing w:line="360" w:lineRule="auto"/>
        <w:ind w:firstLine="480" w:firstLineChars="200"/>
        <w:rPr>
          <w:sz w:val="24"/>
        </w:rPr>
      </w:pPr>
      <w:r>
        <w:rPr>
          <w:sz w:val="24"/>
        </w:rPr>
        <w:t>2024年</w:t>
      </w:r>
      <w:r>
        <w:rPr>
          <w:rFonts w:hint="eastAsia"/>
          <w:sz w:val="24"/>
        </w:rPr>
        <w:t>11</w:t>
      </w:r>
      <w:r>
        <w:rPr>
          <w:sz w:val="24"/>
        </w:rPr>
        <w:t>月</w:t>
      </w:r>
      <w:r>
        <w:rPr>
          <w:rFonts w:hint="eastAsia"/>
          <w:sz w:val="24"/>
        </w:rPr>
        <w:t>～</w:t>
      </w:r>
      <w:r>
        <w:rPr>
          <w:sz w:val="24"/>
        </w:rPr>
        <w:t>2025年</w:t>
      </w:r>
      <w:r>
        <w:rPr>
          <w:rFonts w:hint="eastAsia"/>
          <w:sz w:val="24"/>
        </w:rPr>
        <w:t>9</w:t>
      </w:r>
      <w:r>
        <w:rPr>
          <w:sz w:val="24"/>
        </w:rPr>
        <w:t>月</w:t>
      </w:r>
      <w:r>
        <w:rPr>
          <w:rFonts w:hint="eastAsia"/>
          <w:sz w:val="24"/>
        </w:rPr>
        <w:t>，标准编制组收集了国内混凝土膨胀剂样品，</w:t>
      </w:r>
      <w:r>
        <w:rPr>
          <w:sz w:val="24"/>
        </w:rPr>
        <w:t>本次验证试验由建筑材料工业技术</w:t>
      </w:r>
      <w:r>
        <w:rPr>
          <w:rFonts w:hint="eastAsia"/>
          <w:sz w:val="24"/>
        </w:rPr>
        <w:t>监督研究中心</w:t>
      </w:r>
      <w:r>
        <w:rPr>
          <w:sz w:val="24"/>
        </w:rPr>
        <w:t>、</w:t>
      </w:r>
      <w:r>
        <w:rPr>
          <w:rFonts w:hint="eastAsia"/>
          <w:sz w:val="24"/>
        </w:rPr>
        <w:t>中国建筑材料科学研究总院有限公司、武汉三源特种建材有限责任公司</w:t>
      </w:r>
      <w:r>
        <w:rPr>
          <w:sz w:val="24"/>
        </w:rPr>
        <w:t>、</w:t>
      </w:r>
      <w:r>
        <w:rPr>
          <w:rFonts w:hint="eastAsia"/>
          <w:sz w:val="24"/>
        </w:rPr>
        <w:t>天津豹鸣股份有限公司等共同进行，首先对混凝土膨胀剂、掺膨胀剂混凝土的性能指标进行了验证，并对掺氧化镁膨胀剂混凝土安定性进行了验证。</w:t>
      </w:r>
    </w:p>
    <w:p w14:paraId="5ABD47F1">
      <w:pPr>
        <w:shd w:val="clear" w:color="auto" w:fill="FFFFFF"/>
        <w:spacing w:before="156" w:beforeLines="50" w:after="156" w:afterLines="50" w:line="360" w:lineRule="auto"/>
        <w:ind w:firstLine="482" w:firstLineChars="200"/>
        <w:outlineLvl w:val="2"/>
        <w:rPr>
          <w:b/>
          <w:bCs/>
          <w:color w:val="auto"/>
          <w:sz w:val="24"/>
        </w:rPr>
      </w:pPr>
      <w:bookmarkStart w:id="8" w:name="OLE_LINK9"/>
      <w:r>
        <w:rPr>
          <w:rFonts w:hint="eastAsia"/>
          <w:b/>
          <w:bCs/>
          <w:color w:val="auto"/>
          <w:sz w:val="24"/>
        </w:rPr>
        <w:t>4. 第二次工作会议</w:t>
      </w:r>
    </w:p>
    <w:bookmarkEnd w:id="8"/>
    <w:p w14:paraId="666951EE">
      <w:pPr>
        <w:shd w:val="clear" w:color="auto" w:fill="FFFFFF"/>
        <w:spacing w:line="360" w:lineRule="auto"/>
        <w:ind w:firstLine="480" w:firstLineChars="200"/>
        <w:outlineLvl w:val="2"/>
        <w:rPr>
          <w:color w:val="auto"/>
          <w:sz w:val="24"/>
        </w:rPr>
      </w:pPr>
      <w:r>
        <w:rPr>
          <w:rFonts w:hint="eastAsia" w:eastAsiaTheme="majorEastAsia"/>
          <w:color w:val="000000" w:themeColor="text1"/>
          <w:sz w:val="24"/>
          <w14:textFill>
            <w14:solidFill>
              <w14:schemeClr w14:val="tx1"/>
            </w14:solidFill>
          </w14:textFill>
        </w:rPr>
        <w:t>2025年11月6日，标准编制组在北京采用“</w:t>
      </w:r>
      <w:r>
        <w:rPr>
          <w:color w:val="auto"/>
          <w:sz w:val="24"/>
        </w:rPr>
        <w:t>线下+线上</w:t>
      </w:r>
      <w:r>
        <w:rPr>
          <w:rFonts w:hint="eastAsia"/>
          <w:color w:val="auto"/>
          <w:sz w:val="24"/>
        </w:rPr>
        <w:t>”</w:t>
      </w:r>
      <w:r>
        <w:rPr>
          <w:color w:val="auto"/>
          <w:sz w:val="24"/>
        </w:rPr>
        <w:t>的会议形式召开</w:t>
      </w:r>
      <w:r>
        <w:rPr>
          <w:rFonts w:hint="eastAsia"/>
          <w:color w:val="auto"/>
          <w:sz w:val="24"/>
        </w:rPr>
        <w:t>了</w:t>
      </w:r>
      <w:r>
        <w:rPr>
          <w:color w:val="auto"/>
          <w:sz w:val="24"/>
        </w:rPr>
        <w:t>第二次工作会议，</w:t>
      </w:r>
      <w:r>
        <w:rPr>
          <w:rFonts w:hint="eastAsia"/>
          <w:color w:val="auto"/>
          <w:sz w:val="24"/>
        </w:rPr>
        <w:t>线下参会的单位有武汉三源特种建材有限责任公司、郑州市建文特材科技有限公司、中核混凝土股份有限公司等8家单位的19人代表，线上参会单位包括湖北乾道新型材料有限责任公司、重庆三圣实业股份有限公司、湖南湘源新型材料科技有限公司等5家单位的6位代表，会上对前期验证试验进行总结，并对</w:t>
      </w:r>
      <w:r>
        <w:rPr>
          <w:color w:val="auto"/>
          <w:sz w:val="24"/>
        </w:rPr>
        <w:t>标准讨论稿的主要章节进行了逐条研讨，</w:t>
      </w:r>
      <w:r>
        <w:rPr>
          <w:rFonts w:hint="eastAsia"/>
          <w:color w:val="auto"/>
          <w:sz w:val="24"/>
        </w:rPr>
        <w:t>完善</w:t>
      </w:r>
      <w:r>
        <w:rPr>
          <w:color w:val="auto"/>
          <w:sz w:val="24"/>
        </w:rPr>
        <w:t>修改了标准稿件。</w:t>
      </w:r>
    </w:p>
    <w:p w14:paraId="4A57E296">
      <w:pPr>
        <w:shd w:val="clear" w:color="auto" w:fill="FFFFFF"/>
        <w:spacing w:before="156" w:beforeLines="50" w:after="156" w:afterLines="50" w:line="360" w:lineRule="auto"/>
        <w:outlineLvl w:val="2"/>
        <w:rPr>
          <w:rFonts w:eastAsiaTheme="majorEastAsia"/>
          <w:color w:val="000000" w:themeColor="text1"/>
          <w:sz w:val="24"/>
          <w14:textFill>
            <w14:solidFill>
              <w14:schemeClr w14:val="tx1"/>
            </w14:solidFill>
          </w14:textFill>
        </w:rPr>
      </w:pPr>
      <w:r>
        <w:drawing>
          <wp:inline distT="0" distB="0" distL="0" distR="0">
            <wp:extent cx="5274310" cy="2714625"/>
            <wp:effectExtent l="0" t="0" r="2540" b="9525"/>
            <wp:docPr id="83209111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091115" name="图片 3"/>
                    <pic:cNvPicPr>
                      <a:picLocks noChangeAspect="1" noChangeArrowheads="1"/>
                    </pic:cNvPicPr>
                  </pic:nvPicPr>
                  <pic:blipFill>
                    <a:blip r:embed="rId20" cstate="print">
                      <a:extLst>
                        <a:ext uri="{28A0092B-C50C-407E-A947-70E740481C1C}">
                          <a14:useLocalDpi xmlns:a14="http://schemas.microsoft.com/office/drawing/2010/main" val="0"/>
                        </a:ext>
                      </a:extLst>
                    </a:blip>
                    <a:srcRect t="25762" b="5618"/>
                    <a:stretch>
                      <a:fillRect/>
                    </a:stretch>
                  </pic:blipFill>
                  <pic:spPr>
                    <a:xfrm>
                      <a:off x="0" y="0"/>
                      <a:ext cx="5274310" cy="2714625"/>
                    </a:xfrm>
                    <a:prstGeom prst="rect">
                      <a:avLst/>
                    </a:prstGeom>
                    <a:noFill/>
                    <a:ln>
                      <a:noFill/>
                    </a:ln>
                  </pic:spPr>
                </pic:pic>
              </a:graphicData>
            </a:graphic>
          </wp:inline>
        </w:drawing>
      </w:r>
    </w:p>
    <w:p w14:paraId="4D21159D">
      <w:pPr>
        <w:shd w:val="clear" w:color="auto" w:fill="FFFFFF"/>
        <w:spacing w:line="360" w:lineRule="auto"/>
        <w:jc w:val="center"/>
        <w:rPr>
          <w:rFonts w:eastAsiaTheme="majorEastAsia"/>
          <w:b/>
          <w:bCs/>
          <w:color w:val="000000" w:themeColor="text1"/>
          <w:szCs w:val="21"/>
          <w14:textFill>
            <w14:solidFill>
              <w14:schemeClr w14:val="tx1"/>
            </w14:solidFill>
          </w14:textFill>
        </w:rPr>
      </w:pPr>
      <w:r>
        <w:rPr>
          <w:rFonts w:hint="eastAsia" w:eastAsiaTheme="majorEastAsia"/>
          <w:b/>
          <w:bCs/>
          <w:color w:val="000000" w:themeColor="text1"/>
          <w:szCs w:val="21"/>
          <w14:textFill>
            <w14:solidFill>
              <w14:schemeClr w14:val="tx1"/>
            </w14:solidFill>
          </w14:textFill>
        </w:rPr>
        <w:t>图1.7 第二次工作会议</w:t>
      </w:r>
    </w:p>
    <w:p w14:paraId="18C68D16">
      <w:pPr>
        <w:shd w:val="clear" w:color="auto" w:fill="FFFFFF"/>
        <w:spacing w:before="156" w:beforeLines="50" w:after="156" w:afterLines="50" w:line="360" w:lineRule="auto"/>
        <w:ind w:firstLine="482" w:firstLineChars="200"/>
        <w:outlineLvl w:val="2"/>
        <w:rPr>
          <w:b/>
          <w:bCs/>
          <w:color w:val="auto"/>
          <w:sz w:val="24"/>
        </w:rPr>
      </w:pPr>
      <w:r>
        <w:rPr>
          <w:rFonts w:hint="eastAsia"/>
          <w:b/>
          <w:bCs/>
          <w:color w:val="auto"/>
          <w:sz w:val="24"/>
        </w:rPr>
        <w:t xml:space="preserve">5. </w:t>
      </w:r>
      <w:r>
        <w:rPr>
          <w:b/>
          <w:bCs/>
          <w:color w:val="auto"/>
          <w:sz w:val="24"/>
        </w:rPr>
        <w:t>标准征求意见稿的确定</w:t>
      </w:r>
    </w:p>
    <w:p w14:paraId="104CBCA9">
      <w:pPr>
        <w:shd w:val="clear" w:color="auto" w:fill="FFFFFF"/>
        <w:spacing w:line="360" w:lineRule="auto"/>
        <w:ind w:firstLine="480" w:firstLineChars="200"/>
        <w:outlineLvl w:val="2"/>
        <w:rPr>
          <w:color w:val="auto"/>
          <w:sz w:val="24"/>
        </w:rPr>
      </w:pPr>
      <w:r>
        <w:rPr>
          <w:sz w:val="24"/>
        </w:rPr>
        <w:t>在认真总结各方意见</w:t>
      </w:r>
      <w:r>
        <w:rPr>
          <w:rFonts w:hint="eastAsia"/>
          <w:sz w:val="24"/>
        </w:rPr>
        <w:t>和</w:t>
      </w:r>
      <w:r>
        <w:rPr>
          <w:sz w:val="24"/>
        </w:rPr>
        <w:t>补充附加的试验数据的基础上，</w:t>
      </w:r>
      <w:r>
        <w:rPr>
          <w:color w:val="auto"/>
          <w:sz w:val="24"/>
        </w:rPr>
        <w:t>202</w:t>
      </w:r>
      <w:r>
        <w:rPr>
          <w:rFonts w:hint="eastAsia"/>
          <w:color w:val="auto"/>
          <w:sz w:val="24"/>
        </w:rPr>
        <w:t>6</w:t>
      </w:r>
      <w:r>
        <w:rPr>
          <w:color w:val="auto"/>
          <w:sz w:val="24"/>
        </w:rPr>
        <w:t>年</w:t>
      </w:r>
      <w:r>
        <w:rPr>
          <w:rFonts w:hint="eastAsia"/>
          <w:color w:val="auto"/>
          <w:sz w:val="24"/>
        </w:rPr>
        <w:t>1</w:t>
      </w:r>
      <w:r>
        <w:rPr>
          <w:color w:val="auto"/>
          <w:sz w:val="24"/>
        </w:rPr>
        <w:t>月</w:t>
      </w:r>
      <w:r>
        <w:rPr>
          <w:rFonts w:hint="eastAsia"/>
          <w:color w:val="auto"/>
          <w:sz w:val="24"/>
        </w:rPr>
        <w:t>30</w:t>
      </w:r>
      <w:r>
        <w:rPr>
          <w:color w:val="auto"/>
          <w:sz w:val="24"/>
        </w:rPr>
        <w:t>日</w:t>
      </w:r>
      <w:r>
        <w:rPr>
          <w:rFonts w:hint="eastAsia"/>
          <w:color w:val="auto"/>
          <w:sz w:val="24"/>
        </w:rPr>
        <w:t>，建筑材料工业技术监督研究中心组织</w:t>
      </w:r>
      <w:r>
        <w:rPr>
          <w:sz w:val="24"/>
        </w:rPr>
        <w:t>主编单位对标准讨论稿进行修改，形成了征求意见稿，向行业内生产施工企业、科研院所、高等学校等广泛征求意见。</w:t>
      </w:r>
    </w:p>
    <w:p w14:paraId="44180AD9">
      <w:pPr>
        <w:shd w:val="clear" w:color="auto" w:fill="FFFFFF"/>
        <w:ind w:firstLine="562" w:firstLineChars="200"/>
        <w:rPr>
          <w:b/>
          <w:bCs/>
          <w:color w:val="auto"/>
          <w:sz w:val="24"/>
        </w:rPr>
      </w:pPr>
      <w:r>
        <w:rPr>
          <w:rFonts w:hint="eastAsia"/>
          <w:b/>
          <w:bCs/>
          <w:color w:val="auto"/>
          <w:sz w:val="28"/>
          <w:szCs w:val="28"/>
        </w:rPr>
        <w:t>（三）参与单位与任务分工</w:t>
      </w:r>
    </w:p>
    <w:p w14:paraId="7DE62558">
      <w:pPr>
        <w:widowControl/>
        <w:spacing w:line="360" w:lineRule="auto"/>
        <w:ind w:firstLine="480" w:firstLineChars="200"/>
        <w:rPr>
          <w:rFonts w:eastAsiaTheme="majorEastAsia"/>
          <w:iCs/>
          <w:color w:val="000000" w:themeColor="text1"/>
          <w:sz w:val="24"/>
          <w14:textFill>
            <w14:solidFill>
              <w14:schemeClr w14:val="tx1"/>
            </w14:solidFill>
          </w14:textFill>
        </w:rPr>
      </w:pPr>
      <w:r>
        <w:rPr>
          <w:rFonts w:hint="eastAsia" w:eastAsiaTheme="majorEastAsia"/>
          <w:color w:val="000000" w:themeColor="text1"/>
          <w:sz w:val="24"/>
          <w14:textFill>
            <w14:solidFill>
              <w14:schemeClr w14:val="tx1"/>
            </w14:solidFill>
          </w14:textFill>
        </w:rPr>
        <w:t>建筑材料工业技术监督研究中心、中国建筑材料科学研究总院有限公司、南京晶磊兴建材有限公司、郑州市建文科技特材有限公司、湖南湘源新型材料科技有限公司、湖北乾道新型材料有限责任公司、北京市宗久建材有限公司、重庆三圣实业股份有限公司、江苏苏博特新材料股份有限公司、辽宁省建设科学研究院有限责任公司、新特新材料集团(河南)股份有限公司、天津豹鸣股份有限公司、武汉三源特种建材有限责任公司等单位组成的标准编制组，</w:t>
      </w:r>
      <w:r>
        <w:rPr>
          <w:rFonts w:hint="eastAsia" w:eastAsiaTheme="majorEastAsia"/>
          <w:iCs/>
          <w:color w:val="000000" w:themeColor="text1"/>
          <w:sz w:val="24"/>
          <w14:textFill>
            <w14:solidFill>
              <w14:schemeClr w14:val="tx1"/>
            </w14:solidFill>
          </w14:textFill>
        </w:rPr>
        <w:t>起草单位和工作组成员及所做的工作具体详见表1。</w:t>
      </w:r>
    </w:p>
    <w:p w14:paraId="01339663">
      <w:pPr>
        <w:widowControl/>
        <w:spacing w:line="360" w:lineRule="auto"/>
        <w:jc w:val="center"/>
        <w:rPr>
          <w:rFonts w:eastAsiaTheme="majorEastAsia"/>
          <w:b/>
          <w:bCs/>
          <w:iCs/>
          <w:color w:val="000000" w:themeColor="text1"/>
          <w:szCs w:val="21"/>
          <w14:textFill>
            <w14:solidFill>
              <w14:schemeClr w14:val="tx1"/>
            </w14:solidFill>
          </w14:textFill>
        </w:rPr>
      </w:pPr>
      <w:r>
        <w:rPr>
          <w:rFonts w:hint="eastAsia" w:eastAsiaTheme="majorEastAsia"/>
          <w:b/>
          <w:bCs/>
          <w:iCs/>
          <w:color w:val="000000" w:themeColor="text1"/>
          <w:szCs w:val="21"/>
          <w14:textFill>
            <w14:solidFill>
              <w14:schemeClr w14:val="tx1"/>
            </w14:solidFill>
          </w14:textFill>
        </w:rPr>
        <w:t>表 1.1</w:t>
      </w:r>
      <w:r>
        <w:rPr>
          <w:rFonts w:eastAsiaTheme="majorEastAsia"/>
          <w:b/>
          <w:bCs/>
          <w:iCs/>
          <w:color w:val="000000" w:themeColor="text1"/>
          <w:szCs w:val="21"/>
          <w14:textFill>
            <w14:solidFill>
              <w14:schemeClr w14:val="tx1"/>
            </w14:solidFill>
          </w14:textFill>
        </w:rPr>
        <w:t xml:space="preserve"> </w:t>
      </w:r>
      <w:r>
        <w:rPr>
          <w:rFonts w:hint="eastAsia" w:eastAsiaTheme="majorEastAsia"/>
          <w:b/>
          <w:bCs/>
          <w:iCs/>
          <w:color w:val="000000" w:themeColor="text1"/>
          <w:szCs w:val="21"/>
          <w14:textFill>
            <w14:solidFill>
              <w14:schemeClr w14:val="tx1"/>
            </w14:solidFill>
          </w14:textFill>
        </w:rPr>
        <w:t>起草单位和工作组成员及所做的工作任务分工</w:t>
      </w:r>
    </w:p>
    <w:tbl>
      <w:tblPr>
        <w:tblStyle w:val="10"/>
        <w:tblW w:w="5000"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4363"/>
        <w:gridCol w:w="4159"/>
      </w:tblGrid>
      <w:tr w14:paraId="2CB719A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9" w:hRule="atLeast"/>
          <w:jc w:val="center"/>
        </w:trPr>
        <w:tc>
          <w:tcPr>
            <w:tcW w:w="2560" w:type="pct"/>
            <w:tcBorders>
              <w:top w:val="single" w:color="000000" w:sz="4" w:space="0"/>
              <w:left w:val="single" w:color="000000" w:sz="4" w:space="0"/>
              <w:bottom w:val="single" w:color="000000" w:sz="4" w:space="0"/>
              <w:right w:val="single" w:color="000000" w:sz="4" w:space="0"/>
            </w:tcBorders>
            <w:vAlign w:val="center"/>
          </w:tcPr>
          <w:p w14:paraId="331CF95B">
            <w:pPr>
              <w:widowControl/>
              <w:spacing w:line="360" w:lineRule="auto"/>
              <w:ind w:firstLine="480" w:firstLineChars="200"/>
              <w:rPr>
                <w:rFonts w:eastAsiaTheme="majorEastAsia"/>
                <w:color w:val="000000" w:themeColor="text1"/>
                <w:sz w:val="24"/>
                <w14:textFill>
                  <w14:solidFill>
                    <w14:schemeClr w14:val="tx1"/>
                  </w14:solidFill>
                </w14:textFill>
              </w:rPr>
            </w:pPr>
            <w:r>
              <w:rPr>
                <w:rFonts w:hint="eastAsia" w:eastAsiaTheme="majorEastAsia"/>
                <w:color w:val="000000" w:themeColor="text1"/>
                <w:sz w:val="24"/>
                <w14:textFill>
                  <w14:solidFill>
                    <w14:schemeClr w14:val="tx1"/>
                  </w14:solidFill>
                </w14:textFill>
              </w:rPr>
              <w:t>单位名称</w:t>
            </w:r>
          </w:p>
        </w:tc>
        <w:tc>
          <w:tcPr>
            <w:tcW w:w="2440" w:type="pct"/>
            <w:tcBorders>
              <w:top w:val="single" w:color="000000" w:sz="4" w:space="0"/>
              <w:left w:val="single" w:color="000000" w:sz="4" w:space="0"/>
              <w:bottom w:val="single" w:color="000000" w:sz="4" w:space="0"/>
              <w:right w:val="single" w:color="000000" w:sz="4" w:space="0"/>
            </w:tcBorders>
            <w:vAlign w:val="center"/>
          </w:tcPr>
          <w:p w14:paraId="7996E409">
            <w:pPr>
              <w:widowControl/>
              <w:spacing w:line="360" w:lineRule="auto"/>
              <w:ind w:firstLine="480" w:firstLineChars="200"/>
              <w:rPr>
                <w:rFonts w:eastAsiaTheme="majorEastAsia"/>
                <w:color w:val="000000" w:themeColor="text1"/>
                <w:sz w:val="24"/>
                <w14:textFill>
                  <w14:solidFill>
                    <w14:schemeClr w14:val="tx1"/>
                  </w14:solidFill>
                </w14:textFill>
              </w:rPr>
            </w:pPr>
            <w:r>
              <w:rPr>
                <w:rFonts w:hint="eastAsia" w:eastAsiaTheme="majorEastAsia"/>
                <w:color w:val="000000" w:themeColor="text1"/>
                <w:sz w:val="24"/>
                <w14:textFill>
                  <w14:solidFill>
                    <w14:schemeClr w14:val="tx1"/>
                  </w14:solidFill>
                </w14:textFill>
              </w:rPr>
              <w:t>分工</w:t>
            </w:r>
          </w:p>
        </w:tc>
      </w:tr>
      <w:tr w14:paraId="7513682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2560" w:type="pct"/>
            <w:tcBorders>
              <w:top w:val="single" w:color="000000" w:sz="4" w:space="0"/>
              <w:left w:val="single" w:color="000000" w:sz="4" w:space="0"/>
              <w:bottom w:val="single" w:color="000000" w:sz="4" w:space="0"/>
              <w:right w:val="single" w:color="000000" w:sz="4" w:space="0"/>
            </w:tcBorders>
            <w:vAlign w:val="center"/>
          </w:tcPr>
          <w:p w14:paraId="075FFEF4">
            <w:pPr>
              <w:widowControl/>
              <w:spacing w:line="360" w:lineRule="auto"/>
              <w:ind w:firstLine="480" w:firstLineChars="200"/>
              <w:rPr>
                <w:rFonts w:eastAsiaTheme="majorEastAsia"/>
                <w:color w:val="000000" w:themeColor="text1"/>
                <w:sz w:val="24"/>
                <w14:textFill>
                  <w14:solidFill>
                    <w14:schemeClr w14:val="tx1"/>
                  </w14:solidFill>
                </w14:textFill>
              </w:rPr>
            </w:pPr>
            <w:r>
              <w:rPr>
                <w:rFonts w:hint="eastAsia" w:eastAsiaTheme="majorEastAsia"/>
                <w:color w:val="000000" w:themeColor="text1"/>
                <w:sz w:val="24"/>
                <w14:textFill>
                  <w14:solidFill>
                    <w14:schemeClr w14:val="tx1"/>
                  </w14:solidFill>
                </w14:textFill>
              </w:rPr>
              <w:t>建筑材料工业技术监督研究中心</w:t>
            </w:r>
          </w:p>
        </w:tc>
        <w:tc>
          <w:tcPr>
            <w:tcW w:w="2440" w:type="pct"/>
            <w:tcBorders>
              <w:top w:val="single" w:color="000000" w:sz="4" w:space="0"/>
              <w:left w:val="single" w:color="000000" w:sz="4" w:space="0"/>
              <w:bottom w:val="single" w:color="000000" w:sz="4" w:space="0"/>
              <w:right w:val="single" w:color="000000" w:sz="4" w:space="0"/>
            </w:tcBorders>
            <w:vAlign w:val="center"/>
          </w:tcPr>
          <w:p w14:paraId="08C47D9B">
            <w:pPr>
              <w:widowControl/>
              <w:spacing w:line="360" w:lineRule="auto"/>
              <w:ind w:firstLine="480" w:firstLineChars="200"/>
              <w:rPr>
                <w:rFonts w:eastAsiaTheme="majorEastAsia"/>
                <w:color w:val="000000" w:themeColor="text1"/>
                <w:sz w:val="24"/>
                <w14:textFill>
                  <w14:solidFill>
                    <w14:schemeClr w14:val="tx1"/>
                  </w14:solidFill>
                </w14:textFill>
              </w:rPr>
            </w:pPr>
            <w:r>
              <w:rPr>
                <w:rFonts w:hint="eastAsia" w:eastAsiaTheme="majorEastAsia"/>
                <w:color w:val="000000" w:themeColor="text1"/>
                <w:sz w:val="24"/>
                <w14:textFill>
                  <w14:solidFill>
                    <w14:schemeClr w14:val="tx1"/>
                  </w14:solidFill>
                </w14:textFill>
              </w:rPr>
              <w:t>负责调研、资料收集；分阶段编写标准草案、征求意见稿、送审稿、报批稿及编制说明；收集及反馈征求意见；开展验证试验、标准会议等工作。</w:t>
            </w:r>
          </w:p>
        </w:tc>
      </w:tr>
      <w:tr w14:paraId="2C34645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485" w:hRule="atLeast"/>
          <w:jc w:val="center"/>
        </w:trPr>
        <w:tc>
          <w:tcPr>
            <w:tcW w:w="2560" w:type="pct"/>
            <w:tcBorders>
              <w:top w:val="single" w:color="000000" w:sz="4" w:space="0"/>
              <w:left w:val="single" w:color="000000" w:sz="4" w:space="0"/>
              <w:bottom w:val="single" w:color="000000" w:sz="4" w:space="0"/>
              <w:right w:val="single" w:color="000000" w:sz="4" w:space="0"/>
            </w:tcBorders>
            <w:vAlign w:val="center"/>
          </w:tcPr>
          <w:p w14:paraId="049010B1">
            <w:pPr>
              <w:widowControl/>
              <w:spacing w:line="360" w:lineRule="auto"/>
              <w:ind w:firstLine="480" w:firstLineChars="200"/>
              <w:rPr>
                <w:rFonts w:eastAsiaTheme="majorEastAsia"/>
                <w:bCs/>
                <w:color w:val="000000" w:themeColor="text1"/>
                <w:sz w:val="24"/>
                <w14:textFill>
                  <w14:solidFill>
                    <w14:schemeClr w14:val="tx1"/>
                  </w14:solidFill>
                </w14:textFill>
              </w:rPr>
            </w:pPr>
            <w:r>
              <w:rPr>
                <w:rFonts w:hint="eastAsia" w:eastAsiaTheme="majorEastAsia"/>
                <w:color w:val="000000" w:themeColor="text1"/>
                <w:sz w:val="24"/>
                <w14:textFill>
                  <w14:solidFill>
                    <w14:schemeClr w14:val="tx1"/>
                  </w14:solidFill>
                </w14:textFill>
              </w:rPr>
              <w:t>中国建筑材料科学研究总院有限公司、</w:t>
            </w:r>
            <w:r>
              <w:rPr>
                <w:rFonts w:hint="eastAsia"/>
                <w:sz w:val="24"/>
              </w:rPr>
              <w:t>武汉三源特种建材有限责任公司</w:t>
            </w:r>
            <w:r>
              <w:rPr>
                <w:sz w:val="24"/>
              </w:rPr>
              <w:t>、</w:t>
            </w:r>
            <w:r>
              <w:rPr>
                <w:rFonts w:hint="eastAsia"/>
                <w:sz w:val="24"/>
              </w:rPr>
              <w:t>天津豹鸣股份有限公司、</w:t>
            </w:r>
            <w:r>
              <w:rPr>
                <w:rFonts w:hint="eastAsia" w:eastAsiaTheme="majorEastAsia"/>
                <w:color w:val="000000" w:themeColor="text1"/>
                <w:sz w:val="24"/>
                <w14:textFill>
                  <w14:solidFill>
                    <w14:schemeClr w14:val="tx1"/>
                  </w14:solidFill>
                </w14:textFill>
              </w:rPr>
              <w:t>湖北乾道新型材料有限责任公司、湖南湘源新型材料科技有限公司、南京晶磊兴建材有限公司等</w:t>
            </w:r>
          </w:p>
        </w:tc>
        <w:tc>
          <w:tcPr>
            <w:tcW w:w="2440" w:type="pct"/>
            <w:tcBorders>
              <w:top w:val="single" w:color="000000" w:sz="4" w:space="0"/>
              <w:left w:val="single" w:color="000000" w:sz="4" w:space="0"/>
              <w:bottom w:val="single" w:color="000000" w:sz="4" w:space="0"/>
              <w:right w:val="single" w:color="000000" w:sz="4" w:space="0"/>
            </w:tcBorders>
            <w:vAlign w:val="center"/>
          </w:tcPr>
          <w:p w14:paraId="25DD0C7A">
            <w:pPr>
              <w:widowControl/>
              <w:spacing w:line="360" w:lineRule="auto"/>
              <w:ind w:firstLine="480" w:firstLineChars="200"/>
              <w:rPr>
                <w:rFonts w:eastAsiaTheme="majorEastAsia"/>
                <w:bCs/>
                <w:color w:val="000000" w:themeColor="text1"/>
                <w:sz w:val="24"/>
                <w14:textFill>
                  <w14:solidFill>
                    <w14:schemeClr w14:val="tx1"/>
                  </w14:solidFill>
                </w14:textFill>
              </w:rPr>
            </w:pPr>
            <w:r>
              <w:rPr>
                <w:rFonts w:hint="eastAsia" w:eastAsiaTheme="majorEastAsia"/>
                <w:color w:val="000000" w:themeColor="text1"/>
                <w:sz w:val="24"/>
                <w14:textFill>
                  <w14:solidFill>
                    <w14:schemeClr w14:val="tx1"/>
                  </w14:solidFill>
                </w14:textFill>
              </w:rPr>
              <w:t>主要完成标准试验验证工作，</w:t>
            </w:r>
            <w:r>
              <w:rPr>
                <w:rFonts w:hint="eastAsia" w:eastAsiaTheme="majorEastAsia"/>
                <w:bCs/>
                <w:color w:val="000000" w:themeColor="text1"/>
                <w:sz w:val="24"/>
                <w14:textFill>
                  <w14:solidFill>
                    <w14:schemeClr w14:val="tx1"/>
                  </w14:solidFill>
                </w14:textFill>
              </w:rPr>
              <w:t>提供膨胀剂工程应用案例，</w:t>
            </w:r>
            <w:r>
              <w:rPr>
                <w:rFonts w:hint="eastAsia" w:eastAsiaTheme="majorEastAsia"/>
                <w:color w:val="000000" w:themeColor="text1"/>
                <w:sz w:val="24"/>
                <w14:textFill>
                  <w14:solidFill>
                    <w14:schemeClr w14:val="tx1"/>
                  </w14:solidFill>
                </w14:textFill>
              </w:rPr>
              <w:t>并结合生产实际对标准条文设定提出要求与建议等。</w:t>
            </w:r>
          </w:p>
        </w:tc>
      </w:tr>
      <w:tr w14:paraId="18CF8E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2560" w:type="pct"/>
            <w:tcBorders>
              <w:top w:val="single" w:color="000000" w:sz="4" w:space="0"/>
              <w:left w:val="single" w:color="000000" w:sz="4" w:space="0"/>
              <w:bottom w:val="single" w:color="000000" w:sz="4" w:space="0"/>
              <w:right w:val="single" w:color="000000" w:sz="4" w:space="0"/>
            </w:tcBorders>
            <w:vAlign w:val="center"/>
          </w:tcPr>
          <w:p w14:paraId="70F9092E">
            <w:pPr>
              <w:widowControl/>
              <w:spacing w:line="360" w:lineRule="auto"/>
              <w:ind w:firstLine="480" w:firstLineChars="200"/>
              <w:rPr>
                <w:rFonts w:eastAsiaTheme="majorEastAsia"/>
                <w:color w:val="000000" w:themeColor="text1"/>
                <w:sz w:val="24"/>
                <w14:textFill>
                  <w14:solidFill>
                    <w14:schemeClr w14:val="tx1"/>
                  </w14:solidFill>
                </w14:textFill>
              </w:rPr>
            </w:pPr>
            <w:r>
              <w:rPr>
                <w:rFonts w:hint="eastAsia" w:eastAsiaTheme="majorEastAsia"/>
                <w:color w:val="000000" w:themeColor="text1"/>
                <w:sz w:val="24"/>
                <w14:textFill>
                  <w14:solidFill>
                    <w14:schemeClr w14:val="tx1"/>
                  </w14:solidFill>
                </w14:textFill>
              </w:rPr>
              <w:t>郑州市建文科技特材有限公司、北京市宗久建材有限公司、</w:t>
            </w:r>
            <w:bookmarkStart w:id="83" w:name="_GoBack"/>
            <w:r>
              <w:rPr>
                <w:rFonts w:hint="eastAsia" w:eastAsiaTheme="majorEastAsia"/>
                <w:color w:val="000000" w:themeColor="text1"/>
                <w:sz w:val="24"/>
                <w14:textFill>
                  <w14:solidFill>
                    <w14:schemeClr w14:val="tx1"/>
                  </w14:solidFill>
                </w14:textFill>
              </w:rPr>
              <w:t>重庆</w:t>
            </w:r>
            <w:r>
              <w:rPr>
                <w:rFonts w:hint="eastAsia" w:eastAsiaTheme="majorEastAsia"/>
                <w:color w:val="000000" w:themeColor="text1"/>
                <w:sz w:val="24"/>
                <w:lang w:val="en-US" w:eastAsia="zh-CN"/>
                <w14:textFill>
                  <w14:solidFill>
                    <w14:schemeClr w14:val="tx1"/>
                  </w14:solidFill>
                </w14:textFill>
              </w:rPr>
              <w:t>市北碚区</w:t>
            </w:r>
            <w:bookmarkEnd w:id="83"/>
            <w:r>
              <w:rPr>
                <w:rFonts w:hint="eastAsia" w:eastAsiaTheme="majorEastAsia"/>
                <w:color w:val="000000" w:themeColor="text1"/>
                <w:sz w:val="24"/>
                <w14:textFill>
                  <w14:solidFill>
                    <w14:schemeClr w14:val="tx1"/>
                  </w14:solidFill>
                </w14:textFill>
              </w:rPr>
              <w:t>三圣</w:t>
            </w:r>
            <w:r>
              <w:rPr>
                <w:rFonts w:hint="eastAsia" w:eastAsiaTheme="majorEastAsia"/>
                <w:color w:val="000000" w:themeColor="text1"/>
                <w:sz w:val="24"/>
                <w:lang w:val="en-US" w:eastAsia="zh-CN"/>
                <w14:textFill>
                  <w14:solidFill>
                    <w14:schemeClr w14:val="tx1"/>
                  </w14:solidFill>
                </w14:textFill>
              </w:rPr>
              <w:t>新材料科技</w:t>
            </w:r>
            <w:r>
              <w:rPr>
                <w:rFonts w:hint="eastAsia" w:eastAsiaTheme="majorEastAsia"/>
                <w:color w:val="000000" w:themeColor="text1"/>
                <w:sz w:val="24"/>
                <w14:textFill>
                  <w14:solidFill>
                    <w14:schemeClr w14:val="tx1"/>
                  </w14:solidFill>
                </w14:textFill>
              </w:rPr>
              <w:t>有限公司、</w:t>
            </w:r>
            <w:bookmarkStart w:id="9" w:name="OLE_LINK10"/>
            <w:r>
              <w:rPr>
                <w:rFonts w:hint="eastAsia" w:eastAsiaTheme="majorEastAsia"/>
                <w:color w:val="000000" w:themeColor="text1"/>
                <w:sz w:val="24"/>
                <w14:textFill>
                  <w14:solidFill>
                    <w14:schemeClr w14:val="tx1"/>
                  </w14:solidFill>
                </w14:textFill>
              </w:rPr>
              <w:t>江苏苏博特新材料股份有限公司</w:t>
            </w:r>
            <w:bookmarkEnd w:id="9"/>
            <w:r>
              <w:rPr>
                <w:rFonts w:hint="eastAsia" w:eastAsiaTheme="majorEastAsia"/>
                <w:color w:val="000000" w:themeColor="text1"/>
                <w:sz w:val="24"/>
                <w14:textFill>
                  <w14:solidFill>
                    <w14:schemeClr w14:val="tx1"/>
                  </w14:solidFill>
                </w14:textFill>
              </w:rPr>
              <w:t>、辽宁省建设科学研究院有限责任公司、新特新材料集团(河南)股份有限公司等</w:t>
            </w:r>
          </w:p>
        </w:tc>
        <w:tc>
          <w:tcPr>
            <w:tcW w:w="2440" w:type="pct"/>
            <w:tcBorders>
              <w:top w:val="single" w:color="000000" w:sz="4" w:space="0"/>
              <w:left w:val="single" w:color="000000" w:sz="4" w:space="0"/>
              <w:bottom w:val="single" w:color="000000" w:sz="4" w:space="0"/>
              <w:right w:val="single" w:color="000000" w:sz="4" w:space="0"/>
            </w:tcBorders>
            <w:vAlign w:val="center"/>
          </w:tcPr>
          <w:p w14:paraId="2BB6A473">
            <w:pPr>
              <w:widowControl/>
              <w:spacing w:line="360" w:lineRule="auto"/>
              <w:ind w:firstLine="480" w:firstLineChars="200"/>
              <w:rPr>
                <w:rFonts w:eastAsiaTheme="majorEastAsia"/>
                <w:color w:val="000000" w:themeColor="text1"/>
                <w:sz w:val="24"/>
                <w14:textFill>
                  <w14:solidFill>
                    <w14:schemeClr w14:val="tx1"/>
                  </w14:solidFill>
                </w14:textFill>
              </w:rPr>
            </w:pPr>
            <w:r>
              <w:rPr>
                <w:rFonts w:hint="eastAsia" w:eastAsiaTheme="majorEastAsia"/>
                <w:color w:val="000000" w:themeColor="text1"/>
                <w:sz w:val="24"/>
                <w14:textFill>
                  <w14:solidFill>
                    <w14:schemeClr w14:val="tx1"/>
                  </w14:solidFill>
                </w14:textFill>
              </w:rPr>
              <w:t>配合调研和相关技术资料收集；负责提供能力范围内的验证试验及试验样品；配合分阶段编写征求意见稿、送审稿、报批稿及编制说明，并结合实践经验提出修改建议等。</w:t>
            </w:r>
          </w:p>
        </w:tc>
      </w:tr>
    </w:tbl>
    <w:p w14:paraId="3AF5B5BE">
      <w:pPr>
        <w:shd w:val="clear" w:color="auto" w:fill="FFFFFF"/>
        <w:spacing w:before="156" w:beforeLines="50" w:after="156" w:afterLines="50" w:line="300" w:lineRule="auto"/>
        <w:ind w:firstLine="643" w:firstLineChars="200"/>
        <w:outlineLvl w:val="1"/>
        <w:rPr>
          <w:b/>
          <w:bCs/>
          <w:color w:val="auto"/>
          <w:sz w:val="32"/>
          <w:szCs w:val="28"/>
        </w:rPr>
      </w:pPr>
      <w:r>
        <w:rPr>
          <w:rFonts w:hint="eastAsia"/>
          <w:b/>
          <w:bCs/>
          <w:color w:val="auto"/>
          <w:sz w:val="32"/>
          <w:szCs w:val="28"/>
        </w:rPr>
        <w:t>二、标准编制原则和主要内容</w:t>
      </w:r>
    </w:p>
    <w:p w14:paraId="7F4A0B3E">
      <w:pPr>
        <w:widowControl/>
        <w:spacing w:line="360" w:lineRule="auto"/>
        <w:ind w:firstLine="562" w:firstLineChars="200"/>
        <w:rPr>
          <w:rFonts w:eastAsiaTheme="majorEastAsia"/>
          <w:b/>
          <w:bCs/>
          <w:color w:val="000000" w:themeColor="text1"/>
          <w:sz w:val="28"/>
          <w:szCs w:val="28"/>
          <w14:textFill>
            <w14:solidFill>
              <w14:schemeClr w14:val="tx1"/>
            </w14:solidFill>
          </w14:textFill>
        </w:rPr>
      </w:pPr>
      <w:r>
        <w:rPr>
          <w:rFonts w:hint="eastAsia" w:eastAsiaTheme="majorEastAsia"/>
          <w:b/>
          <w:bCs/>
          <w:color w:val="000000" w:themeColor="text1"/>
          <w:sz w:val="28"/>
          <w:szCs w:val="28"/>
          <w14:textFill>
            <w14:solidFill>
              <w14:schemeClr w14:val="tx1"/>
            </w14:solidFill>
          </w14:textFill>
        </w:rPr>
        <w:t>（一）标准编制原则</w:t>
      </w:r>
    </w:p>
    <w:p w14:paraId="6FC1831A">
      <w:pPr>
        <w:shd w:val="clear" w:color="auto" w:fill="FFFFFF"/>
        <w:spacing w:line="360" w:lineRule="auto"/>
        <w:ind w:firstLine="482" w:firstLineChars="200"/>
        <w:rPr>
          <w:b/>
          <w:bCs/>
          <w:sz w:val="24"/>
        </w:rPr>
      </w:pPr>
      <w:r>
        <w:rPr>
          <w:b/>
          <w:bCs/>
          <w:sz w:val="24"/>
        </w:rPr>
        <w:t>1</w:t>
      </w:r>
      <w:r>
        <w:rPr>
          <w:rFonts w:hint="eastAsia"/>
          <w:b/>
          <w:bCs/>
          <w:sz w:val="24"/>
        </w:rPr>
        <w:t>．</w:t>
      </w:r>
      <w:r>
        <w:rPr>
          <w:b/>
          <w:bCs/>
          <w:sz w:val="24"/>
        </w:rPr>
        <w:t>规范性原则</w:t>
      </w:r>
    </w:p>
    <w:p w14:paraId="6DCF7467">
      <w:pPr>
        <w:shd w:val="clear" w:color="auto" w:fill="FFFFFF"/>
        <w:spacing w:line="360" w:lineRule="auto"/>
        <w:ind w:firstLine="480" w:firstLineChars="200"/>
        <w:rPr>
          <w:sz w:val="24"/>
        </w:rPr>
      </w:pPr>
      <w:r>
        <w:rPr>
          <w:sz w:val="24"/>
        </w:rPr>
        <w:t>本规范在编制过程中按照建设部的（建标【2008】182号）《工程建设标准编写规定》进行编写，力求提高规范及相关文件资料的编写质量。</w:t>
      </w:r>
    </w:p>
    <w:p w14:paraId="4AB18C47">
      <w:pPr>
        <w:shd w:val="clear" w:color="auto" w:fill="FFFFFF"/>
        <w:spacing w:line="360" w:lineRule="auto"/>
        <w:ind w:firstLine="482" w:firstLineChars="200"/>
        <w:rPr>
          <w:b/>
          <w:bCs/>
          <w:sz w:val="24"/>
        </w:rPr>
      </w:pPr>
      <w:r>
        <w:rPr>
          <w:b/>
          <w:bCs/>
          <w:sz w:val="24"/>
        </w:rPr>
        <w:t>2</w:t>
      </w:r>
      <w:r>
        <w:rPr>
          <w:rFonts w:hint="eastAsia"/>
          <w:b/>
          <w:bCs/>
          <w:sz w:val="24"/>
        </w:rPr>
        <w:t>．</w:t>
      </w:r>
      <w:r>
        <w:rPr>
          <w:b/>
          <w:bCs/>
          <w:sz w:val="24"/>
        </w:rPr>
        <w:t>协调性原则</w:t>
      </w:r>
    </w:p>
    <w:p w14:paraId="185F592F">
      <w:pPr>
        <w:shd w:val="clear" w:color="auto" w:fill="FFFFFF"/>
        <w:spacing w:line="360" w:lineRule="auto"/>
        <w:ind w:firstLine="480" w:firstLineChars="200"/>
        <w:rPr>
          <w:sz w:val="24"/>
        </w:rPr>
      </w:pPr>
      <w:r>
        <w:rPr>
          <w:sz w:val="24"/>
        </w:rPr>
        <w:t>本规范内容应符合国家和行业现行的方针、政策、法律、法规，另外还应与行业发展技术水平相协调，以促进技术进步、行业技术升级和城市更新。本规范在与相关标准协调的基础上，充分考虑本规范材料特性和工程应用要求，广泛收集相关单位的应用经验，本着安全、环保、实用、经济的原则，按国家有关规范的编写规定进行编制。</w:t>
      </w:r>
    </w:p>
    <w:p w14:paraId="1CED2E4D">
      <w:pPr>
        <w:shd w:val="clear" w:color="auto" w:fill="FFFFFF"/>
        <w:spacing w:line="360" w:lineRule="auto"/>
        <w:ind w:firstLine="482" w:firstLineChars="200"/>
        <w:rPr>
          <w:b/>
          <w:bCs/>
          <w:sz w:val="24"/>
        </w:rPr>
      </w:pPr>
      <w:r>
        <w:rPr>
          <w:b/>
          <w:bCs/>
          <w:sz w:val="24"/>
        </w:rPr>
        <w:t>3</w:t>
      </w:r>
      <w:r>
        <w:rPr>
          <w:rFonts w:hint="eastAsia"/>
          <w:b/>
          <w:bCs/>
          <w:sz w:val="24"/>
        </w:rPr>
        <w:t>．</w:t>
      </w:r>
      <w:r>
        <w:rPr>
          <w:b/>
          <w:bCs/>
          <w:sz w:val="24"/>
        </w:rPr>
        <w:t>科学性和先进性原则</w:t>
      </w:r>
    </w:p>
    <w:p w14:paraId="52160BB9">
      <w:pPr>
        <w:shd w:val="clear" w:color="auto" w:fill="FFFFFF"/>
        <w:spacing w:line="360" w:lineRule="auto"/>
        <w:ind w:firstLine="480" w:firstLineChars="200"/>
        <w:rPr>
          <w:sz w:val="24"/>
        </w:rPr>
      </w:pPr>
      <w:r>
        <w:rPr>
          <w:sz w:val="24"/>
        </w:rPr>
        <w:t>技术要求指标的确定，不仅要考虑科学、先进，还要考虑经济、适用，即标准指标要科学先进，还要经济合理、实施便利，满足使用要求，具有可操作性。</w:t>
      </w:r>
    </w:p>
    <w:p w14:paraId="10E9BD0C">
      <w:pPr>
        <w:widowControl/>
        <w:spacing w:line="360" w:lineRule="auto"/>
        <w:ind w:firstLine="482" w:firstLineChars="200"/>
        <w:rPr>
          <w:rFonts w:eastAsiaTheme="majorEastAsia"/>
          <w:b/>
          <w:bCs/>
          <w:color w:val="000000" w:themeColor="text1"/>
          <w:sz w:val="24"/>
          <w14:textFill>
            <w14:solidFill>
              <w14:schemeClr w14:val="tx1"/>
            </w14:solidFill>
          </w14:textFill>
        </w:rPr>
      </w:pPr>
      <w:r>
        <w:rPr>
          <w:rFonts w:hint="eastAsia" w:eastAsiaTheme="majorEastAsia"/>
          <w:b/>
          <w:bCs/>
          <w:color w:val="000000" w:themeColor="text1"/>
          <w:sz w:val="24"/>
          <w14:textFill>
            <w14:solidFill>
              <w14:schemeClr w14:val="tx1"/>
            </w14:solidFill>
          </w14:textFill>
        </w:rPr>
        <w:t>（二）标准主要内容</w:t>
      </w:r>
    </w:p>
    <w:p w14:paraId="21BB4259">
      <w:pPr>
        <w:shd w:val="clear" w:color="auto" w:fill="FFFFFF"/>
        <w:spacing w:line="360" w:lineRule="auto"/>
        <w:ind w:firstLine="482" w:firstLineChars="200"/>
        <w:outlineLvl w:val="2"/>
        <w:rPr>
          <w:b/>
          <w:bCs/>
          <w:color w:val="auto"/>
          <w:sz w:val="24"/>
        </w:rPr>
      </w:pPr>
      <w:bookmarkStart w:id="10" w:name="_Toc217982709"/>
      <w:bookmarkStart w:id="11" w:name="_Toc217982937"/>
      <w:bookmarkStart w:id="12" w:name="_Toc216643260"/>
      <w:bookmarkStart w:id="13" w:name="_Toc217982172"/>
      <w:r>
        <w:rPr>
          <w:rFonts w:hint="eastAsia"/>
          <w:b/>
          <w:bCs/>
          <w:color w:val="auto"/>
          <w:sz w:val="24"/>
        </w:rPr>
        <w:t>1．总则</w:t>
      </w:r>
      <w:bookmarkEnd w:id="10"/>
      <w:bookmarkEnd w:id="11"/>
      <w:bookmarkEnd w:id="12"/>
      <w:bookmarkEnd w:id="13"/>
    </w:p>
    <w:p w14:paraId="27ED0203">
      <w:pPr>
        <w:spacing w:line="400" w:lineRule="exact"/>
        <w:ind w:firstLine="480" w:firstLineChars="200"/>
        <w:rPr>
          <w:rFonts w:hint="eastAsia" w:ascii="宋体" w:hAnsi="宋体"/>
          <w:sz w:val="24"/>
        </w:rPr>
      </w:pPr>
      <w:r>
        <w:rPr>
          <w:rFonts w:hint="eastAsia"/>
          <w:kern w:val="0"/>
          <w:sz w:val="24"/>
          <w:lang w:bidi="en-US"/>
        </w:rPr>
        <w:t>1.0.1  混凝土收缩开裂是困扰工程界的世界性难题，一旦开裂，外界水或侵蚀性介质就有可能进入混凝土内部，影响构筑物使用功能及安全性。据统计，</w:t>
      </w:r>
      <w:r>
        <w:rPr>
          <w:rFonts w:hint="eastAsia" w:ascii="宋体" w:hAnsi="宋体"/>
          <w:sz w:val="24"/>
        </w:rPr>
        <w:t>约5</w:t>
      </w:r>
      <w:r>
        <w:rPr>
          <w:rFonts w:ascii="宋体" w:hAnsi="宋体"/>
          <w:sz w:val="24"/>
        </w:rPr>
        <w:t>2</w:t>
      </w:r>
      <w:r>
        <w:rPr>
          <w:rFonts w:hint="eastAsia" w:ascii="宋体" w:hAnsi="宋体"/>
          <w:sz w:val="24"/>
        </w:rPr>
        <w:t>%的地下建筑存在开裂渗漏问题。混凝土膨胀剂是目前提升建筑工程抗裂抗渗性能最有效的材料之一，是解决混凝土工程开裂渗漏难题的重要技术手段。混凝土膨胀剂已广泛应用于混凝土结构自防水、超长结构连续无缝施工、大体积混凝土裂缝控制。本规范制的目的，就是规范混凝土膨胀剂在工程中的设计与使用，充分发挥其补偿收缩能力，减免混凝土收缩开裂，改善混凝土耐久性，提升混凝土工程质量。</w:t>
      </w:r>
    </w:p>
    <w:p w14:paraId="4A72F0F9">
      <w:pPr>
        <w:spacing w:line="400" w:lineRule="exact"/>
        <w:ind w:firstLine="480" w:firstLineChars="200"/>
        <w:rPr>
          <w:rFonts w:hint="eastAsia" w:ascii="宋体" w:hAnsi="宋体"/>
          <w:sz w:val="24"/>
        </w:rPr>
      </w:pPr>
      <w:r>
        <w:rPr>
          <w:sz w:val="24"/>
        </w:rPr>
        <w:t>1.0.2</w:t>
      </w:r>
      <w:r>
        <w:rPr>
          <w:rFonts w:hint="eastAsia" w:ascii="宋体" w:hAnsi="宋体"/>
          <w:sz w:val="24"/>
        </w:rPr>
        <w:t xml:space="preserve">  </w:t>
      </w:r>
      <w:r>
        <w:rPr>
          <w:rFonts w:hint="eastAsia"/>
          <w:kern w:val="0"/>
          <w:sz w:val="24"/>
          <w:lang w:bidi="en-US"/>
        </w:rPr>
        <w:t>本条规定了本规范的适用范围。本规范适用于混凝土膨胀剂在</w:t>
      </w:r>
      <w:r>
        <w:rPr>
          <w:kern w:val="0"/>
          <w:sz w:val="24"/>
          <w:lang w:bidi="en-US"/>
        </w:rPr>
        <w:t>工业与民用建筑、交通、市政等工程中的</w:t>
      </w:r>
      <w:r>
        <w:rPr>
          <w:rFonts w:hint="eastAsia"/>
          <w:kern w:val="0"/>
          <w:sz w:val="24"/>
          <w:lang w:bidi="en-US"/>
        </w:rPr>
        <w:t>应用。混凝土膨胀剂适用范围较广，包括民用建筑工程、工业建筑工程、构筑物工程、道路工程、轨道交通工程、隧道工程、桥涵工程、水工工程、矿山工程、国防工程、人防工程，以及市政公共用途的地下空间设施、地下综合管廊等。</w:t>
      </w:r>
    </w:p>
    <w:p w14:paraId="36937007">
      <w:pPr>
        <w:spacing w:line="400" w:lineRule="exact"/>
        <w:ind w:firstLine="480" w:firstLineChars="200"/>
        <w:rPr>
          <w:kern w:val="0"/>
          <w:sz w:val="24"/>
          <w:lang w:bidi="en-US"/>
        </w:rPr>
      </w:pPr>
      <w:r>
        <w:rPr>
          <w:rFonts w:hint="eastAsia" w:ascii="宋体" w:hAnsi="宋体"/>
          <w:sz w:val="24"/>
        </w:rPr>
        <w:t>1.0.3</w:t>
      </w:r>
      <w:r>
        <w:rPr>
          <w:rFonts w:hint="eastAsia"/>
          <w:kern w:val="0"/>
          <w:sz w:val="24"/>
          <w:lang w:bidi="en-US"/>
        </w:rPr>
        <w:t xml:space="preserve">  混凝土膨胀剂的抗裂防渗设计和施工涉及不同工程类别，在使用中除应执本规范外，还应按所属工程类别符合现行有关国家或行业标准的规定。</w:t>
      </w:r>
    </w:p>
    <w:p w14:paraId="638B2155">
      <w:pPr>
        <w:shd w:val="clear" w:color="auto" w:fill="FFFFFF"/>
        <w:spacing w:line="360" w:lineRule="auto"/>
        <w:ind w:firstLine="482" w:firstLineChars="200"/>
        <w:outlineLvl w:val="2"/>
        <w:rPr>
          <w:b/>
          <w:bCs/>
          <w:color w:val="auto"/>
          <w:sz w:val="24"/>
        </w:rPr>
      </w:pPr>
      <w:bookmarkStart w:id="14" w:name="_Toc216643261"/>
      <w:bookmarkStart w:id="15" w:name="_Toc217982938"/>
      <w:bookmarkStart w:id="16" w:name="_Toc217982710"/>
      <w:bookmarkStart w:id="17" w:name="_Toc217982173"/>
      <w:r>
        <w:rPr>
          <w:b/>
          <w:bCs/>
          <w:color w:val="auto"/>
          <w:sz w:val="24"/>
        </w:rPr>
        <w:t>2</w:t>
      </w:r>
      <w:r>
        <w:rPr>
          <w:rFonts w:hint="eastAsia"/>
          <w:b/>
          <w:bCs/>
          <w:color w:val="auto"/>
          <w:sz w:val="24"/>
        </w:rPr>
        <w:t xml:space="preserve">. </w:t>
      </w:r>
      <w:r>
        <w:rPr>
          <w:b/>
          <w:bCs/>
          <w:color w:val="auto"/>
          <w:sz w:val="24"/>
        </w:rPr>
        <w:t>术语</w:t>
      </w:r>
      <w:bookmarkEnd w:id="14"/>
      <w:bookmarkEnd w:id="15"/>
      <w:bookmarkEnd w:id="16"/>
      <w:bookmarkEnd w:id="17"/>
    </w:p>
    <w:p w14:paraId="6B8AAD6A">
      <w:pPr>
        <w:widowControl/>
        <w:spacing w:line="360" w:lineRule="auto"/>
        <w:ind w:firstLine="480" w:firstLineChars="200"/>
        <w:rPr>
          <w:kern w:val="0"/>
          <w:sz w:val="24"/>
          <w:lang w:bidi="en-US"/>
        </w:rPr>
      </w:pPr>
      <w:r>
        <w:rPr>
          <w:rFonts w:hint="eastAsia"/>
          <w:sz w:val="24"/>
        </w:rPr>
        <w:t xml:space="preserve">2.0.1～2.0.6  </w:t>
      </w:r>
      <w:r>
        <w:rPr>
          <w:rFonts w:hint="eastAsia"/>
          <w:kern w:val="0"/>
          <w:sz w:val="24"/>
          <w:lang w:bidi="en-US"/>
        </w:rPr>
        <w:t>本规范所涉及膨胀剂包括：水化产物为钙矾石的硫铝酸钙类膨胀剂、水化产物为氢氧化钙的氧化钙类膨胀剂、水化产物为钙矾石和氢氧化钙的硫铝酸钙—氧化钙类膨胀剂、水化产物为氢氧化镁的氧化镁膨胀剂、水化产物为氢氧化钙和氢氧化镁或钙矾石、氢氧化钙和氢氧化镁的</w:t>
      </w:r>
      <w:r>
        <w:rPr>
          <w:kern w:val="0"/>
          <w:sz w:val="24"/>
          <w:lang w:bidi="en-US"/>
        </w:rPr>
        <w:t>钙镁复合膨胀剂</w:t>
      </w:r>
      <w:r>
        <w:rPr>
          <w:rFonts w:hint="eastAsia"/>
          <w:kern w:val="0"/>
          <w:sz w:val="24"/>
          <w:lang w:bidi="en-US"/>
        </w:rPr>
        <w:t>。</w:t>
      </w:r>
    </w:p>
    <w:p w14:paraId="3AED3CF6">
      <w:pPr>
        <w:widowControl/>
        <w:spacing w:line="360" w:lineRule="auto"/>
        <w:ind w:firstLine="480" w:firstLineChars="200"/>
        <w:rPr>
          <w:sz w:val="24"/>
        </w:rPr>
      </w:pPr>
      <w:bookmarkStart w:id="18" w:name="_Toc217982711"/>
      <w:bookmarkStart w:id="19" w:name="_Toc217982174"/>
      <w:bookmarkStart w:id="20" w:name="_Toc217982939"/>
      <w:bookmarkStart w:id="21" w:name="_Toc216643262"/>
      <w:r>
        <w:rPr>
          <w:rFonts w:hint="eastAsia"/>
          <w:sz w:val="24"/>
        </w:rPr>
        <w:t>2.0.7～2.0.10  干燥收缩与温度应力是导致混凝土开裂的重要原因，且近年来温度裂缝所占比例逐年上升。对于结构最小尺寸在1000mm以上或因水化温升容易开裂的混凝土结构，可以采用具备水化速率调控的复合抗裂材料。本规范所涉及的温控型抗裂剂是以氧化钙类膨胀剂或硫铝酸钙-氧化钙类膨胀剂、氧化镁膨胀剂、钙镁复合膨胀剂和水化热调控材料为关键组分，具备补偿混凝土收缩变形和降低混凝土水化温升双重功效。</w:t>
      </w:r>
    </w:p>
    <w:p w14:paraId="3A486E27">
      <w:pPr>
        <w:spacing w:line="360" w:lineRule="auto"/>
        <w:ind w:firstLine="480" w:firstLineChars="200"/>
        <w:rPr>
          <w:kern w:val="0"/>
          <w:sz w:val="24"/>
          <w:lang w:bidi="en-US"/>
        </w:rPr>
      </w:pPr>
      <w:r>
        <w:rPr>
          <w:rFonts w:hint="eastAsia"/>
          <w:sz w:val="24"/>
        </w:rPr>
        <w:t>2.0.12</w:t>
      </w:r>
      <w:r>
        <w:rPr>
          <w:rFonts w:hint="eastAsia"/>
          <w:kern w:val="0"/>
          <w:sz w:val="24"/>
          <w:lang w:bidi="en-US"/>
        </w:rPr>
        <w:t xml:space="preserve">  通过测量配筋率一定的纵向限制器的变形可以获得膨胀剂或掺加膨胀剂混凝土的限制膨胀率。膨胀剂的限制膨胀率是其产品关键质量和技术指标，是工程选择膨胀剂的最重要参数。掺加膨胀剂混凝土的限制膨胀率是工程设计指标，直接决定着混凝土的收缩补偿能力。</w:t>
      </w:r>
    </w:p>
    <w:p w14:paraId="07B69E45">
      <w:pPr>
        <w:spacing w:line="360" w:lineRule="auto"/>
        <w:ind w:firstLine="480" w:firstLineChars="200"/>
        <w:rPr>
          <w:kern w:val="0"/>
          <w:sz w:val="24"/>
          <w:lang w:bidi="en-US"/>
        </w:rPr>
      </w:pPr>
      <w:r>
        <w:rPr>
          <w:rFonts w:hint="eastAsia"/>
          <w:kern w:val="0"/>
          <w:sz w:val="24"/>
          <w:lang w:bidi="en-US"/>
        </w:rPr>
        <w:t>2.0.13  反应时间表征了氧化镁膨胀剂的活性，是影响氧化镁膨胀剂膨胀性能的关键因素之一，通过调整煅烧温度和保温时间，可以获得具有不同活性的氧化镁膨胀剂。</w:t>
      </w:r>
    </w:p>
    <w:p w14:paraId="03E27737">
      <w:pPr>
        <w:spacing w:line="360" w:lineRule="auto"/>
        <w:ind w:firstLine="480" w:firstLineChars="200"/>
        <w:rPr>
          <w:rFonts w:hint="eastAsia"/>
          <w:kern w:val="0"/>
          <w:sz w:val="24"/>
          <w:lang w:bidi="en-US"/>
        </w:rPr>
      </w:pPr>
      <w:r>
        <w:rPr>
          <w:rFonts w:hint="eastAsia"/>
          <w:kern w:val="0"/>
          <w:sz w:val="24"/>
          <w:lang w:bidi="en-US"/>
        </w:rPr>
        <w:t>2.0.14  补偿收缩混凝土膨胀时，会对其约束体施加拉应力，根据作用力与反作用力原理，约束体会对其产生相应的压应力，由于此压应力是利用混凝土自身的化学能（膨胀能）张拉钢筋或其他约束体产生的，有别于外部施加的机械预应力，所以称为自应力。自应力按照公式σ=ε·E·μ计算（σ为自应力值：E为限制钢筋的弹性模量，取2.0×10MPa：μ为试件配筋率），对于钢筋混凝土而言，在一定范围内，配筋率与自应力值成正比关系：配筋率一定时，限制膨胀率高，自应力值就大。</w:t>
      </w:r>
    </w:p>
    <w:p w14:paraId="22042AA9">
      <w:pPr>
        <w:spacing w:line="360" w:lineRule="auto"/>
        <w:ind w:firstLine="480" w:firstLineChars="200"/>
        <w:rPr>
          <w:rFonts w:hint="eastAsia"/>
          <w:kern w:val="0"/>
          <w:sz w:val="24"/>
          <w:lang w:bidi="en-US"/>
        </w:rPr>
      </w:pPr>
      <w:r>
        <w:rPr>
          <w:rFonts w:hint="eastAsia"/>
          <w:kern w:val="0"/>
          <w:sz w:val="24"/>
          <w:lang w:bidi="en-US"/>
        </w:rPr>
        <w:t>2.0.15  按膨胀能大小可以将膨胀混凝土分为补偿收缩混凝土和自应力混凝土两类，其中补偿收缩混凝土的自应力值较小，主要用于补偿混凝土收缩和填充灌注。用于补偿因混凝土收缩产生的拉应力、提高混凝土的抗裂性能和改善变形性质时，其自应力值一般为0.2～0.7MPa：用于后浇带、连续浇筑时预设的膨胀加强带、以及接缝工程填充时，自应力值为0.5～1.0MPa。在这两种情况下使用的膨胀混凝土，由于自应力很小，故在结构设计中一般不考虑自应力的影响。</w:t>
      </w:r>
    </w:p>
    <w:p w14:paraId="14E55948">
      <w:pPr>
        <w:spacing w:line="360" w:lineRule="auto"/>
        <w:ind w:firstLine="480" w:firstLineChars="200"/>
        <w:rPr>
          <w:rFonts w:hint="eastAsia"/>
          <w:kern w:val="0"/>
          <w:sz w:val="24"/>
          <w:lang w:bidi="en-US"/>
        </w:rPr>
      </w:pPr>
      <w:r>
        <w:rPr>
          <w:rFonts w:hint="eastAsia"/>
          <w:kern w:val="0"/>
          <w:sz w:val="24"/>
          <w:lang w:bidi="en-US"/>
        </w:rPr>
        <w:t>日本认为当膨胀混凝土经过干燥收缩后尚残留压应力，称为自应力混凝土，否则为补偿收缩混凝土。我国所称的自应力混凝土的自应力值较大，在结构设计时必须考虑自应力的影响，自应力混凝土主要用于制造自应力混凝土压力输水管。</w:t>
      </w:r>
    </w:p>
    <w:p w14:paraId="3D9EE85D">
      <w:pPr>
        <w:spacing w:line="360" w:lineRule="auto"/>
        <w:ind w:firstLine="480" w:firstLineChars="200"/>
        <w:rPr>
          <w:rFonts w:ascii="仿宋" w:hAnsi="仿宋" w:eastAsia="仿宋"/>
          <w:sz w:val="24"/>
        </w:rPr>
      </w:pPr>
      <w:r>
        <w:rPr>
          <w:rFonts w:hint="eastAsia"/>
          <w:sz w:val="24"/>
        </w:rPr>
        <w:t>2.0.16</w:t>
      </w:r>
      <w:r>
        <w:rPr>
          <w:rFonts w:hint="eastAsia" w:ascii="仿宋" w:hAnsi="仿宋" w:eastAsia="仿宋"/>
          <w:sz w:val="24"/>
        </w:rPr>
        <w:t xml:space="preserve">  </w:t>
      </w:r>
      <w:r>
        <w:rPr>
          <w:rFonts w:hint="eastAsia"/>
          <w:kern w:val="0"/>
          <w:sz w:val="24"/>
          <w:lang w:bidi="en-US"/>
        </w:rPr>
        <w:t>膨胀剂与水泥同样参与水化作用，是胶凝材料的一种，故单位胶凝材料用量为水泥、矿物掺合料和膨胀剂的用量之和。常用的矿物掺合料包括粉煤灰、矿渣粉、硅灰、石灰石粉、复合掺合料等。</w:t>
      </w:r>
    </w:p>
    <w:p w14:paraId="1444FD06">
      <w:pPr>
        <w:spacing w:line="360" w:lineRule="auto"/>
        <w:ind w:firstLine="480" w:firstLineChars="200"/>
        <w:rPr>
          <w:rFonts w:ascii="仿宋" w:hAnsi="仿宋" w:eastAsia="仿宋"/>
          <w:sz w:val="24"/>
        </w:rPr>
      </w:pPr>
      <w:r>
        <w:rPr>
          <w:rFonts w:hint="eastAsia"/>
          <w:sz w:val="24"/>
        </w:rPr>
        <w:t>2.0.17</w:t>
      </w:r>
      <w:r>
        <w:rPr>
          <w:rFonts w:hint="eastAsia" w:ascii="仿宋" w:hAnsi="仿宋" w:eastAsia="仿宋"/>
          <w:sz w:val="24"/>
        </w:rPr>
        <w:t xml:space="preserve">  </w:t>
      </w:r>
      <w:r>
        <w:rPr>
          <w:rFonts w:hint="eastAsia"/>
          <w:kern w:val="0"/>
          <w:sz w:val="24"/>
          <w:lang w:bidi="en-US"/>
        </w:rPr>
        <w:t>膨胀剂掺量是指膨胀剂占水泥、矿物掺合料和膨胀剂总量的百分比。</w:t>
      </w:r>
    </w:p>
    <w:p w14:paraId="35AB7C5D">
      <w:pPr>
        <w:spacing w:line="360" w:lineRule="auto"/>
        <w:ind w:firstLine="960" w:firstLineChars="400"/>
        <w:rPr>
          <w:kern w:val="0"/>
          <w:sz w:val="24"/>
          <w:lang w:bidi="en-US"/>
        </w:rPr>
      </w:pPr>
      <w:r>
        <w:rPr>
          <w:rFonts w:hint="eastAsia"/>
          <w:sz w:val="24"/>
        </w:rPr>
        <w:t>2.0.18</w:t>
      </w:r>
      <w:r>
        <w:rPr>
          <w:rFonts w:hint="eastAsia" w:ascii="仿宋" w:hAnsi="仿宋" w:eastAsia="仿宋"/>
          <w:sz w:val="24"/>
        </w:rPr>
        <w:t xml:space="preserve">  </w:t>
      </w:r>
      <w:r>
        <w:rPr>
          <w:rFonts w:hint="eastAsia"/>
          <w:kern w:val="0"/>
          <w:sz w:val="24"/>
          <w:lang w:bidi="en-US"/>
        </w:rPr>
        <w:t>膨胀加强带用于减少或取消后浇带，通常设置在原后浇带位置，在收缩应力比较集中的位置，利用自应力更大的补偿收缩混凝土对两侧混凝土进行强化补偿，从而实现超长结构连续无缝施工。按照工程特点和施工要求，可分为连续式、间歇式和后浇式三种构造形式。</w:t>
      </w:r>
    </w:p>
    <w:p w14:paraId="2680F31E">
      <w:pPr>
        <w:spacing w:line="360" w:lineRule="auto"/>
        <w:ind w:firstLine="482" w:firstLineChars="200"/>
        <w:rPr>
          <w:b/>
          <w:bCs/>
          <w:color w:val="auto"/>
          <w:sz w:val="24"/>
        </w:rPr>
      </w:pPr>
      <w:r>
        <w:rPr>
          <w:b/>
          <w:bCs/>
          <w:color w:val="auto"/>
          <w:sz w:val="24"/>
        </w:rPr>
        <w:t>3</w:t>
      </w:r>
      <w:r>
        <w:rPr>
          <w:rFonts w:hint="eastAsia"/>
          <w:b/>
          <w:bCs/>
          <w:color w:val="auto"/>
          <w:sz w:val="24"/>
        </w:rPr>
        <w:t xml:space="preserve">. </w:t>
      </w:r>
      <w:r>
        <w:rPr>
          <w:b/>
          <w:bCs/>
          <w:color w:val="auto"/>
          <w:sz w:val="24"/>
        </w:rPr>
        <w:t>基本规定</w:t>
      </w:r>
      <w:bookmarkEnd w:id="18"/>
      <w:bookmarkEnd w:id="19"/>
      <w:bookmarkEnd w:id="20"/>
      <w:bookmarkEnd w:id="21"/>
    </w:p>
    <w:p w14:paraId="3BFB958C">
      <w:pPr>
        <w:pStyle w:val="6"/>
        <w:spacing w:line="360" w:lineRule="auto"/>
        <w:ind w:firstLine="480" w:firstLineChars="200"/>
        <w:rPr>
          <w:sz w:val="24"/>
          <w:szCs w:val="24"/>
        </w:rPr>
      </w:pPr>
      <w:r>
        <w:rPr>
          <w:rFonts w:ascii="Times New Roman" w:hAnsi="Times New Roman"/>
          <w:sz w:val="24"/>
          <w:szCs w:val="24"/>
        </w:rPr>
        <w:t>3.0.1</w:t>
      </w:r>
      <w:r>
        <w:rPr>
          <w:rFonts w:hint="eastAsia" w:ascii="Times New Roman" w:hAnsi="Times New Roman"/>
          <w:sz w:val="24"/>
          <w:szCs w:val="24"/>
        </w:rPr>
        <w:t xml:space="preserve">  </w:t>
      </w:r>
      <w:r>
        <w:rPr>
          <w:rFonts w:hint="eastAsia"/>
          <w:sz w:val="24"/>
          <w:szCs w:val="24"/>
        </w:rPr>
        <w:t>本条规定了混凝土膨胀剂的主要使用场合。在钢筋或临位混凝土的约束作用下，混凝土膨胀剂水化反应生成的膨胀性水化产物可以在混凝土内部建立一定的预压应力，用于补偿温度收缩与干燥收缩，从而控制混凝土开裂。这种补偿收缩能力使其在对</w:t>
      </w:r>
      <w:r>
        <w:rPr>
          <w:sz w:val="24"/>
          <w:szCs w:val="24"/>
        </w:rPr>
        <w:t>结构自防水</w:t>
      </w:r>
      <w:r>
        <w:rPr>
          <w:rFonts w:hint="eastAsia"/>
          <w:sz w:val="24"/>
          <w:szCs w:val="24"/>
        </w:rPr>
        <w:t>、</w:t>
      </w:r>
      <w:r>
        <w:rPr>
          <w:sz w:val="24"/>
          <w:szCs w:val="24"/>
        </w:rPr>
        <w:t>填充</w:t>
      </w:r>
      <w:r>
        <w:rPr>
          <w:rFonts w:hint="eastAsia"/>
          <w:sz w:val="24"/>
          <w:szCs w:val="24"/>
        </w:rPr>
        <w:t>、</w:t>
      </w:r>
      <w:r>
        <w:rPr>
          <w:sz w:val="24"/>
          <w:szCs w:val="24"/>
        </w:rPr>
        <w:t>连续浇筑</w:t>
      </w:r>
      <w:r>
        <w:rPr>
          <w:rFonts w:hint="eastAsia"/>
          <w:sz w:val="24"/>
          <w:szCs w:val="24"/>
        </w:rPr>
        <w:t>以及大体积开裂控制有需求的工程得到广泛应用。</w:t>
      </w:r>
    </w:p>
    <w:p w14:paraId="3DA4F8EC">
      <w:pPr>
        <w:pStyle w:val="6"/>
        <w:spacing w:line="360" w:lineRule="auto"/>
        <w:ind w:firstLine="480" w:firstLineChars="200"/>
        <w:rPr>
          <w:rFonts w:ascii="Times New Roman" w:hAnsi="Times New Roman"/>
          <w:sz w:val="24"/>
          <w:szCs w:val="24"/>
        </w:rPr>
      </w:pPr>
      <w:r>
        <w:rPr>
          <w:rFonts w:ascii="Times New Roman" w:hAnsi="Times New Roman"/>
          <w:sz w:val="24"/>
          <w:szCs w:val="24"/>
        </w:rPr>
        <w:t>3.0.2</w:t>
      </w:r>
      <w:r>
        <w:rPr>
          <w:rFonts w:hint="eastAsia" w:ascii="Times New Roman" w:hAnsi="Times New Roman"/>
          <w:sz w:val="24"/>
          <w:szCs w:val="24"/>
        </w:rPr>
        <w:t xml:space="preserve">  本条规定了硫铝酸钙类膨胀剂的使用条件。钙矾石在80℃以上存在分解可能性，因此从安全角度出发，规定膨胀源为钙矾石的硫铝酸钙类膨胀剂使用环境温度低于80℃。</w:t>
      </w:r>
    </w:p>
    <w:p w14:paraId="7CEE4023">
      <w:pPr>
        <w:pStyle w:val="6"/>
        <w:spacing w:line="360" w:lineRule="auto"/>
        <w:ind w:firstLine="480" w:firstLineChars="200"/>
        <w:rPr>
          <w:rFonts w:ascii="Times New Roman" w:hAnsi="Times New Roman"/>
          <w:sz w:val="24"/>
          <w:szCs w:val="24"/>
        </w:rPr>
      </w:pPr>
      <w:r>
        <w:rPr>
          <w:rFonts w:ascii="Times New Roman" w:hAnsi="Times New Roman"/>
          <w:sz w:val="24"/>
          <w:szCs w:val="24"/>
        </w:rPr>
        <w:t>3.0.3</w:t>
      </w:r>
      <w:r>
        <w:rPr>
          <w:rFonts w:hint="eastAsia" w:ascii="Times New Roman" w:hAnsi="Times New Roman"/>
          <w:sz w:val="24"/>
          <w:szCs w:val="24"/>
        </w:rPr>
        <w:t xml:space="preserve">  本条规定了氧化钙类膨胀剂的使用条件。氧化钙类膨胀剂水化反应迅速，且会推高混凝土绝热温升，对温降收缩补偿能力一般，因此规定氧化钙类膨胀剂适用于胶凝材料水化温升导致结构内部温度不超过40℃的环境。 </w:t>
      </w:r>
    </w:p>
    <w:p w14:paraId="5B1F66B7">
      <w:pPr>
        <w:pStyle w:val="6"/>
        <w:spacing w:line="360" w:lineRule="auto"/>
        <w:ind w:firstLine="480" w:firstLineChars="200"/>
        <w:rPr>
          <w:rFonts w:ascii="Times New Roman" w:hAnsi="Times New Roman"/>
          <w:sz w:val="24"/>
          <w:szCs w:val="24"/>
        </w:rPr>
      </w:pPr>
      <w:r>
        <w:rPr>
          <w:rFonts w:ascii="Times New Roman" w:hAnsi="Times New Roman"/>
          <w:sz w:val="24"/>
          <w:szCs w:val="24"/>
        </w:rPr>
        <w:t>3.0.4</w:t>
      </w:r>
      <w:r>
        <w:rPr>
          <w:rFonts w:hint="eastAsia" w:ascii="Times New Roman" w:hAnsi="Times New Roman"/>
          <w:sz w:val="24"/>
          <w:szCs w:val="24"/>
        </w:rPr>
        <w:t xml:space="preserve">  本条规定了氧化镁膨胀剂的使用条件。氧化镁膨胀剂对温度十分敏感，40</w:t>
      </w:r>
      <w:r>
        <w:rPr>
          <w:rFonts w:ascii="Times New Roman" w:hAnsi="Times New Roman"/>
          <w:sz w:val="24"/>
          <w:szCs w:val="24"/>
        </w:rPr>
        <w:t>℃</w:t>
      </w:r>
      <w:r>
        <w:rPr>
          <w:rFonts w:hint="eastAsia" w:ascii="Times New Roman" w:hAnsi="Times New Roman"/>
          <w:sz w:val="24"/>
          <w:szCs w:val="24"/>
        </w:rPr>
        <w:t>养护条件下掺加氧化镁膨胀剂的混凝土限制膨胀率明显高于20</w:t>
      </w:r>
      <w:r>
        <w:rPr>
          <w:rFonts w:ascii="Times New Roman" w:hAnsi="Times New Roman"/>
          <w:sz w:val="24"/>
          <w:szCs w:val="24"/>
        </w:rPr>
        <w:t>℃</w:t>
      </w:r>
      <w:r>
        <w:rPr>
          <w:rFonts w:hint="eastAsia" w:ascii="Times New Roman" w:hAnsi="Times New Roman"/>
          <w:sz w:val="24"/>
          <w:szCs w:val="24"/>
        </w:rPr>
        <w:t>养护条件下的试件，20</w:t>
      </w:r>
      <w:r>
        <w:rPr>
          <w:rFonts w:ascii="Times New Roman" w:hAnsi="Times New Roman"/>
          <w:sz w:val="24"/>
          <w:szCs w:val="24"/>
        </w:rPr>
        <w:t>℃</w:t>
      </w:r>
      <w:r>
        <w:rPr>
          <w:rFonts w:hint="eastAsia" w:ascii="Times New Roman" w:hAnsi="Times New Roman"/>
          <w:sz w:val="24"/>
          <w:szCs w:val="24"/>
        </w:rPr>
        <w:t>及以下氧化镁膨胀剂的水化反应比较缓慢。混凝土构件中心温峰值在20</w:t>
      </w:r>
      <w:r>
        <w:rPr>
          <w:rFonts w:ascii="Times New Roman" w:hAnsi="Times New Roman"/>
          <w:sz w:val="24"/>
          <w:szCs w:val="24"/>
        </w:rPr>
        <w:t>℃</w:t>
      </w:r>
      <w:r>
        <w:rPr>
          <w:rFonts w:hint="eastAsia" w:ascii="Times New Roman" w:hAnsi="Times New Roman"/>
          <w:sz w:val="24"/>
          <w:szCs w:val="24"/>
        </w:rPr>
        <w:t>以下时，混凝土的温降收缩较小；而对于冬期施工的最小尺寸小于150mm的薄墙、薄板混凝土构件，构件内部温度会更快地降为较低的环境温度。上述两种情况不利于氧化镁膨胀剂性能的发挥，因此不建议使用氧化镁膨胀剂。</w:t>
      </w:r>
    </w:p>
    <w:p w14:paraId="637AF55D">
      <w:pPr>
        <w:pStyle w:val="6"/>
        <w:spacing w:line="360" w:lineRule="auto"/>
        <w:ind w:firstLine="480" w:firstLineChars="200"/>
        <w:rPr>
          <w:rFonts w:hint="eastAsia" w:ascii="Times New Roman" w:hAnsi="Times New Roman"/>
        </w:rPr>
      </w:pPr>
      <w:r>
        <w:rPr>
          <w:rFonts w:ascii="Times New Roman" w:hAnsi="Times New Roman"/>
          <w:sz w:val="24"/>
          <w:szCs w:val="24"/>
        </w:rPr>
        <w:t>3.0.5</w:t>
      </w:r>
      <w:r>
        <w:rPr>
          <w:rFonts w:hint="eastAsia" w:ascii="Times New Roman" w:hAnsi="Times New Roman"/>
          <w:sz w:val="24"/>
          <w:szCs w:val="24"/>
        </w:rPr>
        <w:t>本条规定了掺加膨胀剂混凝土限制膨胀率指标。限制膨胀率指标是依据现行国家标准《混凝土外加剂应用技术规范》GB 50119的规定确定的。与其他类别膨胀剂相比，氧化镁膨胀剂、温控型镁质抗裂剂水化反应较为缓慢，可以在较长龄期内持续发挥补偿收缩作用，因此采用40℃水中养护28d龄期的限制膨胀率作为设计指标。钙镁复合膨胀剂兼具氧化钙类膨胀剂快速膨胀与氧化镁良好的温降收缩补偿能力，其膨胀特性介于二者之间，故</w:t>
      </w:r>
      <w:r>
        <w:rPr>
          <w:rFonts w:ascii="Times New Roman" w:hAnsi="Times New Roman"/>
          <w:sz w:val="24"/>
          <w:szCs w:val="24"/>
        </w:rPr>
        <w:t>掺</w:t>
      </w:r>
      <w:r>
        <w:rPr>
          <w:rFonts w:hint="eastAsia" w:ascii="Times New Roman" w:hAnsi="Times New Roman"/>
          <w:sz w:val="24"/>
          <w:szCs w:val="24"/>
        </w:rPr>
        <w:t>加</w:t>
      </w:r>
      <w:r>
        <w:rPr>
          <w:rFonts w:ascii="Times New Roman" w:hAnsi="Times New Roman"/>
          <w:sz w:val="24"/>
          <w:szCs w:val="24"/>
        </w:rPr>
        <w:t>钙镁复合膨胀剂</w:t>
      </w:r>
      <w:r>
        <w:rPr>
          <w:rFonts w:hint="eastAsia" w:ascii="Times New Roman" w:hAnsi="Times New Roman"/>
          <w:sz w:val="24"/>
          <w:szCs w:val="24"/>
        </w:rPr>
        <w:t>、温控型钙镁复合抗裂剂</w:t>
      </w:r>
      <w:r>
        <w:rPr>
          <w:rFonts w:ascii="Times New Roman" w:hAnsi="Times New Roman"/>
          <w:sz w:val="24"/>
          <w:szCs w:val="24"/>
        </w:rPr>
        <w:t>混凝土的限制膨胀率</w:t>
      </w:r>
      <w:r>
        <w:rPr>
          <w:rFonts w:hint="eastAsia" w:ascii="Times New Roman" w:hAnsi="Times New Roman"/>
          <w:sz w:val="24"/>
          <w:szCs w:val="24"/>
        </w:rPr>
        <w:t>以40℃水中养护14d龄期的限制膨胀率作为设计指标。同时考虑到混凝土安定性的问题，本规范还规定了28d与7d限制膨胀率差值的上下限。</w:t>
      </w:r>
    </w:p>
    <w:p w14:paraId="47C017B4">
      <w:pPr>
        <w:pStyle w:val="6"/>
        <w:spacing w:line="360" w:lineRule="auto"/>
        <w:ind w:firstLine="480" w:firstLineChars="200"/>
        <w:rPr>
          <w:rFonts w:ascii="Times New Roman" w:hAnsi="Times New Roman"/>
          <w:sz w:val="24"/>
          <w:szCs w:val="24"/>
        </w:rPr>
      </w:pPr>
      <w:r>
        <w:rPr>
          <w:rFonts w:ascii="Times New Roman" w:hAnsi="Times New Roman"/>
          <w:sz w:val="24"/>
          <w:szCs w:val="24"/>
        </w:rPr>
        <w:t>3.0.6</w:t>
      </w:r>
      <w:r>
        <w:rPr>
          <w:rFonts w:hint="eastAsia" w:ascii="Times New Roman" w:hAnsi="Times New Roman"/>
          <w:sz w:val="24"/>
          <w:szCs w:val="24"/>
        </w:rPr>
        <w:t xml:space="preserve"> </w:t>
      </w:r>
      <w:r>
        <w:rPr>
          <w:rFonts w:ascii="Times New Roman" w:hAnsi="Times New Roman"/>
          <w:sz w:val="24"/>
          <w:szCs w:val="24"/>
        </w:rPr>
        <w:t>掺</w:t>
      </w:r>
      <w:r>
        <w:rPr>
          <w:rFonts w:hint="eastAsia" w:ascii="Times New Roman" w:hAnsi="Times New Roman"/>
          <w:sz w:val="24"/>
          <w:szCs w:val="24"/>
        </w:rPr>
        <w:t>加</w:t>
      </w:r>
      <w:r>
        <w:rPr>
          <w:rFonts w:ascii="Times New Roman" w:hAnsi="Times New Roman"/>
          <w:sz w:val="24"/>
          <w:szCs w:val="24"/>
        </w:rPr>
        <w:t>膨胀剂混凝土</w:t>
      </w:r>
      <w:r>
        <w:rPr>
          <w:rFonts w:hint="eastAsia" w:ascii="Times New Roman" w:hAnsi="Times New Roman"/>
          <w:sz w:val="24"/>
          <w:szCs w:val="24"/>
        </w:rPr>
        <w:t>依然执行</w:t>
      </w:r>
      <w:r>
        <w:rPr>
          <w:rFonts w:ascii="Times New Roman" w:hAnsi="Times New Roman"/>
          <w:sz w:val="24"/>
          <w:szCs w:val="24"/>
        </w:rPr>
        <w:t>《混凝土质量控制标准》GB 50164的规定</w:t>
      </w:r>
      <w:r>
        <w:rPr>
          <w:rFonts w:hint="eastAsia" w:ascii="Times New Roman" w:hAnsi="Times New Roman"/>
          <w:sz w:val="24"/>
          <w:szCs w:val="24"/>
        </w:rPr>
        <w:t>。掺加膨胀剂后，混凝土拌合物的凝结时间缩短、坍落度偏低、坍落度损失略大，因此在确定其工作性指标时，应予以注意。</w:t>
      </w:r>
    </w:p>
    <w:p w14:paraId="76B50599">
      <w:pPr>
        <w:widowControl/>
        <w:spacing w:line="360" w:lineRule="auto"/>
        <w:ind w:firstLine="480" w:firstLineChars="200"/>
        <w:rPr>
          <w:rFonts w:hint="eastAsia"/>
        </w:rPr>
      </w:pPr>
      <w:r>
        <w:rPr>
          <w:sz w:val="24"/>
        </w:rPr>
        <w:t>3.0.7</w:t>
      </w:r>
      <w:r>
        <w:rPr>
          <w:rFonts w:hint="eastAsia"/>
          <w:sz w:val="24"/>
        </w:rPr>
        <w:t xml:space="preserve">  本条规定了掺加硫铝酸钙类膨胀剂、氧化钙类膨胀剂、温控型钙质抗裂剂和硫铝酸钙-氧化钙类膨胀剂混凝土限制膨胀率和限制收缩率的试验方法。规定了掺加氧化镁膨胀剂、钙镁复合膨胀剂、</w:t>
      </w:r>
      <w:r>
        <w:rPr>
          <w:rFonts w:hint="eastAsia"/>
          <w:bCs/>
          <w:sz w:val="24"/>
        </w:rPr>
        <w:t>温控型镁质抗裂剂和温控型钙镁复合抗裂剂</w:t>
      </w:r>
      <w:r>
        <w:rPr>
          <w:rFonts w:hint="eastAsia"/>
          <w:sz w:val="24"/>
        </w:rPr>
        <w:t>混凝土限制膨胀率试验方法。</w:t>
      </w:r>
    </w:p>
    <w:p w14:paraId="2F0BBD5E">
      <w:pPr>
        <w:widowControl/>
        <w:spacing w:line="360" w:lineRule="auto"/>
        <w:ind w:firstLine="480" w:firstLineChars="200"/>
        <w:rPr>
          <w:sz w:val="24"/>
        </w:rPr>
      </w:pPr>
      <w:r>
        <w:rPr>
          <w:sz w:val="24"/>
        </w:rPr>
        <w:t>3.0.8</w:t>
      </w:r>
      <w:r>
        <w:rPr>
          <w:rFonts w:hint="eastAsia"/>
          <w:sz w:val="24"/>
        </w:rPr>
        <w:t xml:space="preserve">  本条规定了掺加氧化镁膨胀剂、温控型镁质抗裂剂混凝土安定性试验方法。</w:t>
      </w:r>
    </w:p>
    <w:p w14:paraId="706C9DC8">
      <w:pPr>
        <w:widowControl/>
        <w:spacing w:line="360" w:lineRule="auto"/>
        <w:ind w:firstLine="480" w:firstLineChars="200"/>
        <w:rPr>
          <w:sz w:val="24"/>
        </w:rPr>
      </w:pPr>
      <w:r>
        <w:rPr>
          <w:rFonts w:hint="eastAsia"/>
          <w:sz w:val="24"/>
        </w:rPr>
        <w:t>3.0.9  本条规定了掺加膨胀剂混凝土抗压强度的检验龄期、最低抗压强度设计等级与试验方法。</w:t>
      </w:r>
    </w:p>
    <w:p w14:paraId="11EDEB4F">
      <w:pPr>
        <w:pStyle w:val="6"/>
        <w:spacing w:line="360" w:lineRule="auto"/>
        <w:ind w:firstLine="480" w:firstLineChars="200"/>
        <w:rPr>
          <w:rFonts w:hint="eastAsia" w:ascii="仿宋" w:hAnsi="仿宋" w:eastAsia="仿宋"/>
          <w:sz w:val="24"/>
          <w:szCs w:val="24"/>
        </w:rPr>
      </w:pPr>
      <w:r>
        <w:rPr>
          <w:rFonts w:ascii="Times New Roman" w:hAnsi="Times New Roman"/>
          <w:sz w:val="24"/>
          <w:szCs w:val="24"/>
        </w:rPr>
        <w:t>3.0.</w:t>
      </w:r>
      <w:r>
        <w:rPr>
          <w:rFonts w:hint="eastAsia" w:ascii="Times New Roman" w:hAnsi="Times New Roman"/>
          <w:sz w:val="24"/>
          <w:szCs w:val="24"/>
        </w:rPr>
        <w:t>10</w:t>
      </w:r>
      <w:r>
        <w:rPr>
          <w:rFonts w:ascii="Times New Roman" w:hAnsi="Times New Roman"/>
          <w:sz w:val="24"/>
          <w:szCs w:val="24"/>
        </w:rPr>
        <w:t xml:space="preserve"> </w:t>
      </w:r>
      <w:r>
        <w:rPr>
          <w:rFonts w:hint="eastAsia" w:ascii="Times New Roman" w:hAnsi="Times New Roman"/>
          <w:sz w:val="24"/>
          <w:szCs w:val="24"/>
        </w:rPr>
        <w:t xml:space="preserve"> 现行国家标准《大体积混凝土施工标准》GB 50496指出，大体积混凝土施工时，除应满足普通混凝土施工所要求的混凝土力学性能及可施工性能外，还应控制有害裂缝的产生。为此，施工单位应预先制定好满足上述要求的施工组织设计和施工技术方案，并应进行技术交底，切实贯彻执行。因此，对于大体积混凝土工程，掺加膨胀剂混凝土同样需要制定专项技术方案。</w:t>
      </w:r>
    </w:p>
    <w:p w14:paraId="2772AD43">
      <w:pPr>
        <w:spacing w:line="360" w:lineRule="auto"/>
        <w:ind w:firstLine="482" w:firstLineChars="200"/>
        <w:rPr>
          <w:b/>
          <w:bCs/>
          <w:color w:val="auto"/>
          <w:sz w:val="24"/>
        </w:rPr>
      </w:pPr>
      <w:bookmarkStart w:id="22" w:name="_Toc217982940"/>
      <w:bookmarkStart w:id="23" w:name="_Toc216643263"/>
      <w:bookmarkStart w:id="24" w:name="_Toc217982712"/>
      <w:bookmarkStart w:id="25" w:name="_Toc217982175"/>
      <w:r>
        <w:rPr>
          <w:b/>
          <w:bCs/>
          <w:color w:val="auto"/>
          <w:sz w:val="24"/>
        </w:rPr>
        <w:t>4</w:t>
      </w:r>
      <w:r>
        <w:rPr>
          <w:rFonts w:hint="eastAsia"/>
          <w:b/>
          <w:bCs/>
          <w:color w:val="auto"/>
          <w:sz w:val="24"/>
        </w:rPr>
        <w:t xml:space="preserve">. </w:t>
      </w:r>
      <w:r>
        <w:rPr>
          <w:b/>
          <w:bCs/>
          <w:color w:val="auto"/>
          <w:sz w:val="24"/>
        </w:rPr>
        <w:t>设计</w:t>
      </w:r>
      <w:r>
        <w:rPr>
          <w:rFonts w:hint="eastAsia"/>
          <w:b/>
          <w:bCs/>
          <w:color w:val="auto"/>
          <w:sz w:val="24"/>
        </w:rPr>
        <w:t>原则</w:t>
      </w:r>
      <w:bookmarkEnd w:id="22"/>
      <w:bookmarkEnd w:id="23"/>
      <w:bookmarkEnd w:id="24"/>
      <w:bookmarkEnd w:id="25"/>
    </w:p>
    <w:p w14:paraId="756DABCB">
      <w:pPr>
        <w:spacing w:line="360" w:lineRule="auto"/>
        <w:ind w:firstLine="480" w:firstLineChars="200"/>
        <w:rPr>
          <w:bCs/>
          <w:sz w:val="24"/>
        </w:rPr>
      </w:pPr>
      <w:r>
        <w:rPr>
          <w:rFonts w:eastAsia="黑体"/>
          <w:bCs/>
          <w:sz w:val="24"/>
        </w:rPr>
        <w:t xml:space="preserve">4.0.1 </w:t>
      </w:r>
      <w:r>
        <w:rPr>
          <w:rFonts w:hint="eastAsia" w:eastAsia="黑体"/>
          <w:bCs/>
          <w:sz w:val="24"/>
        </w:rPr>
        <w:t xml:space="preserve"> </w:t>
      </w:r>
      <w:r>
        <w:rPr>
          <w:rFonts w:hint="eastAsia"/>
          <w:bCs/>
          <w:sz w:val="24"/>
        </w:rPr>
        <w:t>构筑物中不同结构部位受到的约束程度不同，补偿收缩时所需的膨胀能也不一样，因此需要明确不同部位的限制膨胀率最小取值。混凝土限制膨胀率与混凝土强度等级、强度增长速率、膨胀剂掺量均有相关性，因此单独规定膨胀剂掺量不能反映膨胀能大小。规定限制膨胀率后，可以经混凝土配合比验证确定膨胀剂掺量。</w:t>
      </w:r>
    </w:p>
    <w:p w14:paraId="0B647D64">
      <w:pPr>
        <w:spacing w:line="360" w:lineRule="auto"/>
        <w:ind w:firstLine="480" w:firstLineChars="200"/>
        <w:rPr>
          <w:bCs/>
          <w:sz w:val="24"/>
        </w:rPr>
      </w:pPr>
      <w:r>
        <w:rPr>
          <w:rFonts w:eastAsia="黑体"/>
          <w:bCs/>
          <w:sz w:val="24"/>
        </w:rPr>
        <w:t xml:space="preserve">4.0.2 </w:t>
      </w:r>
      <w:r>
        <w:rPr>
          <w:rFonts w:hint="eastAsia" w:eastAsia="黑体"/>
          <w:bCs/>
          <w:sz w:val="24"/>
        </w:rPr>
        <w:t xml:space="preserve"> </w:t>
      </w:r>
      <w:r>
        <w:rPr>
          <w:bCs/>
          <w:sz w:val="24"/>
        </w:rPr>
        <w:t>膨胀和强度是膨胀混凝土最重要的一对矛盾</w:t>
      </w:r>
      <w:r>
        <w:rPr>
          <w:rFonts w:hint="eastAsia"/>
          <w:bCs/>
          <w:sz w:val="24"/>
        </w:rPr>
        <w:t>，</w:t>
      </w:r>
      <w:r>
        <w:rPr>
          <w:bCs/>
          <w:sz w:val="24"/>
        </w:rPr>
        <w:t>强度的发展速率与限制膨胀率的增长成反比例，早期强度越高，限制膨胀率增长的越小</w:t>
      </w:r>
      <w:r>
        <w:rPr>
          <w:rFonts w:hint="eastAsia"/>
          <w:bCs/>
          <w:sz w:val="24"/>
        </w:rPr>
        <w:t>，故掺加膨胀剂混凝土的膨胀应与强度相匹配。由于</w:t>
      </w:r>
      <w:r>
        <w:rPr>
          <w:bCs/>
          <w:sz w:val="24"/>
        </w:rPr>
        <w:t>后浇带、膨胀加强带</w:t>
      </w:r>
      <w:r>
        <w:rPr>
          <w:rFonts w:hint="eastAsia"/>
          <w:bCs/>
          <w:sz w:val="24"/>
        </w:rPr>
        <w:t>等填充部位的限制膨胀率设计取值高于两侧混凝土，因此其抗压强度相应提高一个等级。</w:t>
      </w:r>
    </w:p>
    <w:p w14:paraId="292B1582">
      <w:pPr>
        <w:widowControl/>
        <w:spacing w:line="360" w:lineRule="auto"/>
        <w:ind w:firstLine="480" w:firstLineChars="200"/>
        <w:jc w:val="left"/>
        <w:rPr>
          <w:bCs/>
          <w:sz w:val="24"/>
        </w:rPr>
      </w:pPr>
      <w:r>
        <w:rPr>
          <w:rFonts w:eastAsia="黑体"/>
          <w:bCs/>
          <w:sz w:val="24"/>
        </w:rPr>
        <w:t>4.0.3</w:t>
      </w:r>
      <w:r>
        <w:rPr>
          <w:rFonts w:hint="eastAsia" w:eastAsia="黑体"/>
          <w:bCs/>
          <w:sz w:val="24"/>
        </w:rPr>
        <w:t xml:space="preserve">  </w:t>
      </w:r>
      <w:r>
        <w:rPr>
          <w:rFonts w:hint="eastAsia"/>
          <w:bCs/>
          <w:sz w:val="24"/>
        </w:rPr>
        <w:t>本条规定了掺加</w:t>
      </w:r>
      <w:r>
        <w:rPr>
          <w:bCs/>
          <w:sz w:val="24"/>
        </w:rPr>
        <w:t>膨胀</w:t>
      </w:r>
      <w:r>
        <w:rPr>
          <w:rFonts w:hint="eastAsia"/>
          <w:bCs/>
          <w:sz w:val="24"/>
        </w:rPr>
        <w:t>剂混凝土的限制膨胀率设计取值，该值是指3.0.5章节规定的水中14d或28d龄期限制膨胀率。</w:t>
      </w:r>
    </w:p>
    <w:p w14:paraId="74E4EE32">
      <w:pPr>
        <w:spacing w:line="360" w:lineRule="auto"/>
        <w:ind w:firstLine="480" w:firstLineChars="200"/>
        <w:rPr>
          <w:bCs/>
          <w:sz w:val="24"/>
        </w:rPr>
      </w:pPr>
      <w:r>
        <w:rPr>
          <w:rFonts w:hint="eastAsia"/>
          <w:bCs/>
          <w:sz w:val="24"/>
        </w:rPr>
        <w:t>基于限制膨胀率检测误差等考虑，限制膨胀率的取值一般以0.005%为级，例如0.015%、0.020%、0.025%……。</w:t>
      </w:r>
    </w:p>
    <w:p w14:paraId="0D92E96E">
      <w:pPr>
        <w:spacing w:line="360" w:lineRule="auto"/>
        <w:ind w:firstLine="480" w:firstLineChars="200"/>
        <w:rPr>
          <w:bCs/>
          <w:sz w:val="24"/>
        </w:rPr>
      </w:pPr>
      <w:r>
        <w:rPr>
          <w:rFonts w:hint="eastAsia"/>
          <w:bCs/>
          <w:sz w:val="24"/>
        </w:rPr>
        <w:t>限制膨胀率设计取值时，需要综合考虑混凝土强度等级、约束程度、使用环境、结构总长度等因素；同一结构不同部位的约束程度和收缩应力不同时，其限制膨胀率设计取值也不同，养护条件同样会影响膨胀剂的膨胀能的发挥。例如，墙体结构的限制膨胀率取值高于水平梁板结构。约束程度大的部位就应该用大的膨胀进行补偿，故后浇带、膨胀加强带的限制膨胀率取值要高一些。结构长度小、约束较弱、混凝土强度较低的情况时，梁板、墙体结构部位限制膨胀率取值可取低此，反之则取高些。结构总长度或厚度增大时，后浇带、膨胀加强带的限制膨胀率取值增大。</w:t>
      </w:r>
    </w:p>
    <w:p w14:paraId="5811DEC7">
      <w:pPr>
        <w:spacing w:line="360" w:lineRule="auto"/>
        <w:ind w:firstLine="480" w:firstLineChars="200"/>
        <w:rPr>
          <w:bCs/>
          <w:sz w:val="24"/>
        </w:rPr>
      </w:pPr>
      <w:r>
        <w:rPr>
          <w:bCs/>
          <w:sz w:val="24"/>
        </w:rPr>
        <w:t>4.0.</w:t>
      </w:r>
      <w:r>
        <w:rPr>
          <w:rFonts w:hint="eastAsia"/>
          <w:bCs/>
          <w:sz w:val="24"/>
        </w:rPr>
        <w:t>4</w:t>
      </w:r>
      <w:r>
        <w:rPr>
          <w:bCs/>
          <w:sz w:val="24"/>
        </w:rPr>
        <w:t xml:space="preserve">  </w:t>
      </w:r>
      <w:r>
        <w:rPr>
          <w:rFonts w:hint="eastAsia"/>
          <w:bCs/>
          <w:sz w:val="24"/>
        </w:rPr>
        <w:t>本条规定了</w:t>
      </w:r>
      <w:r>
        <w:rPr>
          <w:bCs/>
          <w:sz w:val="24"/>
        </w:rPr>
        <w:t>大体积、大面积及超长混凝土结构</w:t>
      </w:r>
      <w:r>
        <w:rPr>
          <w:rFonts w:hint="eastAsia"/>
          <w:bCs/>
          <w:sz w:val="24"/>
        </w:rPr>
        <w:t>的膨胀加强带构造形式、设置原则。膨胀加强带是一种旨在提高混凝土抗裂性能、取消后浇带减少施工缝的一种技术措施，一般设置在后浇带的位置。膨胀加强带是一种“抗”的措施，在连续施工的混凝土结构中，为提高其抵御收缩应力的能力，增设一些附加钢筋。膨胀加强带的构造与后浇带基本相同，带宽由800mm增至2000mm，并且在较厚的板中，一般不用设止水带。图4.0.4-1</w:t>
      </w:r>
      <w:r>
        <w:rPr>
          <w:bCs/>
          <w:sz w:val="24"/>
        </w:rPr>
        <w:t>~</w:t>
      </w:r>
      <w:r>
        <w:rPr>
          <w:rFonts w:hint="eastAsia"/>
          <w:bCs/>
          <w:sz w:val="24"/>
        </w:rPr>
        <w:t>图4.0.4-3是工程中常见的部分节点构造示例，工程技术人员可以根据工程特点选择更合理的构造形式。其中，图4.0.4-1~图4.0.4-3是板式结构中三种膨胀加强带构造示意图。图4.0.4-1是连续式浇筑混凝土时的膨胀加强带构造示意图，图4.0.4-2是与先浇筑混凝相接时采用的膨胀加强带构造示意图，图4.0.4-3是一种类似于后浇带的后浇方式，大体积混凝土地考虑温度收缩应力外，一般可在浇筑完两侧膨胀混凝土的任何时候回填浇筑。后浇式膨胀加强带，在两侧混凝土浇筑完7d~14d后回填浇筑。</w:t>
      </w:r>
    </w:p>
    <w:p w14:paraId="409C4C83">
      <w:pPr>
        <w:spacing w:line="360" w:lineRule="auto"/>
        <w:ind w:firstLine="480" w:firstLineChars="200"/>
        <w:rPr>
          <w:bCs/>
          <w:sz w:val="24"/>
        </w:rPr>
      </w:pPr>
      <w:r>
        <w:rPr>
          <w:rFonts w:hint="eastAsia"/>
          <w:bCs/>
          <w:sz w:val="24"/>
        </w:rPr>
        <w:t>膨胀加强带条数及形式依工程构造、尺寸和施工组织安排，由设计和施工技术人员视工程具体情况确定。</w:t>
      </w:r>
    </w:p>
    <w:p w14:paraId="47301DB9">
      <w:pPr>
        <w:spacing w:line="360" w:lineRule="auto"/>
        <w:ind w:firstLine="480" w:firstLineChars="200"/>
        <w:rPr>
          <w:bCs/>
          <w:sz w:val="24"/>
        </w:rPr>
      </w:pPr>
      <w:r>
        <w:rPr>
          <w:bCs/>
          <w:sz w:val="24"/>
        </w:rPr>
        <w:t>4.0.5</w:t>
      </w:r>
      <w:r>
        <w:rPr>
          <w:rFonts w:hint="eastAsia"/>
          <w:bCs/>
          <w:sz w:val="24"/>
        </w:rPr>
        <w:t xml:space="preserve">  温度、水养护直接影响着膨胀剂的膨胀性能发挥，不同膨胀源膨胀剂对水养护依赖程度也存在较大差异。随着结构最小截面尺寸、强度等级提高，胶凝材料水化温升导致的混凝土结构内部温度增大，外界水进入混凝土内部参与膨胀剂水化难度提升。因此，应根据不同结构尺寸、强度等级和施工条件，选择适宜的膨胀材料。</w:t>
      </w:r>
    </w:p>
    <w:p w14:paraId="68A0266E">
      <w:pPr>
        <w:spacing w:line="360" w:lineRule="auto"/>
        <w:ind w:firstLine="480" w:firstLineChars="200"/>
        <w:rPr>
          <w:rFonts w:hint="eastAsia"/>
          <w:bCs/>
          <w:sz w:val="24"/>
        </w:rPr>
      </w:pPr>
      <w:r>
        <w:rPr>
          <w:bCs/>
          <w:sz w:val="24"/>
        </w:rPr>
        <w:t>4.0.</w:t>
      </w:r>
      <w:r>
        <w:rPr>
          <w:rFonts w:hint="eastAsia"/>
          <w:bCs/>
          <w:sz w:val="24"/>
        </w:rPr>
        <w:t>6</w:t>
      </w:r>
      <w:r>
        <w:rPr>
          <w:rFonts w:hint="eastAsia"/>
          <w:b/>
          <w:sz w:val="24"/>
        </w:rPr>
        <w:t xml:space="preserve">  </w:t>
      </w:r>
      <w:r>
        <w:rPr>
          <w:rFonts w:hint="eastAsia"/>
          <w:bCs/>
          <w:sz w:val="24"/>
        </w:rPr>
        <w:t>本条规定了</w:t>
      </w:r>
      <w:r>
        <w:rPr>
          <w:bCs/>
          <w:sz w:val="24"/>
        </w:rPr>
        <w:t>大体积混凝土或预计因水化温升导致容易开裂的混凝土结构中，</w:t>
      </w:r>
      <w:r>
        <w:rPr>
          <w:rFonts w:hint="eastAsia"/>
          <w:bCs/>
          <w:sz w:val="24"/>
        </w:rPr>
        <w:t>温控型抗裂剂的选用原则。</w:t>
      </w:r>
    </w:p>
    <w:p w14:paraId="1BF11DC6">
      <w:pPr>
        <w:spacing w:line="360" w:lineRule="auto"/>
        <w:ind w:firstLine="480" w:firstLineChars="200"/>
        <w:rPr>
          <w:bCs/>
          <w:sz w:val="24"/>
        </w:rPr>
      </w:pPr>
      <w:r>
        <w:rPr>
          <w:bCs/>
          <w:sz w:val="24"/>
        </w:rPr>
        <w:t>4.0.</w:t>
      </w:r>
      <w:r>
        <w:rPr>
          <w:rFonts w:hint="eastAsia"/>
          <w:bCs/>
          <w:sz w:val="24"/>
        </w:rPr>
        <w:t>7  本条规定了</w:t>
      </w:r>
      <w:r>
        <w:rPr>
          <w:bCs/>
          <w:sz w:val="24"/>
        </w:rPr>
        <w:t>超长</w:t>
      </w:r>
      <w:r>
        <w:rPr>
          <w:rFonts w:hint="eastAsia"/>
          <w:bCs/>
          <w:sz w:val="24"/>
        </w:rPr>
        <w:t>结构采取的浇筑方式和结构形式。本条规定与现行国家标准《混凝土结构设计规范》GB 50010-2010（2015版）的第8章规定是统一的。</w:t>
      </w:r>
    </w:p>
    <w:p w14:paraId="0C0FE70F">
      <w:pPr>
        <w:spacing w:line="360" w:lineRule="auto"/>
        <w:ind w:firstLine="480" w:firstLineChars="200"/>
        <w:rPr>
          <w:bCs/>
          <w:sz w:val="24"/>
        </w:rPr>
      </w:pPr>
      <w:r>
        <w:rPr>
          <w:rFonts w:hint="eastAsia"/>
          <w:bCs/>
          <w:sz w:val="24"/>
        </w:rPr>
        <w:t>约束弱、结构总长度小、结构厚度小的构件，连续浇筑的区段长，反之则短。超长、大面积混凝土结构施工时，一般采用分段浇筑，在相邻区段之间设后浇式膨胀加强带比单设后浇带有利于缩短工期。后浇式膨胀加强带本质上是一种加宽、加强的后浇带。跳仓施工也是超长、大面积分段浇筑中常用的施工方式，与后浇带、后浇式膨胀加强带相比，减少了一条施工缝。</w:t>
      </w:r>
    </w:p>
    <w:p w14:paraId="5C12BC43">
      <w:pPr>
        <w:spacing w:line="360" w:lineRule="auto"/>
        <w:ind w:firstLine="480" w:firstLineChars="200"/>
        <w:rPr>
          <w:bCs/>
          <w:sz w:val="24"/>
        </w:rPr>
      </w:pPr>
      <w:r>
        <w:rPr>
          <w:bCs/>
          <w:sz w:val="24"/>
        </w:rPr>
        <w:t>4.0.</w:t>
      </w:r>
      <w:r>
        <w:rPr>
          <w:rFonts w:hint="eastAsia"/>
          <w:bCs/>
          <w:sz w:val="24"/>
        </w:rPr>
        <w:t>8本条规定了</w:t>
      </w:r>
      <w:r>
        <w:rPr>
          <w:bCs/>
          <w:sz w:val="24"/>
        </w:rPr>
        <w:t>掺</w:t>
      </w:r>
      <w:r>
        <w:rPr>
          <w:rFonts w:hint="eastAsia"/>
          <w:bCs/>
          <w:sz w:val="24"/>
        </w:rPr>
        <w:t>加</w:t>
      </w:r>
      <w:r>
        <w:rPr>
          <w:bCs/>
          <w:sz w:val="24"/>
        </w:rPr>
        <w:t>膨胀剂混凝土</w:t>
      </w:r>
      <w:r>
        <w:rPr>
          <w:rFonts w:hint="eastAsia"/>
          <w:bCs/>
          <w:sz w:val="24"/>
        </w:rPr>
        <w:t>的</w:t>
      </w:r>
      <w:r>
        <w:rPr>
          <w:bCs/>
          <w:sz w:val="24"/>
        </w:rPr>
        <w:t>配筋</w:t>
      </w:r>
      <w:r>
        <w:rPr>
          <w:rFonts w:hint="eastAsia"/>
          <w:bCs/>
          <w:sz w:val="24"/>
        </w:rPr>
        <w:t>要求。膨胀剂在混凝土内部所建立的预压应力可以减免干燥收缩裂缝和温度收缩裂缝，并不提高承载能力，所以配筋率依然按现行设计规范取值。优化配筋方式、分散配筋可以提高混凝土的抗裂能力，在一些薄弱部位增设附加钢筋，可以发挥膨胀剂的补偿收缩效果，抵御有害裂缝的出现。均衡配筋可以保证在需要补偿收缩的部位产生均匀有效的膨胀，故强调在全截面双层配筋。</w:t>
      </w:r>
      <w:bookmarkStart w:id="26" w:name="_Toc217982176"/>
      <w:bookmarkStart w:id="27" w:name="_Toc216643264"/>
      <w:bookmarkStart w:id="28" w:name="_Toc217982713"/>
      <w:bookmarkStart w:id="29" w:name="_Toc217982941"/>
    </w:p>
    <w:p w14:paraId="398B5C80">
      <w:pPr>
        <w:spacing w:line="360" w:lineRule="auto"/>
        <w:ind w:firstLine="482" w:firstLineChars="200"/>
        <w:rPr>
          <w:sz w:val="24"/>
        </w:rPr>
      </w:pPr>
      <w:r>
        <w:rPr>
          <w:b/>
          <w:bCs/>
          <w:color w:val="auto"/>
          <w:sz w:val="24"/>
        </w:rPr>
        <w:t>5</w:t>
      </w:r>
      <w:r>
        <w:rPr>
          <w:rFonts w:hint="eastAsia"/>
          <w:b/>
          <w:bCs/>
          <w:color w:val="auto"/>
          <w:sz w:val="24"/>
        </w:rPr>
        <w:t xml:space="preserve">. </w:t>
      </w:r>
      <w:r>
        <w:rPr>
          <w:b/>
          <w:bCs/>
          <w:color w:val="auto"/>
          <w:sz w:val="24"/>
        </w:rPr>
        <w:t>原材料</w:t>
      </w:r>
      <w:bookmarkEnd w:id="26"/>
      <w:bookmarkEnd w:id="27"/>
      <w:bookmarkEnd w:id="28"/>
      <w:bookmarkEnd w:id="29"/>
    </w:p>
    <w:p w14:paraId="326861FC">
      <w:pPr>
        <w:spacing w:line="360" w:lineRule="auto"/>
        <w:ind w:firstLine="480" w:firstLineChars="200"/>
        <w:rPr>
          <w:bCs/>
          <w:sz w:val="24"/>
        </w:rPr>
      </w:pPr>
      <w:bookmarkStart w:id="30" w:name="_Toc216643265"/>
      <w:bookmarkStart w:id="31" w:name="_Toc217982177"/>
      <w:bookmarkStart w:id="32" w:name="_Toc217982714"/>
      <w:bookmarkStart w:id="33" w:name="_Toc217982942"/>
      <w:r>
        <w:rPr>
          <w:bCs/>
          <w:sz w:val="24"/>
        </w:rPr>
        <w:t>5.1 水泥</w:t>
      </w:r>
      <w:bookmarkEnd w:id="30"/>
      <w:bookmarkEnd w:id="31"/>
      <w:bookmarkEnd w:id="32"/>
      <w:bookmarkEnd w:id="33"/>
    </w:p>
    <w:p w14:paraId="6983BEF6">
      <w:pPr>
        <w:spacing w:line="360" w:lineRule="auto"/>
        <w:ind w:firstLine="480" w:firstLineChars="200"/>
        <w:rPr>
          <w:sz w:val="24"/>
        </w:rPr>
      </w:pPr>
      <w:r>
        <w:rPr>
          <w:sz w:val="24"/>
        </w:rPr>
        <w:t xml:space="preserve">5.1.1 </w:t>
      </w:r>
      <w:r>
        <w:rPr>
          <w:rFonts w:hint="eastAsia"/>
          <w:sz w:val="24"/>
        </w:rPr>
        <w:t xml:space="preserve"> 目前工程中使用最广泛的水泥以通用硅酸盐水泥为主，推荐采用</w:t>
      </w:r>
      <w:r>
        <w:rPr>
          <w:sz w:val="24"/>
        </w:rPr>
        <w:t>硅酸盐水泥、普通硅酸盐水泥</w:t>
      </w:r>
      <w:r>
        <w:rPr>
          <w:rFonts w:hint="eastAsia"/>
          <w:sz w:val="24"/>
        </w:rPr>
        <w:t>，主要是考虑水泥中的混合材，现行国家标准</w:t>
      </w:r>
      <w:r>
        <w:rPr>
          <w:sz w:val="24"/>
        </w:rPr>
        <w:t>《通用硅酸盐水泥》GB</w:t>
      </w:r>
      <w:r>
        <w:rPr>
          <w:rFonts w:hint="eastAsia"/>
          <w:sz w:val="24"/>
        </w:rPr>
        <w:t xml:space="preserve"> </w:t>
      </w:r>
      <w:r>
        <w:rPr>
          <w:sz w:val="24"/>
        </w:rPr>
        <w:t>175</w:t>
      </w:r>
      <w:r>
        <w:rPr>
          <w:rFonts w:hint="eastAsia"/>
          <w:sz w:val="24"/>
        </w:rPr>
        <w:t>规定</w:t>
      </w:r>
      <w:r>
        <w:rPr>
          <w:sz w:val="24"/>
        </w:rPr>
        <w:t>硅酸盐水泥</w:t>
      </w:r>
      <w:r>
        <w:rPr>
          <w:rFonts w:hint="eastAsia"/>
          <w:sz w:val="24"/>
        </w:rPr>
        <w:t>混合材掺量0%～5%，普通硅酸盐水泥混合材掺量为5%～20%，混凝土搅拌站制备掺加膨胀剂混凝土时可以另外掺加粒化高炉矿渣粉、粉煤灰等矿物掺合料。</w:t>
      </w:r>
    </w:p>
    <w:p w14:paraId="7E41C8F7">
      <w:pPr>
        <w:spacing w:line="360" w:lineRule="auto"/>
        <w:ind w:firstLine="480" w:firstLineChars="200"/>
        <w:rPr>
          <w:sz w:val="24"/>
        </w:rPr>
      </w:pPr>
      <w:r>
        <w:rPr>
          <w:sz w:val="24"/>
        </w:rPr>
        <w:t xml:space="preserve">5.1.2 </w:t>
      </w:r>
      <w:r>
        <w:rPr>
          <w:rFonts w:hint="eastAsia"/>
          <w:sz w:val="24"/>
        </w:rPr>
        <w:t xml:space="preserve"> 大体积混凝土采用</w:t>
      </w:r>
      <w:r>
        <w:rPr>
          <w:sz w:val="24"/>
        </w:rPr>
        <w:t>中、低热硅酸盐水泥</w:t>
      </w:r>
      <w:r>
        <w:rPr>
          <w:rFonts w:hint="eastAsia"/>
          <w:sz w:val="24"/>
        </w:rPr>
        <w:t>可以更好的控制温度裂缝，此外，膨胀剂的限制膨胀率增长与</w:t>
      </w:r>
      <w:r>
        <w:rPr>
          <w:sz w:val="24"/>
        </w:rPr>
        <w:t>中、低热硅酸盐水泥</w:t>
      </w:r>
      <w:r>
        <w:rPr>
          <w:rFonts w:hint="eastAsia"/>
          <w:sz w:val="24"/>
        </w:rPr>
        <w:t>的强度增长匹配性更好，可以更高效的发挥膨胀剂有效膨胀功能。</w:t>
      </w:r>
    </w:p>
    <w:p w14:paraId="3CC7B79F">
      <w:pPr>
        <w:spacing w:line="360" w:lineRule="auto"/>
        <w:ind w:firstLine="480" w:firstLineChars="200"/>
        <w:rPr>
          <w:sz w:val="24"/>
        </w:rPr>
      </w:pPr>
      <w:r>
        <w:rPr>
          <w:sz w:val="24"/>
        </w:rPr>
        <w:t xml:space="preserve">5.1.3 </w:t>
      </w:r>
      <w:r>
        <w:rPr>
          <w:rFonts w:hint="eastAsia"/>
          <w:sz w:val="24"/>
        </w:rPr>
        <w:t xml:space="preserve"> 遭受外界侵蚀性介质作用时，为了提高混凝土构筑物耐久性，应按所处环境等级选用相应的水泥品种。</w:t>
      </w:r>
    </w:p>
    <w:p w14:paraId="54DC2D65">
      <w:pPr>
        <w:spacing w:line="360" w:lineRule="auto"/>
        <w:ind w:firstLine="480" w:firstLineChars="200"/>
        <w:rPr>
          <w:sz w:val="24"/>
        </w:rPr>
      </w:pPr>
      <w:r>
        <w:rPr>
          <w:sz w:val="24"/>
        </w:rPr>
        <w:t xml:space="preserve">5.1.4 </w:t>
      </w:r>
      <w:r>
        <w:rPr>
          <w:rFonts w:hint="eastAsia"/>
          <w:sz w:val="24"/>
        </w:rPr>
        <w:t xml:space="preserve"> 水泥的矿相组成和细度会影响膨胀剂的膨胀率和膨胀速率，一般来说，使用比表面积大、早期强度高的水泥，掺入膨胀剂后的膨胀相对较小。</w:t>
      </w:r>
    </w:p>
    <w:p w14:paraId="1DC66558">
      <w:pPr>
        <w:spacing w:line="360" w:lineRule="auto"/>
        <w:ind w:firstLine="480" w:firstLineChars="200"/>
        <w:rPr>
          <w:bCs/>
          <w:sz w:val="24"/>
        </w:rPr>
      </w:pPr>
      <w:bookmarkStart w:id="34" w:name="_Toc217982178"/>
      <w:bookmarkStart w:id="35" w:name="_Toc216643266"/>
      <w:bookmarkStart w:id="36" w:name="_Toc217982715"/>
      <w:bookmarkStart w:id="37" w:name="_Toc217982943"/>
      <w:r>
        <w:rPr>
          <w:bCs/>
          <w:sz w:val="24"/>
        </w:rPr>
        <w:t>5.2</w:t>
      </w:r>
      <w:r>
        <w:rPr>
          <w:rFonts w:hint="eastAsia"/>
          <w:bCs/>
          <w:sz w:val="24"/>
        </w:rPr>
        <w:t xml:space="preserve"> </w:t>
      </w:r>
      <w:r>
        <w:rPr>
          <w:bCs/>
          <w:sz w:val="24"/>
        </w:rPr>
        <w:t>混凝土膨胀剂</w:t>
      </w:r>
      <w:bookmarkEnd w:id="34"/>
      <w:bookmarkEnd w:id="35"/>
      <w:bookmarkEnd w:id="36"/>
      <w:bookmarkEnd w:id="37"/>
    </w:p>
    <w:p w14:paraId="5F2A98CA">
      <w:pPr>
        <w:spacing w:line="360" w:lineRule="auto"/>
        <w:ind w:firstLine="480" w:firstLineChars="200"/>
        <w:rPr>
          <w:rFonts w:hint="eastAsia" w:ascii="仿宋" w:hAnsi="仿宋" w:eastAsia="仿宋"/>
          <w:sz w:val="24"/>
        </w:rPr>
      </w:pPr>
      <w:r>
        <w:rPr>
          <w:rFonts w:hint="eastAsia"/>
          <w:sz w:val="24"/>
        </w:rPr>
        <w:t>5</w:t>
      </w:r>
      <w:r>
        <w:rPr>
          <w:sz w:val="24"/>
        </w:rPr>
        <w:t>.2.1</w:t>
      </w:r>
      <w:r>
        <w:rPr>
          <w:rFonts w:hint="eastAsia"/>
          <w:sz w:val="24"/>
        </w:rPr>
        <w:t xml:space="preserve">  现行国家标准《混凝土膨胀剂》GB</w:t>
      </w:r>
      <w:r>
        <w:rPr>
          <w:sz w:val="24"/>
        </w:rPr>
        <w:t>/T</w:t>
      </w:r>
      <w:r>
        <w:rPr>
          <w:rFonts w:hint="eastAsia"/>
          <w:sz w:val="24"/>
        </w:rPr>
        <w:t xml:space="preserve"> </w:t>
      </w:r>
      <w:r>
        <w:rPr>
          <w:sz w:val="24"/>
        </w:rPr>
        <w:t>23439</w:t>
      </w:r>
      <w:r>
        <w:rPr>
          <w:rFonts w:hint="eastAsia"/>
          <w:sz w:val="24"/>
        </w:rPr>
        <w:t>规定了硫铝酸钙类膨胀剂、氧化钙类膨胀剂和硫铝酸钙-氧化钙类膨胀剂三种膨胀剂的技术要求。</w:t>
      </w:r>
    </w:p>
    <w:p w14:paraId="00346397">
      <w:pPr>
        <w:spacing w:line="360" w:lineRule="auto"/>
        <w:ind w:firstLine="480" w:firstLineChars="200"/>
        <w:rPr>
          <w:rFonts w:hint="eastAsia" w:ascii="仿宋" w:hAnsi="仿宋" w:eastAsia="仿宋"/>
          <w:sz w:val="24"/>
        </w:rPr>
      </w:pPr>
      <w:r>
        <w:rPr>
          <w:rFonts w:hint="eastAsia"/>
          <w:sz w:val="24"/>
        </w:rPr>
        <w:t>5</w:t>
      </w:r>
      <w:r>
        <w:rPr>
          <w:sz w:val="24"/>
        </w:rPr>
        <w:t>.2.2</w:t>
      </w:r>
      <w:r>
        <w:rPr>
          <w:rFonts w:hint="eastAsia"/>
          <w:sz w:val="24"/>
        </w:rPr>
        <w:t xml:space="preserve">  本条规定了氧化镁膨胀剂的性能要求，现行国家标准《混凝土膨胀剂》GB</w:t>
      </w:r>
      <w:r>
        <w:rPr>
          <w:sz w:val="24"/>
        </w:rPr>
        <w:t>/T</w:t>
      </w:r>
      <w:r>
        <w:rPr>
          <w:rFonts w:hint="eastAsia"/>
          <w:sz w:val="24"/>
        </w:rPr>
        <w:t xml:space="preserve"> </w:t>
      </w:r>
      <w:r>
        <w:rPr>
          <w:sz w:val="24"/>
        </w:rPr>
        <w:t>23439</w:t>
      </w:r>
      <w:r>
        <w:rPr>
          <w:rFonts w:hint="eastAsia"/>
          <w:sz w:val="24"/>
        </w:rPr>
        <w:t>没有对氧化镁膨胀剂进行技术规定，目前也没有行业标准及相关国外标准，故本规范对其性能指标进行了技术规范。</w:t>
      </w:r>
    </w:p>
    <w:p w14:paraId="74DD420A">
      <w:pPr>
        <w:spacing w:line="360" w:lineRule="auto"/>
        <w:ind w:firstLine="480" w:firstLineChars="200"/>
        <w:rPr>
          <w:sz w:val="24"/>
        </w:rPr>
      </w:pPr>
      <w:r>
        <w:rPr>
          <w:rFonts w:hint="eastAsia"/>
          <w:sz w:val="24"/>
        </w:rPr>
        <w:t>5</w:t>
      </w:r>
      <w:r>
        <w:rPr>
          <w:sz w:val="24"/>
        </w:rPr>
        <w:t>.2.3</w:t>
      </w:r>
      <w:r>
        <w:rPr>
          <w:rFonts w:hint="eastAsia"/>
          <w:sz w:val="24"/>
        </w:rPr>
        <w:t xml:space="preserve">  本条规定了钙镁复合膨胀剂的性能要求，现行国家标准《混凝土膨胀剂》GB</w:t>
      </w:r>
      <w:r>
        <w:rPr>
          <w:sz w:val="24"/>
        </w:rPr>
        <w:t>/T</w:t>
      </w:r>
      <w:r>
        <w:rPr>
          <w:rFonts w:hint="eastAsia"/>
          <w:sz w:val="24"/>
        </w:rPr>
        <w:t xml:space="preserve"> </w:t>
      </w:r>
      <w:r>
        <w:rPr>
          <w:sz w:val="24"/>
        </w:rPr>
        <w:t>23439</w:t>
      </w:r>
      <w:r>
        <w:rPr>
          <w:rFonts w:hint="eastAsia"/>
          <w:sz w:val="24"/>
        </w:rPr>
        <w:t>没有对钙镁复合膨胀剂进行技术规定，目前也没有行业标准及相关国外标准，故本规范对其性能指标进行了技术规范。</w:t>
      </w:r>
    </w:p>
    <w:p w14:paraId="38C38529">
      <w:pPr>
        <w:spacing w:line="360" w:lineRule="auto"/>
        <w:ind w:firstLine="480" w:firstLineChars="200"/>
        <w:rPr>
          <w:sz w:val="24"/>
        </w:rPr>
      </w:pPr>
      <w:r>
        <w:rPr>
          <w:rFonts w:hint="eastAsia"/>
          <w:sz w:val="24"/>
        </w:rPr>
        <w:t>5.2.4～5.2.6  本条规定了温控型镁质抗裂剂、温控型钙质抗裂剂和温控型钙镁复合抗裂剂的性能要求，现行国家标准《混凝土膨胀剂》GB</w:t>
      </w:r>
      <w:r>
        <w:rPr>
          <w:sz w:val="24"/>
        </w:rPr>
        <w:t>/T</w:t>
      </w:r>
      <w:r>
        <w:rPr>
          <w:rFonts w:hint="eastAsia"/>
          <w:sz w:val="24"/>
        </w:rPr>
        <w:t xml:space="preserve"> </w:t>
      </w:r>
      <w:r>
        <w:rPr>
          <w:sz w:val="24"/>
        </w:rPr>
        <w:t>23439</w:t>
      </w:r>
      <w:r>
        <w:rPr>
          <w:rFonts w:hint="eastAsia"/>
          <w:sz w:val="24"/>
        </w:rPr>
        <w:t>没有对温控型抗裂剂进行技术规定，目前也没有行业标准及相关国外标准，故本规范对其性能指标进行了技术规范。</w:t>
      </w:r>
    </w:p>
    <w:p w14:paraId="7D9A2A49">
      <w:pPr>
        <w:spacing w:line="360" w:lineRule="auto"/>
        <w:ind w:firstLine="480" w:firstLineChars="200"/>
        <w:rPr>
          <w:sz w:val="24"/>
        </w:rPr>
      </w:pPr>
      <w:r>
        <w:rPr>
          <w:rFonts w:hint="eastAsia"/>
          <w:sz w:val="24"/>
        </w:rPr>
        <w:t>5</w:t>
      </w:r>
      <w:r>
        <w:rPr>
          <w:sz w:val="24"/>
        </w:rPr>
        <w:t>.2.</w:t>
      </w:r>
      <w:r>
        <w:rPr>
          <w:rFonts w:hint="eastAsia"/>
          <w:sz w:val="24"/>
        </w:rPr>
        <w:t>7</w:t>
      </w:r>
      <w:r>
        <w:rPr>
          <w:sz w:val="24"/>
        </w:rPr>
        <w:t xml:space="preserve"> </w:t>
      </w:r>
      <w:r>
        <w:rPr>
          <w:rFonts w:hint="eastAsia"/>
          <w:sz w:val="24"/>
        </w:rPr>
        <w:t xml:space="preserve"> 本条规定了膨胀剂的贮存要求。膨胀剂不得与其他材料混放，否则存在膨胀剂与其他材料误用风险，容易造成膨胀过低或过大，影响工程质量。</w:t>
      </w:r>
    </w:p>
    <w:p w14:paraId="1E551B59">
      <w:pPr>
        <w:spacing w:line="360" w:lineRule="auto"/>
        <w:ind w:firstLine="480" w:firstLineChars="200"/>
        <w:rPr>
          <w:bCs/>
          <w:sz w:val="24"/>
        </w:rPr>
      </w:pPr>
      <w:bookmarkStart w:id="38" w:name="_Toc216643267"/>
      <w:bookmarkStart w:id="39" w:name="_Toc217982179"/>
      <w:bookmarkStart w:id="40" w:name="_Toc217982944"/>
      <w:bookmarkStart w:id="41" w:name="_Toc217982716"/>
      <w:r>
        <w:rPr>
          <w:bCs/>
          <w:sz w:val="24"/>
        </w:rPr>
        <w:t>5.3 矿物掺合料</w:t>
      </w:r>
      <w:bookmarkEnd w:id="38"/>
      <w:bookmarkEnd w:id="39"/>
      <w:bookmarkEnd w:id="40"/>
      <w:bookmarkEnd w:id="41"/>
    </w:p>
    <w:p w14:paraId="4206DD4E">
      <w:pPr>
        <w:spacing w:line="360" w:lineRule="auto"/>
        <w:ind w:firstLine="480" w:firstLineChars="200"/>
        <w:rPr>
          <w:sz w:val="24"/>
        </w:rPr>
      </w:pPr>
      <w:r>
        <w:rPr>
          <w:sz w:val="24"/>
        </w:rPr>
        <w:t>5.3.1</w:t>
      </w:r>
      <w:r>
        <w:rPr>
          <w:rFonts w:hint="eastAsia"/>
          <w:sz w:val="24"/>
        </w:rPr>
        <w:t>～5.3.5矿物掺合料是现代混凝土的重要组分之一，等量取代水泥后，不但可以降低成本，减少水化热，改善混凝土工作性，同时优化微观结构，提高混凝土力学性能与耐久性能。矿物掺合料品种众多，常用的主要包括粉煤灰、粒化高炉矿渣粉、硅灰、石灰石粉及复合掺合料等。由于掺合料品质直接影响混凝土性能，为保证工程质量，本规范故规定不同品种矿物掺合物应符合相应国家、行业标准要求。</w:t>
      </w:r>
    </w:p>
    <w:p w14:paraId="1C64C71D">
      <w:pPr>
        <w:spacing w:line="360" w:lineRule="auto"/>
        <w:ind w:firstLine="480" w:firstLineChars="200"/>
        <w:rPr>
          <w:sz w:val="24"/>
        </w:rPr>
      </w:pPr>
      <w:r>
        <w:rPr>
          <w:sz w:val="24"/>
        </w:rPr>
        <w:t xml:space="preserve">5.3.6 </w:t>
      </w:r>
      <w:r>
        <w:rPr>
          <w:rFonts w:hint="eastAsia"/>
          <w:sz w:val="24"/>
        </w:rPr>
        <w:t xml:space="preserve"> 随着技术进步，更多种类的矿物掺合料得到使用，且执行相应的现行标准。然而，其他品种矿物掺合料与膨胀剂共同使用时，可能会影响膨胀剂的膨胀效能发挥，因此规定使用时应进行试验验证。</w:t>
      </w:r>
    </w:p>
    <w:p w14:paraId="61376BD7">
      <w:pPr>
        <w:spacing w:line="360" w:lineRule="auto"/>
        <w:ind w:firstLine="480" w:firstLineChars="200"/>
        <w:rPr>
          <w:bCs/>
          <w:sz w:val="24"/>
        </w:rPr>
      </w:pPr>
      <w:bookmarkStart w:id="42" w:name="_Toc217982180"/>
      <w:bookmarkStart w:id="43" w:name="_Toc216643268"/>
      <w:bookmarkStart w:id="44" w:name="_Toc217982717"/>
      <w:bookmarkStart w:id="45" w:name="_Toc217982945"/>
      <w:r>
        <w:rPr>
          <w:bCs/>
          <w:sz w:val="24"/>
        </w:rPr>
        <w:t>5.4 外加剂</w:t>
      </w:r>
      <w:bookmarkEnd w:id="42"/>
      <w:bookmarkEnd w:id="43"/>
      <w:bookmarkEnd w:id="44"/>
      <w:bookmarkEnd w:id="45"/>
    </w:p>
    <w:p w14:paraId="2630FBD0">
      <w:pPr>
        <w:spacing w:line="360" w:lineRule="auto"/>
        <w:ind w:firstLine="480" w:firstLineChars="200"/>
        <w:rPr>
          <w:sz w:val="24"/>
        </w:rPr>
      </w:pPr>
      <w:r>
        <w:rPr>
          <w:sz w:val="24"/>
        </w:rPr>
        <w:t>5.</w:t>
      </w:r>
      <w:r>
        <w:rPr>
          <w:rFonts w:hint="eastAsia"/>
          <w:sz w:val="24"/>
        </w:rPr>
        <w:t>4</w:t>
      </w:r>
      <w:r>
        <w:rPr>
          <w:sz w:val="24"/>
        </w:rPr>
        <w:t>.1</w:t>
      </w:r>
      <w:r>
        <w:rPr>
          <w:rFonts w:hint="eastAsia"/>
          <w:sz w:val="24"/>
        </w:rPr>
        <w:t>～5.4.3 化学外加剂是现代混凝土的关键组分之一，显著改善掺加膨胀剂混凝土的拌合物性能与硬化混凝土性能，不宜选用收缩率比偏大的化学外加剂。缓凝剂、防冻剂会影响水泥的水化进程，因此与膨胀剂共同使用时，将会影响膨胀剂的膨胀率与膨胀速率，使用时应予以注意。</w:t>
      </w:r>
    </w:p>
    <w:p w14:paraId="403912D5">
      <w:pPr>
        <w:spacing w:line="360" w:lineRule="auto"/>
        <w:ind w:firstLine="480" w:firstLineChars="200"/>
        <w:rPr>
          <w:bCs/>
          <w:sz w:val="24"/>
        </w:rPr>
      </w:pPr>
      <w:bookmarkStart w:id="46" w:name="_Toc217982718"/>
      <w:bookmarkStart w:id="47" w:name="_Toc217982181"/>
      <w:bookmarkStart w:id="48" w:name="_Toc217982946"/>
      <w:bookmarkStart w:id="49" w:name="_Toc216643269"/>
      <w:r>
        <w:rPr>
          <w:bCs/>
          <w:sz w:val="24"/>
        </w:rPr>
        <w:t>5.5 骨料</w:t>
      </w:r>
      <w:bookmarkEnd w:id="46"/>
      <w:bookmarkEnd w:id="47"/>
      <w:bookmarkEnd w:id="48"/>
      <w:bookmarkEnd w:id="49"/>
    </w:p>
    <w:p w14:paraId="68945F07">
      <w:pPr>
        <w:spacing w:line="360" w:lineRule="auto"/>
        <w:ind w:firstLine="480" w:firstLineChars="200"/>
        <w:rPr>
          <w:sz w:val="24"/>
        </w:rPr>
      </w:pPr>
      <w:r>
        <w:rPr>
          <w:sz w:val="24"/>
        </w:rPr>
        <w:t>5.</w:t>
      </w:r>
      <w:r>
        <w:rPr>
          <w:rFonts w:hint="eastAsia"/>
          <w:sz w:val="24"/>
        </w:rPr>
        <w:t>5</w:t>
      </w:r>
      <w:r>
        <w:rPr>
          <w:sz w:val="24"/>
        </w:rPr>
        <w:t>.1</w:t>
      </w:r>
      <w:r>
        <w:rPr>
          <w:rFonts w:hint="eastAsia"/>
          <w:sz w:val="24"/>
        </w:rPr>
        <w:t>～5.5.2 掺加膨胀剂混凝土使用的骨料与普通混凝土相同，对于要求使用非碱性骨料的工程，应在使用前检验、测定骨料的碱活性，或采取控制混凝土最大碱含量的措施。</w:t>
      </w:r>
    </w:p>
    <w:p w14:paraId="1F0E6DBB">
      <w:pPr>
        <w:spacing w:line="360" w:lineRule="auto"/>
        <w:ind w:firstLine="480" w:firstLineChars="200"/>
        <w:rPr>
          <w:bCs/>
          <w:sz w:val="24"/>
        </w:rPr>
      </w:pPr>
      <w:bookmarkStart w:id="50" w:name="_Toc217982182"/>
      <w:bookmarkStart w:id="51" w:name="_Toc217982719"/>
      <w:bookmarkStart w:id="52" w:name="_Toc217982947"/>
      <w:bookmarkStart w:id="53" w:name="_Toc216643270"/>
      <w:r>
        <w:rPr>
          <w:bCs/>
          <w:sz w:val="24"/>
        </w:rPr>
        <w:t>5.6水</w:t>
      </w:r>
      <w:bookmarkEnd w:id="50"/>
      <w:bookmarkEnd w:id="51"/>
      <w:bookmarkEnd w:id="52"/>
      <w:bookmarkEnd w:id="53"/>
    </w:p>
    <w:p w14:paraId="07945EC7">
      <w:pPr>
        <w:spacing w:line="360" w:lineRule="auto"/>
        <w:ind w:firstLine="480" w:firstLineChars="200"/>
        <w:rPr>
          <w:sz w:val="24"/>
        </w:rPr>
      </w:pPr>
      <w:r>
        <w:rPr>
          <w:rFonts w:hint="eastAsia"/>
          <w:sz w:val="24"/>
        </w:rPr>
        <w:t>5</w:t>
      </w:r>
      <w:r>
        <w:rPr>
          <w:sz w:val="24"/>
        </w:rPr>
        <w:t>.6.1</w:t>
      </w:r>
      <w:r>
        <w:rPr>
          <w:rFonts w:hint="eastAsia"/>
          <w:sz w:val="24"/>
        </w:rPr>
        <w:t xml:space="preserve">  掺加膨胀剂混凝土用水要求与普通混凝土相同。</w:t>
      </w:r>
    </w:p>
    <w:p w14:paraId="6204A27A">
      <w:pPr>
        <w:spacing w:line="360" w:lineRule="auto"/>
        <w:ind w:firstLine="480" w:firstLineChars="200"/>
        <w:rPr>
          <w:bCs/>
          <w:sz w:val="24"/>
        </w:rPr>
      </w:pPr>
      <w:bookmarkStart w:id="54" w:name="_Toc217982183"/>
      <w:bookmarkStart w:id="55" w:name="_Toc217982948"/>
      <w:bookmarkStart w:id="56" w:name="_Toc217982720"/>
      <w:bookmarkStart w:id="57" w:name="_Toc216643271"/>
      <w:r>
        <w:rPr>
          <w:bCs/>
          <w:sz w:val="24"/>
        </w:rPr>
        <w:t xml:space="preserve">5.7 </w:t>
      </w:r>
      <w:r>
        <w:rPr>
          <w:rFonts w:hint="eastAsia"/>
          <w:bCs/>
          <w:sz w:val="24"/>
        </w:rPr>
        <w:t>其他材料</w:t>
      </w:r>
      <w:bookmarkEnd w:id="54"/>
      <w:bookmarkEnd w:id="55"/>
      <w:bookmarkEnd w:id="56"/>
      <w:bookmarkEnd w:id="57"/>
    </w:p>
    <w:p w14:paraId="552F911B">
      <w:pPr>
        <w:spacing w:line="360" w:lineRule="auto"/>
        <w:ind w:firstLine="480" w:firstLineChars="200"/>
        <w:rPr>
          <w:sz w:val="24"/>
        </w:rPr>
      </w:pPr>
      <w:r>
        <w:rPr>
          <w:sz w:val="24"/>
        </w:rPr>
        <w:t>5.7.</w:t>
      </w:r>
      <w:r>
        <w:rPr>
          <w:rFonts w:hint="eastAsia"/>
          <w:sz w:val="24"/>
        </w:rPr>
        <w:t>1  合成纤维是以合成高分子化学物为原料制成的化学纤维，可以降低混凝土的早期收缩开裂，提高混凝土防裂抗裂性能。常用的合成纤维有</w:t>
      </w:r>
      <w:r>
        <w:rPr>
          <w:sz w:val="24"/>
        </w:rPr>
        <w:t>聚丙烯纤维、聚丙烯腈纤维、聚酰胺纤维</w:t>
      </w:r>
      <w:r>
        <w:rPr>
          <w:rFonts w:hint="eastAsia"/>
          <w:sz w:val="24"/>
        </w:rPr>
        <w:t>、</w:t>
      </w:r>
      <w:r>
        <w:rPr>
          <w:sz w:val="24"/>
        </w:rPr>
        <w:t>聚乙烯醇纤维</w:t>
      </w:r>
      <w:r>
        <w:rPr>
          <w:rFonts w:hint="eastAsia"/>
          <w:sz w:val="24"/>
        </w:rPr>
        <w:t>及聚甲醛纤维。合成纤维体积率应符合现行行业标准《纤维混凝土应用技术规程》JGJ/T 221的规定。</w:t>
      </w:r>
    </w:p>
    <w:p w14:paraId="1CDEA54F">
      <w:pPr>
        <w:spacing w:line="360" w:lineRule="auto"/>
        <w:ind w:firstLine="480" w:firstLineChars="200"/>
        <w:rPr>
          <w:sz w:val="24"/>
        </w:rPr>
      </w:pPr>
      <w:r>
        <w:rPr>
          <w:rFonts w:hint="eastAsia"/>
          <w:sz w:val="24"/>
        </w:rPr>
        <w:t xml:space="preserve">5.7.2 </w:t>
      </w:r>
      <w:r>
        <w:rPr>
          <w:sz w:val="24"/>
        </w:rPr>
        <w:t>玄武岩纤维</w:t>
      </w:r>
      <w:r>
        <w:rPr>
          <w:rFonts w:hint="eastAsia"/>
          <w:sz w:val="24"/>
        </w:rPr>
        <w:t>具有</w:t>
      </w:r>
      <w:r>
        <w:rPr>
          <w:sz w:val="24"/>
        </w:rPr>
        <w:t>高抗拉强度、良好耐碱性与界面相容性，在混凝土中形成三维乱向网络，通过桥接、应力分散与微裂缝抑制三重机制，显著提升</w:t>
      </w:r>
      <w:r>
        <w:rPr>
          <w:rFonts w:hint="eastAsia"/>
          <w:sz w:val="24"/>
        </w:rPr>
        <w:t>混凝土</w:t>
      </w:r>
      <w:r>
        <w:rPr>
          <w:sz w:val="24"/>
        </w:rPr>
        <w:t>抗裂性能</w:t>
      </w:r>
      <w:r>
        <w:rPr>
          <w:rFonts w:hint="eastAsia"/>
          <w:sz w:val="24"/>
        </w:rPr>
        <w:t>。</w:t>
      </w:r>
    </w:p>
    <w:p w14:paraId="24787BC7">
      <w:pPr>
        <w:spacing w:line="360" w:lineRule="auto"/>
        <w:ind w:firstLine="480" w:firstLineChars="200"/>
        <w:rPr>
          <w:sz w:val="24"/>
        </w:rPr>
      </w:pPr>
      <w:r>
        <w:rPr>
          <w:sz w:val="24"/>
        </w:rPr>
        <w:t>5.7.</w:t>
      </w:r>
      <w:r>
        <w:rPr>
          <w:rFonts w:hint="eastAsia"/>
          <w:sz w:val="24"/>
        </w:rPr>
        <w:t>3  钢纤维是防止或减少混凝土裂缝产生的一种技术措施，它可以显著提升混凝土的韧性与抗裂性。由于钢纤维种类很多，故纤维的</w:t>
      </w:r>
      <w:r>
        <w:rPr>
          <w:sz w:val="24"/>
        </w:rPr>
        <w:t>品种及掺量应通过试验确定</w:t>
      </w:r>
      <w:r>
        <w:rPr>
          <w:rFonts w:hint="eastAsia"/>
          <w:sz w:val="24"/>
        </w:rPr>
        <w:t>。由于考虑到钢纤维的锈蚀问题，故钢纤维严禁与海砂共同使用。</w:t>
      </w:r>
    </w:p>
    <w:p w14:paraId="2523CB55">
      <w:pPr>
        <w:spacing w:line="360" w:lineRule="auto"/>
        <w:ind w:firstLine="482" w:firstLineChars="200"/>
        <w:rPr>
          <w:b/>
          <w:bCs/>
          <w:color w:val="auto"/>
          <w:sz w:val="24"/>
        </w:rPr>
      </w:pPr>
      <w:bookmarkStart w:id="58" w:name="_Toc217982721"/>
      <w:bookmarkStart w:id="59" w:name="_Toc216643272"/>
      <w:bookmarkStart w:id="60" w:name="_Toc217982949"/>
      <w:bookmarkStart w:id="61" w:name="_Toc217982184"/>
      <w:r>
        <w:rPr>
          <w:b/>
          <w:bCs/>
          <w:color w:val="auto"/>
          <w:sz w:val="24"/>
        </w:rPr>
        <w:t>6</w:t>
      </w:r>
      <w:r>
        <w:rPr>
          <w:rFonts w:hint="eastAsia"/>
          <w:b/>
          <w:bCs/>
          <w:color w:val="auto"/>
          <w:sz w:val="24"/>
        </w:rPr>
        <w:t>.</w:t>
      </w:r>
      <w:r>
        <w:rPr>
          <w:b/>
          <w:bCs/>
          <w:color w:val="auto"/>
          <w:sz w:val="24"/>
        </w:rPr>
        <w:t xml:space="preserve">  配合比</w:t>
      </w:r>
      <w:bookmarkEnd w:id="58"/>
      <w:bookmarkEnd w:id="59"/>
      <w:bookmarkEnd w:id="60"/>
      <w:bookmarkEnd w:id="61"/>
    </w:p>
    <w:p w14:paraId="693C4D19">
      <w:pPr>
        <w:spacing w:line="360" w:lineRule="auto"/>
        <w:ind w:firstLine="480" w:firstLineChars="200"/>
        <w:rPr>
          <w:bCs/>
          <w:sz w:val="24"/>
        </w:rPr>
      </w:pPr>
      <w:r>
        <w:rPr>
          <w:rFonts w:eastAsia="黑体"/>
          <w:bCs/>
          <w:sz w:val="24"/>
        </w:rPr>
        <w:t xml:space="preserve">6.0.1 </w:t>
      </w:r>
      <w:r>
        <w:rPr>
          <w:rFonts w:hint="eastAsia" w:eastAsia="黑体"/>
          <w:bCs/>
          <w:sz w:val="24"/>
        </w:rPr>
        <w:t xml:space="preserve"> </w:t>
      </w:r>
      <w:r>
        <w:rPr>
          <w:rFonts w:hint="eastAsia"/>
          <w:bCs/>
          <w:sz w:val="24"/>
        </w:rPr>
        <w:t>掺加膨胀剂混凝土配合比设计不仅应满足试配强度要求，同时也应满足施工要求和耐久性要求。掺加膨胀剂混凝土和普通混凝土的标志性区别在于：它可以通过自身产生的膨胀而具有抗裂防渗功能。因此，在配合比设计与试配时，应在选材和确定材料用量方面，尽可能做到有利于膨胀的发挥，以保证限制膨胀率设计值，并进行限制膨胀率测定、验证。膨胀剂品种很多，限制膨胀率增长特性不同，并且存在膨胀剂与水化、化学外加剂的适应性问题，因此应根据工程结构部位、尺寸、环境条件和施工要求进行事先选择，确定膨胀剂的种类。</w:t>
      </w:r>
    </w:p>
    <w:p w14:paraId="4966B463">
      <w:pPr>
        <w:spacing w:line="360" w:lineRule="auto"/>
        <w:ind w:firstLine="480" w:firstLineChars="200"/>
        <w:rPr>
          <w:bCs/>
          <w:sz w:val="24"/>
        </w:rPr>
      </w:pPr>
      <w:r>
        <w:rPr>
          <w:rFonts w:hint="eastAsia"/>
          <w:bCs/>
          <w:sz w:val="24"/>
        </w:rPr>
        <w:t>6.0.2  本条规定了掺加氧化镁膨胀剂混凝土配合比设计时，不同工况下氧化镁膨胀剂的推荐类型和掺量。研究表明，不同类型的氧化镁膨胀剂由于活性不同，有各自所适宜的应用环境温度条件。20℃环境条件下，活性较高的R型氧化镁膨胀剂的膨胀发挥相对较好，且膨胀理容易稳定，而S型在这种较低的环境温度下早期膨胀缓慢，且需要很长时间膨胀才能达到稳定。当环境温度较高时，S型氧化镁膨胀剂的膨胀效果能免很好发挥，且较大的膨胀能免更好的补偿高温环境下较大的温降和干燥收缩。M型氧化镁膨胀剂的膨胀性能介于R型与S型之间。</w:t>
      </w:r>
    </w:p>
    <w:p w14:paraId="042320EC">
      <w:pPr>
        <w:spacing w:line="360" w:lineRule="auto"/>
        <w:ind w:firstLine="480" w:firstLineChars="200"/>
        <w:rPr>
          <w:bCs/>
          <w:sz w:val="24"/>
        </w:rPr>
      </w:pPr>
      <w:r>
        <w:rPr>
          <w:rFonts w:hint="eastAsia"/>
          <w:bCs/>
          <w:sz w:val="24"/>
        </w:rPr>
        <w:t>规定氧化镁膨胀剂掺量限值是为了防止出现后期膨胀难以稳定，甚至引发安定性不良的安定性问题。鉴于氧化镁膨胀剂性能发挥受环境条件、约束程度等众多因素影响，氧化镁膨胀剂工程实际应用时的类型和掺量，应采用工程实际原材料，通过配合比试验进行确定。</w:t>
      </w:r>
    </w:p>
    <w:p w14:paraId="52B2A0E0">
      <w:pPr>
        <w:spacing w:line="360" w:lineRule="auto"/>
        <w:ind w:firstLine="480" w:firstLineChars="200"/>
        <w:rPr>
          <w:bCs/>
          <w:sz w:val="24"/>
        </w:rPr>
      </w:pPr>
      <w:r>
        <w:rPr>
          <w:rFonts w:eastAsia="黑体"/>
          <w:bCs/>
          <w:sz w:val="24"/>
        </w:rPr>
        <w:t>6.0.</w:t>
      </w:r>
      <w:r>
        <w:rPr>
          <w:rFonts w:hint="eastAsia" w:eastAsia="黑体"/>
          <w:bCs/>
          <w:sz w:val="24"/>
        </w:rPr>
        <w:t>3</w:t>
      </w:r>
      <w:r>
        <w:rPr>
          <w:rFonts w:eastAsia="黑体"/>
          <w:bCs/>
          <w:sz w:val="24"/>
        </w:rPr>
        <w:t xml:space="preserve">  </w:t>
      </w:r>
      <w:r>
        <w:rPr>
          <w:rFonts w:hint="eastAsia"/>
          <w:bCs/>
          <w:sz w:val="24"/>
        </w:rPr>
        <w:t>本条规定了不同设计指标时，掺加膨胀剂混凝土的水胶比取值。水胶比是确保掺加膨胀剂混凝土抗裂性能、力学性能与耐久性的关键技术指标，降低水胶比可以提高混凝土强度、抗渗性能，提高抵抗外部侵蚀介质的腐蚀能力。研究表明，水胶比大于0.50，对混凝土的膨胀性能、耐久性均有一定影响，故规定不宜大于0.50；现行国家标准《混凝土结构耐久性设计规范》GB/T 50476规定了不同使用条件和不同结构构件的混凝土最大水胶比。应采用工程实际原材料，结合工程需求，通过配合比试验确定掺加膨胀剂混凝土的水胶比。</w:t>
      </w:r>
    </w:p>
    <w:p w14:paraId="29D2927C">
      <w:pPr>
        <w:spacing w:line="360" w:lineRule="auto"/>
        <w:ind w:firstLine="480" w:firstLineChars="200"/>
        <w:rPr>
          <w:bCs/>
          <w:sz w:val="24"/>
        </w:rPr>
      </w:pPr>
      <w:r>
        <w:rPr>
          <w:rFonts w:eastAsia="黑体"/>
          <w:bCs/>
          <w:sz w:val="24"/>
        </w:rPr>
        <w:t>6.0.</w:t>
      </w:r>
      <w:r>
        <w:rPr>
          <w:rFonts w:hint="eastAsia" w:eastAsia="黑体"/>
          <w:bCs/>
          <w:sz w:val="24"/>
        </w:rPr>
        <w:t xml:space="preserve">4  </w:t>
      </w:r>
      <w:r>
        <w:rPr>
          <w:rFonts w:hint="eastAsia"/>
          <w:bCs/>
          <w:sz w:val="24"/>
        </w:rPr>
        <w:t>现行国家标准《混凝土外加剂应用技术规范》GB 50119规定了掺加膨胀剂混凝土的单位胶凝材料最小用量。单位胶凝材料用量根据单位用水量和水胶比确定。一般来说，</w:t>
      </w:r>
      <w:r>
        <w:rPr>
          <w:bCs/>
          <w:sz w:val="24"/>
        </w:rPr>
        <w:t>C25</w:t>
      </w:r>
      <w:r>
        <w:rPr>
          <w:rFonts w:hint="eastAsia"/>
          <w:bCs/>
          <w:sz w:val="24"/>
        </w:rPr>
        <w:t>～C40补偿收缩混凝土的单位胶凝材料用量为（300～450）kg/m</w:t>
      </w:r>
      <w:r>
        <w:rPr>
          <w:rFonts w:hint="eastAsia"/>
          <w:bCs/>
          <w:sz w:val="24"/>
          <w:vertAlign w:val="superscript"/>
        </w:rPr>
        <w:t>3</w:t>
      </w:r>
      <w:r>
        <w:rPr>
          <w:rFonts w:hint="eastAsia"/>
          <w:bCs/>
          <w:sz w:val="24"/>
        </w:rPr>
        <w:t>时，可获得结构致密及最佳的补偿收缩效果。</w:t>
      </w:r>
    </w:p>
    <w:p w14:paraId="0E4A621C">
      <w:pPr>
        <w:spacing w:line="360" w:lineRule="auto"/>
        <w:ind w:firstLine="480" w:firstLineChars="200"/>
        <w:rPr>
          <w:bCs/>
          <w:sz w:val="24"/>
        </w:rPr>
      </w:pPr>
      <w:r>
        <w:rPr>
          <w:rFonts w:eastAsia="黑体"/>
          <w:bCs/>
          <w:sz w:val="24"/>
        </w:rPr>
        <w:t>6.0.</w:t>
      </w:r>
      <w:r>
        <w:rPr>
          <w:rFonts w:hint="eastAsia" w:eastAsia="黑体"/>
          <w:bCs/>
          <w:sz w:val="24"/>
        </w:rPr>
        <w:t>5</w:t>
      </w:r>
      <w:r>
        <w:rPr>
          <w:rFonts w:eastAsia="黑体"/>
          <w:bCs/>
          <w:sz w:val="24"/>
        </w:rPr>
        <w:t xml:space="preserve"> </w:t>
      </w:r>
      <w:r>
        <w:rPr>
          <w:rFonts w:hint="eastAsia" w:eastAsia="黑体"/>
          <w:bCs/>
          <w:sz w:val="24"/>
        </w:rPr>
        <w:t xml:space="preserve"> </w:t>
      </w:r>
      <w:r>
        <w:rPr>
          <w:rFonts w:hint="eastAsia"/>
          <w:bCs/>
          <w:sz w:val="24"/>
        </w:rPr>
        <w:t>掺加膨胀剂混凝土对氯离子含量要求与普通混凝土标准相同，均应</w:t>
      </w:r>
      <w:r>
        <w:rPr>
          <w:bCs/>
          <w:sz w:val="24"/>
        </w:rPr>
        <w:t>符合现行国家标准《混凝土质量控制标准》GB 50164的要求</w:t>
      </w:r>
      <w:r>
        <w:rPr>
          <w:rFonts w:hint="eastAsia"/>
          <w:bCs/>
          <w:sz w:val="24"/>
        </w:rPr>
        <w:t>。</w:t>
      </w:r>
    </w:p>
    <w:p w14:paraId="2F5CC7DB">
      <w:pPr>
        <w:spacing w:line="360" w:lineRule="auto"/>
        <w:ind w:firstLine="480" w:firstLineChars="200"/>
        <w:rPr>
          <w:bCs/>
          <w:sz w:val="24"/>
        </w:rPr>
      </w:pPr>
      <w:r>
        <w:rPr>
          <w:rFonts w:eastAsia="黑体"/>
          <w:bCs/>
          <w:sz w:val="24"/>
        </w:rPr>
        <w:t>6.0.</w:t>
      </w:r>
      <w:r>
        <w:rPr>
          <w:rFonts w:hint="eastAsia" w:eastAsia="黑体"/>
          <w:bCs/>
          <w:sz w:val="24"/>
        </w:rPr>
        <w:t>6</w:t>
      </w:r>
      <w:r>
        <w:rPr>
          <w:rFonts w:eastAsia="黑体"/>
          <w:bCs/>
          <w:sz w:val="24"/>
        </w:rPr>
        <w:t xml:space="preserve"> </w:t>
      </w:r>
      <w:r>
        <w:rPr>
          <w:rFonts w:hint="eastAsia" w:eastAsia="黑体"/>
          <w:bCs/>
          <w:sz w:val="24"/>
        </w:rPr>
        <w:t xml:space="preserve"> </w:t>
      </w:r>
      <w:r>
        <w:rPr>
          <w:rFonts w:hint="eastAsia"/>
          <w:bCs/>
          <w:sz w:val="24"/>
        </w:rPr>
        <w:t>碱骨料反应引起的混凝土破坏已成为一个普遍关注的工程问题。当混凝土中的碱在有水的环境中遇到活性骨料时，可能引发碱骨料反应，并危及结构安全性与耐久性。</w:t>
      </w:r>
      <w:r>
        <w:rPr>
          <w:bCs/>
          <w:sz w:val="24"/>
        </w:rPr>
        <w:t>现行国家标准《混凝土结构设计规范》GB 50010</w:t>
      </w:r>
      <w:r>
        <w:rPr>
          <w:rFonts w:hint="eastAsia"/>
          <w:bCs/>
          <w:sz w:val="24"/>
        </w:rPr>
        <w:t>规定单方混凝土最大碱含量为3.0kg，并指了，</w:t>
      </w:r>
      <w:r>
        <w:rPr>
          <w:bCs/>
          <w:sz w:val="24"/>
        </w:rPr>
        <w:t>当使用非碱活性骨料时，对混凝土中的碱含量可不作限制</w:t>
      </w:r>
      <w:r>
        <w:rPr>
          <w:rFonts w:hint="eastAsia"/>
          <w:bCs/>
          <w:sz w:val="24"/>
        </w:rPr>
        <w:t>。</w:t>
      </w:r>
      <w:bookmarkStart w:id="62" w:name="_Toc217982185"/>
      <w:bookmarkStart w:id="63" w:name="_Toc217982950"/>
      <w:bookmarkStart w:id="64" w:name="_Toc217982722"/>
      <w:bookmarkStart w:id="65" w:name="_Toc216643273"/>
    </w:p>
    <w:p w14:paraId="364C4F58">
      <w:pPr>
        <w:spacing w:line="360" w:lineRule="auto"/>
        <w:ind w:firstLine="482" w:firstLineChars="200"/>
        <w:rPr>
          <w:b/>
          <w:bCs/>
          <w:color w:val="auto"/>
          <w:sz w:val="24"/>
        </w:rPr>
      </w:pPr>
      <w:r>
        <w:rPr>
          <w:b/>
          <w:bCs/>
          <w:color w:val="auto"/>
          <w:sz w:val="24"/>
        </w:rPr>
        <w:t>7</w:t>
      </w:r>
      <w:r>
        <w:rPr>
          <w:rFonts w:hint="eastAsia"/>
          <w:b/>
          <w:bCs/>
          <w:color w:val="auto"/>
          <w:sz w:val="24"/>
        </w:rPr>
        <w:t xml:space="preserve">. </w:t>
      </w:r>
      <w:r>
        <w:rPr>
          <w:b/>
          <w:bCs/>
          <w:color w:val="auto"/>
          <w:sz w:val="24"/>
        </w:rPr>
        <w:t>混凝土制造和运输</w:t>
      </w:r>
      <w:bookmarkEnd w:id="62"/>
      <w:bookmarkEnd w:id="63"/>
      <w:bookmarkEnd w:id="64"/>
      <w:bookmarkEnd w:id="65"/>
    </w:p>
    <w:p w14:paraId="288CB265">
      <w:pPr>
        <w:spacing w:line="360" w:lineRule="auto"/>
        <w:ind w:firstLine="480" w:firstLineChars="200"/>
        <w:rPr>
          <w:rFonts w:hint="eastAsia" w:ascii="仿宋" w:hAnsi="仿宋" w:eastAsia="仿宋"/>
          <w:bCs/>
          <w:sz w:val="24"/>
        </w:rPr>
      </w:pPr>
      <w:r>
        <w:rPr>
          <w:bCs/>
          <w:sz w:val="24"/>
        </w:rPr>
        <w:t xml:space="preserve">7.0.1  </w:t>
      </w:r>
      <w:r>
        <w:rPr>
          <w:rFonts w:hint="eastAsia"/>
          <w:bCs/>
          <w:sz w:val="24"/>
        </w:rPr>
        <w:t>掺加膨胀剂混凝土是具有补偿收缩能力的高品质混凝土，为了确保其品质， 需要选择技术水平和生产管理水平高的预拌混凝土工厂。选择工厂时，应须考虑到达现场的 运输时间、卸车时间、混凝土的生产能力、运输车数、工厂的生产设备以及质量管理状态等。</w:t>
      </w:r>
    </w:p>
    <w:p w14:paraId="38A494D9">
      <w:pPr>
        <w:spacing w:line="360" w:lineRule="auto"/>
        <w:ind w:firstLine="480" w:firstLineChars="200"/>
        <w:rPr>
          <w:bCs/>
          <w:sz w:val="24"/>
        </w:rPr>
      </w:pPr>
      <w:r>
        <w:rPr>
          <w:bCs/>
          <w:sz w:val="24"/>
        </w:rPr>
        <w:t xml:space="preserve">7.0.2  </w:t>
      </w:r>
      <w:r>
        <w:rPr>
          <w:rFonts w:hint="eastAsia"/>
          <w:bCs/>
          <w:sz w:val="24"/>
        </w:rPr>
        <w:t>为确保掺加膨胀剂混凝土质量与稳定性，膨胀剂与混凝土其他原材料必须配备专用计量设备，并定期进行校验，在使前确定具有所规定的计量精度。</w:t>
      </w:r>
    </w:p>
    <w:p w14:paraId="52FCB928">
      <w:pPr>
        <w:spacing w:line="360" w:lineRule="auto"/>
        <w:ind w:firstLine="480" w:firstLineChars="200"/>
        <w:rPr>
          <w:bCs/>
          <w:sz w:val="24"/>
        </w:rPr>
      </w:pPr>
      <w:r>
        <w:rPr>
          <w:bCs/>
          <w:sz w:val="24"/>
        </w:rPr>
        <w:t xml:space="preserve">7.0.3  </w:t>
      </w:r>
      <w:r>
        <w:rPr>
          <w:rFonts w:hint="eastAsia"/>
          <w:bCs/>
          <w:sz w:val="24"/>
        </w:rPr>
        <w:t>搅拌均匀是确保膨胀剂在混凝土内部均匀发挥膨胀效能的关键所在</w:t>
      </w:r>
      <w:r>
        <w:rPr>
          <w:rFonts w:hint="eastAsia"/>
          <w:bCs/>
          <w:color w:val="auto"/>
          <w:sz w:val="24"/>
        </w:rPr>
        <w:t>，</w:t>
      </w:r>
      <w:r>
        <w:rPr>
          <w:rFonts w:hint="eastAsia"/>
          <w:bCs/>
          <w:sz w:val="24"/>
        </w:rPr>
        <w:t>故本规范规定掺加膨胀剂混凝土的搅拌时间比普通混凝土延长30s以上。</w:t>
      </w:r>
      <w:bookmarkStart w:id="66" w:name="_Toc216643274"/>
      <w:bookmarkStart w:id="67" w:name="_Toc217982186"/>
      <w:bookmarkStart w:id="68" w:name="_Toc217982951"/>
      <w:bookmarkStart w:id="69" w:name="_Toc217982723"/>
    </w:p>
    <w:p w14:paraId="1C9C1776">
      <w:pPr>
        <w:spacing w:line="360" w:lineRule="auto"/>
        <w:ind w:firstLine="482" w:firstLineChars="200"/>
        <w:rPr>
          <w:b/>
          <w:bCs/>
          <w:color w:val="auto"/>
          <w:sz w:val="24"/>
        </w:rPr>
      </w:pPr>
      <w:r>
        <w:rPr>
          <w:b/>
          <w:bCs/>
          <w:color w:val="auto"/>
          <w:sz w:val="24"/>
        </w:rPr>
        <w:t>8</w:t>
      </w:r>
      <w:r>
        <w:rPr>
          <w:rFonts w:hint="eastAsia"/>
          <w:b/>
          <w:bCs/>
          <w:color w:val="auto"/>
          <w:sz w:val="24"/>
        </w:rPr>
        <w:t xml:space="preserve">. </w:t>
      </w:r>
      <w:r>
        <w:rPr>
          <w:b/>
          <w:bCs/>
          <w:color w:val="auto"/>
          <w:sz w:val="24"/>
        </w:rPr>
        <w:t>浇筑和养护</w:t>
      </w:r>
      <w:bookmarkEnd w:id="66"/>
      <w:bookmarkEnd w:id="67"/>
      <w:bookmarkEnd w:id="68"/>
      <w:bookmarkEnd w:id="69"/>
    </w:p>
    <w:p w14:paraId="2B3CCC68">
      <w:pPr>
        <w:spacing w:line="360" w:lineRule="auto"/>
        <w:ind w:firstLine="480" w:firstLineChars="200"/>
        <w:rPr>
          <w:bCs/>
          <w:sz w:val="24"/>
        </w:rPr>
      </w:pPr>
      <w:r>
        <w:rPr>
          <w:bCs/>
          <w:sz w:val="24"/>
        </w:rPr>
        <w:t xml:space="preserve">8.0.1  </w:t>
      </w:r>
      <w:r>
        <w:rPr>
          <w:rFonts w:hint="eastAsia"/>
          <w:bCs/>
          <w:sz w:val="24"/>
        </w:rPr>
        <w:t>掺加膨胀剂混凝土的浇筑和养护遵循普通混凝土的质量控制标准和施工规范。</w:t>
      </w:r>
    </w:p>
    <w:p w14:paraId="567A70A5">
      <w:pPr>
        <w:spacing w:line="360" w:lineRule="auto"/>
        <w:ind w:firstLine="480" w:firstLineChars="200"/>
        <w:rPr>
          <w:bCs/>
          <w:sz w:val="24"/>
        </w:rPr>
      </w:pPr>
      <w:r>
        <w:rPr>
          <w:bCs/>
          <w:sz w:val="24"/>
        </w:rPr>
        <w:t xml:space="preserve">8.0.2  </w:t>
      </w:r>
      <w:r>
        <w:rPr>
          <w:rFonts w:hint="eastAsia"/>
          <w:bCs/>
          <w:sz w:val="24"/>
        </w:rPr>
        <w:t>掺加膨胀剂混凝土的浇筑过程和注意事项与普通混凝土作业标准相同。工程实践表明，浇筑过程中一旦出现施工“冷缝”，采用剔除粗骨料的同配比膨胀砂浆接缝是一种比较可靠的技术措施。初凝和</w:t>
      </w:r>
      <w:r>
        <w:rPr>
          <w:bCs/>
          <w:sz w:val="24"/>
        </w:rPr>
        <w:t>终凝前对混凝土表面进行抹压</w:t>
      </w:r>
      <w:r>
        <w:rPr>
          <w:rFonts w:hint="eastAsia"/>
          <w:bCs/>
          <w:sz w:val="24"/>
        </w:rPr>
        <w:t>可有效消除塑性裂缝。</w:t>
      </w:r>
    </w:p>
    <w:p w14:paraId="324052FE">
      <w:pPr>
        <w:spacing w:line="360" w:lineRule="auto"/>
        <w:ind w:firstLine="480" w:firstLineChars="200"/>
        <w:rPr>
          <w:bCs/>
          <w:sz w:val="24"/>
        </w:rPr>
      </w:pPr>
      <w:r>
        <w:rPr>
          <w:bCs/>
          <w:sz w:val="24"/>
        </w:rPr>
        <w:t>8.0.3</w:t>
      </w:r>
      <w:r>
        <w:rPr>
          <w:rFonts w:hint="eastAsia"/>
          <w:bCs/>
          <w:sz w:val="24"/>
        </w:rPr>
        <w:t xml:space="preserve">  本条规定了掺加膨胀剂混凝土的养护方法。充分的水养护是保障膨胀剂性能发挥的关键技术措施，特别是时期，应予以足够重视。对于水平构件，可采用覆盖塑料薄膜并定时酒水、铺湿麻袋等方式进行保湿养护。对于墙体构件，可在浇筑完成后，在顶端设淋水管，达到脱模强度后，松开对拉螺栓，使墙体外侧与模板之间有2mm</w:t>
      </w:r>
      <w:r>
        <w:rPr>
          <w:bCs/>
          <w:sz w:val="24"/>
        </w:rPr>
        <w:t>~</w:t>
      </w:r>
      <w:r>
        <w:rPr>
          <w:rFonts w:hint="eastAsia"/>
          <w:bCs/>
          <w:sz w:val="24"/>
        </w:rPr>
        <w:t>3mm的缝隙，让上部淋水进入模板与墙体之间，也可采用涂刷养护剂或粘贴养护膜等措施。</w:t>
      </w:r>
    </w:p>
    <w:p w14:paraId="68BCA713">
      <w:pPr>
        <w:spacing w:line="360" w:lineRule="auto"/>
        <w:ind w:firstLine="480" w:firstLineChars="200"/>
        <w:rPr>
          <w:bCs/>
          <w:sz w:val="24"/>
        </w:rPr>
      </w:pPr>
      <w:r>
        <w:rPr>
          <w:rFonts w:hint="eastAsia"/>
          <w:bCs/>
          <w:sz w:val="24"/>
        </w:rPr>
        <w:t>在混凝土硬化初期应避免受到低温、干燥以及急剧的温度变化影响。新浇筑的混凝土既没有足够的强度，也没有建立起有效的膨胀应力，不能够抵御突然降温或振动、冲击等产生的破坏应力，为防止出现裂缝，要采取一定的保护措施。采取保温养护可有效减缓早期温降，降低混凝土由于温降产生的收缩应力。</w:t>
      </w:r>
    </w:p>
    <w:p w14:paraId="2A53BD64">
      <w:pPr>
        <w:spacing w:line="360" w:lineRule="auto"/>
        <w:ind w:firstLine="480" w:firstLineChars="200"/>
        <w:rPr>
          <w:bCs/>
          <w:sz w:val="24"/>
        </w:rPr>
      </w:pPr>
      <w:r>
        <w:rPr>
          <w:rFonts w:hint="eastAsia"/>
          <w:bCs/>
          <w:sz w:val="24"/>
        </w:rPr>
        <w:t>北方冬期施工的混凝土，直接浇水可能会导致混凝土遭受冻害，因此需要进行保温养护， 虽然这样做会导致膨胀效果的降低，但是由于冬期施工的混凝土冷缩小 与高温季节相比， 需要的膨胀也较小。此外，工程完工后应该尽早回填，使混凝土处于潮湿状态，对膨胀能的充分发挥十分有利。为 防止温度应力造成工程裂缝，应该在降温之前对地下工程进行回填保温。</w:t>
      </w:r>
      <w:bookmarkStart w:id="70" w:name="_Toc217982952"/>
      <w:bookmarkStart w:id="71" w:name="_Toc216643275"/>
      <w:bookmarkStart w:id="72" w:name="_Toc217982187"/>
      <w:bookmarkStart w:id="73" w:name="_Toc217982724"/>
    </w:p>
    <w:p w14:paraId="609BE4E2">
      <w:pPr>
        <w:spacing w:line="360" w:lineRule="auto"/>
        <w:ind w:firstLine="482" w:firstLineChars="200"/>
        <w:rPr>
          <w:b/>
          <w:bCs/>
          <w:color w:val="auto"/>
          <w:sz w:val="24"/>
        </w:rPr>
      </w:pPr>
      <w:r>
        <w:rPr>
          <w:b/>
          <w:bCs/>
          <w:color w:val="auto"/>
          <w:sz w:val="24"/>
        </w:rPr>
        <w:t>9</w:t>
      </w:r>
      <w:r>
        <w:rPr>
          <w:rFonts w:hint="eastAsia"/>
          <w:b/>
          <w:bCs/>
          <w:color w:val="auto"/>
          <w:sz w:val="24"/>
        </w:rPr>
        <w:t>. 质量检验与验收</w:t>
      </w:r>
      <w:bookmarkEnd w:id="70"/>
      <w:bookmarkEnd w:id="71"/>
      <w:bookmarkEnd w:id="72"/>
      <w:bookmarkEnd w:id="73"/>
    </w:p>
    <w:p w14:paraId="57A8A32B">
      <w:pPr>
        <w:spacing w:line="360" w:lineRule="auto"/>
        <w:ind w:firstLine="480" w:firstLineChars="200"/>
        <w:rPr>
          <w:sz w:val="24"/>
        </w:rPr>
      </w:pPr>
      <w:r>
        <w:rPr>
          <w:sz w:val="24"/>
        </w:rPr>
        <w:t>9.0.</w:t>
      </w:r>
      <w:r>
        <w:rPr>
          <w:rFonts w:hint="eastAsia"/>
          <w:sz w:val="24"/>
        </w:rPr>
        <w:t>1</w:t>
      </w:r>
      <w:r>
        <w:rPr>
          <w:sz w:val="24"/>
        </w:rPr>
        <w:t xml:space="preserve">  </w:t>
      </w:r>
      <w:r>
        <w:rPr>
          <w:rFonts w:hint="eastAsia"/>
          <w:sz w:val="24"/>
        </w:rPr>
        <w:t>本条规定了规定膨胀剂进场复验验收原则。</w:t>
      </w:r>
    </w:p>
    <w:p w14:paraId="7B888621">
      <w:pPr>
        <w:spacing w:line="360" w:lineRule="auto"/>
        <w:ind w:firstLine="480" w:firstLineChars="200"/>
        <w:rPr>
          <w:sz w:val="24"/>
        </w:rPr>
      </w:pPr>
      <w:r>
        <w:rPr>
          <w:sz w:val="24"/>
        </w:rPr>
        <w:t>9.0.</w:t>
      </w:r>
      <w:r>
        <w:rPr>
          <w:rFonts w:hint="eastAsia"/>
          <w:sz w:val="24"/>
        </w:rPr>
        <w:t>2</w:t>
      </w:r>
      <w:r>
        <w:rPr>
          <w:sz w:val="24"/>
        </w:rPr>
        <w:t xml:space="preserve">  </w:t>
      </w:r>
      <w:r>
        <w:rPr>
          <w:rFonts w:hint="eastAsia"/>
          <w:bCs/>
          <w:sz w:val="24"/>
        </w:rPr>
        <w:t>本条规定了掺加膨胀剂混凝土限制膨胀率取样方式和验收规则。掺加膨胀剂混凝土的配合比试配以及施工过程中，应重点关注混凝土的膨胀性能，保证限制膨胀率结果满足本规范要求的配合比设计要求。同时，掺加氧化镁膨胀剂、温控型镁质抗裂剂混凝土还应进行安定性检测。硫铝酸钙类膨胀剂、氧化钙类膨胀剂、硫铝酸钙-氧化钙类膨胀剂和掺上述膨胀剂混凝土的膨胀性能快速试验可按现行国家标准《混凝土膨胀剂》GB/T 23439-2017的有关规定进行。</w:t>
      </w:r>
    </w:p>
    <w:p w14:paraId="3F8E9434">
      <w:pPr>
        <w:spacing w:line="360" w:lineRule="auto"/>
        <w:ind w:firstLine="480" w:firstLineChars="200"/>
        <w:rPr>
          <w:rFonts w:hint="eastAsia" w:ascii="仿宋" w:hAnsi="仿宋" w:eastAsia="仿宋"/>
          <w:sz w:val="24"/>
        </w:rPr>
      </w:pPr>
      <w:r>
        <w:rPr>
          <w:sz w:val="24"/>
        </w:rPr>
        <w:t>9</w:t>
      </w:r>
      <w:r>
        <w:rPr>
          <w:rFonts w:hint="eastAsia"/>
          <w:sz w:val="24"/>
        </w:rPr>
        <w:t>.0.3  掺加膨胀剂混凝土遵循与普通混凝土相同的工程质量验收规范。</w:t>
      </w:r>
    </w:p>
    <w:p w14:paraId="3413EE02">
      <w:pPr>
        <w:spacing w:line="360" w:lineRule="auto"/>
        <w:ind w:firstLine="482" w:firstLineChars="200"/>
        <w:rPr>
          <w:b/>
          <w:bCs/>
          <w:color w:val="auto"/>
          <w:sz w:val="24"/>
        </w:rPr>
      </w:pPr>
      <w:r>
        <w:rPr>
          <w:rFonts w:hint="eastAsia"/>
          <w:b/>
          <w:bCs/>
          <w:color w:val="auto"/>
          <w:sz w:val="24"/>
        </w:rPr>
        <w:t>附录A  膨胀剂限制膨胀率试验方法</w:t>
      </w:r>
    </w:p>
    <w:p w14:paraId="7B9E82DD">
      <w:pPr>
        <w:spacing w:line="360" w:lineRule="auto"/>
        <w:ind w:firstLine="480" w:firstLineChars="200"/>
        <w:rPr>
          <w:sz w:val="24"/>
        </w:rPr>
      </w:pPr>
      <w:r>
        <w:rPr>
          <w:rFonts w:hint="eastAsia"/>
          <w:sz w:val="24"/>
        </w:rPr>
        <w:t>A.0.2  本条规定了氧化镁膨胀剂、钙镁复合膨胀剂和温控型镁质抗裂剂的限制膨胀率试验所需试验仪器要求。测量仪、纵向限制器符合现行国家标准《混凝土膨胀剂》GB/T 23439-2017附录A规定。</w:t>
      </w:r>
    </w:p>
    <w:p w14:paraId="0B0F44B6">
      <w:pPr>
        <w:spacing w:line="360" w:lineRule="auto"/>
        <w:ind w:firstLine="480" w:firstLineChars="200"/>
        <w:rPr>
          <w:kern w:val="0"/>
          <w:sz w:val="24"/>
          <w:lang w:bidi="en-US"/>
        </w:rPr>
      </w:pPr>
      <w:r>
        <w:rPr>
          <w:rFonts w:hint="eastAsia"/>
          <w:sz w:val="24"/>
        </w:rPr>
        <w:t>A.0.3  本条规定了膨胀剂限制膨胀率测试所需的试验室环境条件。与硫铝酸钙类膨胀剂、氧化钙类膨胀剂、硫铝酸钙类-氧化钙类膨胀剂不同，除了测试20℃水中限制膨胀率外，氧化镁膨胀剂和温控型镁质抗裂剂需测试40℃水中养护的限制膨胀率，钙镁复合膨胀剂需测试60℃水中养护条件下的限制膨胀率。因此，本条规定了高温养护箱的温度调节范围与温度控制精度。</w:t>
      </w:r>
    </w:p>
    <w:p w14:paraId="63CBA74C">
      <w:pPr>
        <w:spacing w:line="360" w:lineRule="auto"/>
        <w:ind w:firstLine="480" w:firstLineChars="200"/>
        <w:rPr>
          <w:sz w:val="24"/>
        </w:rPr>
      </w:pPr>
      <w:r>
        <w:rPr>
          <w:rFonts w:hint="eastAsia"/>
          <w:sz w:val="24"/>
        </w:rPr>
        <w:t>A.0.4～A.05  规定了试体制备与试体测长要求，试体制备与测长符合现行国家标准《混凝土膨胀剂》GB/T 23439-2017附录A规定。</w:t>
      </w:r>
    </w:p>
    <w:p w14:paraId="3823513E">
      <w:pPr>
        <w:spacing w:line="360" w:lineRule="auto"/>
        <w:ind w:firstLine="480" w:firstLineChars="200"/>
        <w:rPr>
          <w:rFonts w:hint="eastAsia"/>
          <w:b/>
          <w:bCs/>
          <w:kern w:val="0"/>
          <w:sz w:val="24"/>
          <w:lang w:bidi="en-US"/>
        </w:rPr>
      </w:pPr>
      <w:r>
        <w:rPr>
          <w:rFonts w:hint="eastAsia"/>
          <w:kern w:val="0"/>
          <w:sz w:val="24"/>
          <w:lang w:bidi="en-US"/>
        </w:rPr>
        <w:t xml:space="preserve">A.0.6  </w:t>
      </w:r>
      <w:r>
        <w:rPr>
          <w:rFonts w:hint="eastAsia"/>
          <w:sz w:val="24"/>
        </w:rPr>
        <w:t>本条规定了试体养护及限制膨胀率测试步骤。</w:t>
      </w:r>
      <w:r>
        <w:rPr>
          <w:sz w:val="24"/>
        </w:rPr>
        <w:t>测量完初始长度的试体</w:t>
      </w:r>
      <w:r>
        <w:rPr>
          <w:rFonts w:hint="eastAsia"/>
          <w:sz w:val="24"/>
        </w:rPr>
        <w:t>在</w:t>
      </w:r>
      <w:r>
        <w:rPr>
          <w:sz w:val="24"/>
        </w:rPr>
        <w:t>40 ℃±2 ℃的恒湿水槽内的水中养护到测试龄期后</w:t>
      </w:r>
      <w:r>
        <w:rPr>
          <w:rFonts w:hint="eastAsia"/>
          <w:sz w:val="24"/>
        </w:rPr>
        <w:t>，</w:t>
      </w:r>
      <w:r>
        <w:rPr>
          <w:sz w:val="24"/>
        </w:rPr>
        <w:t>在测量前6h从水槽中取出，放入标准养护室中冷却</w:t>
      </w:r>
      <w:r>
        <w:rPr>
          <w:rFonts w:hint="eastAsia"/>
          <w:sz w:val="24"/>
        </w:rPr>
        <w:t>。为了保证试验精度，</w:t>
      </w:r>
      <w:r>
        <w:rPr>
          <w:sz w:val="24"/>
        </w:rPr>
        <w:t>试体不可浇水急冷，不可堆垛，且不可直接放入恒温恒湿室。</w:t>
      </w:r>
    </w:p>
    <w:p w14:paraId="28295696">
      <w:pPr>
        <w:spacing w:line="360" w:lineRule="auto"/>
        <w:ind w:firstLine="482" w:firstLineChars="200"/>
        <w:rPr>
          <w:b/>
          <w:bCs/>
          <w:color w:val="auto"/>
          <w:sz w:val="24"/>
        </w:rPr>
      </w:pPr>
      <w:r>
        <w:rPr>
          <w:rFonts w:hint="eastAsia"/>
          <w:b/>
          <w:bCs/>
          <w:color w:val="auto"/>
          <w:sz w:val="24"/>
        </w:rPr>
        <w:t>附录B  掺膨胀剂混凝土的限制膨胀率试验方法</w:t>
      </w:r>
    </w:p>
    <w:p w14:paraId="54EB6F1D">
      <w:pPr>
        <w:spacing w:line="360" w:lineRule="auto"/>
        <w:ind w:firstLine="480" w:firstLineChars="200"/>
        <w:rPr>
          <w:sz w:val="24"/>
        </w:rPr>
      </w:pPr>
      <w:r>
        <w:rPr>
          <w:rFonts w:hint="eastAsia"/>
          <w:sz w:val="24"/>
        </w:rPr>
        <w:t>B.0.2  本条规定了掺氧化镁膨胀剂混凝土的限制膨胀率试验所需试验仪器要求。测量仪、纵向限制器符合现行国家标准《混凝土膨胀剂》GB/T 23439-2017附录B要求。</w:t>
      </w:r>
    </w:p>
    <w:p w14:paraId="5E40AF80">
      <w:pPr>
        <w:spacing w:line="360" w:lineRule="auto"/>
        <w:ind w:firstLine="480" w:firstLineChars="200"/>
        <w:rPr>
          <w:kern w:val="0"/>
          <w:sz w:val="24"/>
          <w:lang w:bidi="en-US"/>
        </w:rPr>
      </w:pPr>
      <w:r>
        <w:rPr>
          <w:rFonts w:hint="eastAsia"/>
          <w:sz w:val="24"/>
        </w:rPr>
        <w:t>B.0.3  本条规定了混凝土限制膨胀率测试所需的试验室环境条件。</w:t>
      </w:r>
      <w:r>
        <w:rPr>
          <w:kern w:val="0"/>
          <w:sz w:val="24"/>
          <w:lang w:bidi="en-US"/>
        </w:rPr>
        <w:t>氧化镁膨胀剂</w:t>
      </w:r>
      <w:r>
        <w:rPr>
          <w:rFonts w:hint="eastAsia"/>
          <w:kern w:val="0"/>
          <w:sz w:val="24"/>
          <w:lang w:bidi="en-US"/>
        </w:rPr>
        <w:t>、钙镁复合膨胀剂、温控型镁质抗裂剂、温控型钙镁复合抗裂剂具有较好的</w:t>
      </w:r>
      <w:r>
        <w:rPr>
          <w:kern w:val="0"/>
          <w:sz w:val="24"/>
          <w:lang w:bidi="en-US"/>
        </w:rPr>
        <w:t>温缩补偿能力</w:t>
      </w:r>
      <w:r>
        <w:rPr>
          <w:rFonts w:hint="eastAsia"/>
          <w:kern w:val="0"/>
          <w:sz w:val="24"/>
          <w:lang w:bidi="en-US"/>
        </w:rPr>
        <w:t>，其</w:t>
      </w:r>
      <w:r>
        <w:rPr>
          <w:kern w:val="0"/>
          <w:sz w:val="24"/>
          <w:lang w:bidi="en-US"/>
        </w:rPr>
        <w:t>优越性源于</w:t>
      </w:r>
      <w:r>
        <w:rPr>
          <w:sz w:val="24"/>
        </w:rPr>
        <w:t>水化反应特性与体积膨胀效应的时空匹配性</w:t>
      </w:r>
      <w:r>
        <w:rPr>
          <w:rFonts w:hint="eastAsia"/>
          <w:sz w:val="24"/>
        </w:rPr>
        <w:t>。氧化镁与水反应生成氢氧化镁，固相体积增加约148%。其</w:t>
      </w:r>
      <w:r>
        <w:rPr>
          <w:sz w:val="24"/>
        </w:rPr>
        <w:t>反应速率受</w:t>
      </w:r>
      <w:r>
        <w:rPr>
          <w:rFonts w:hint="eastAsia"/>
          <w:sz w:val="24"/>
        </w:rPr>
        <w:t>氧化镁膨胀剂</w:t>
      </w:r>
      <w:r>
        <w:rPr>
          <w:sz w:val="24"/>
        </w:rPr>
        <w:t>的煅烧温度和混凝土内部温湿度调控。中低活性</w:t>
      </w:r>
      <w:r>
        <w:rPr>
          <w:rFonts w:hint="eastAsia"/>
          <w:sz w:val="24"/>
        </w:rPr>
        <w:t>氧化镁膨胀剂</w:t>
      </w:r>
      <w:r>
        <w:rPr>
          <w:sz w:val="24"/>
        </w:rPr>
        <w:t>在温度下降阶段（温缩主导期）缓慢水化，持续提供体积膨胀应力。</w:t>
      </w:r>
      <w:r>
        <w:rPr>
          <w:rFonts w:hint="eastAsia"/>
          <w:sz w:val="24"/>
        </w:rPr>
        <w:t>因此，与硫铝酸钙类膨胀剂、氧化钙类膨胀剂、硫铝酸钙类-氧化钙类膨胀剂不同，掺氧化镁膨胀剂混凝土是测试40℃水中限制膨胀率，故本条还规定了用于养护混凝土试体的4</w:t>
      </w:r>
      <w:r>
        <w:rPr>
          <w:sz w:val="24"/>
        </w:rPr>
        <w:t>0℃±2℃</w:t>
      </w:r>
      <w:r>
        <w:rPr>
          <w:rFonts w:hint="eastAsia"/>
          <w:sz w:val="24"/>
        </w:rPr>
        <w:t>恒温水槽要求。</w:t>
      </w:r>
    </w:p>
    <w:p w14:paraId="4EF7CA00">
      <w:pPr>
        <w:spacing w:line="360" w:lineRule="auto"/>
        <w:ind w:firstLine="480" w:firstLineChars="200"/>
        <w:rPr>
          <w:sz w:val="24"/>
        </w:rPr>
      </w:pPr>
      <w:r>
        <w:rPr>
          <w:rFonts w:hint="eastAsia"/>
          <w:sz w:val="24"/>
        </w:rPr>
        <w:t>B.0.4～B.0.5  规定了混凝土限制膨胀率测试所需试体的制作、测长与养护步骤，试体的制作规定了混凝土限制膨胀率测试所需试体的制作、测长与养护步骤，试体的制作符合现行国家标准</w:t>
      </w:r>
      <w:r>
        <w:rPr>
          <w:sz w:val="24"/>
        </w:rPr>
        <w:t>GB/T 23439-2017</w:t>
      </w:r>
      <w:r>
        <w:rPr>
          <w:rFonts w:hint="eastAsia"/>
          <w:sz w:val="24"/>
        </w:rPr>
        <w:t>附录</w:t>
      </w:r>
      <w:r>
        <w:rPr>
          <w:sz w:val="24"/>
        </w:rPr>
        <w:t>B</w:t>
      </w:r>
      <w:r>
        <w:rPr>
          <w:rFonts w:hint="eastAsia"/>
          <w:sz w:val="24"/>
        </w:rPr>
        <w:t>的规定。与硫铝酸钙类膨胀剂、氧化钙类膨胀剂、硫铝酸钙类</w:t>
      </w:r>
      <w:r>
        <w:rPr>
          <w:sz w:val="24"/>
        </w:rPr>
        <w:t>-</w:t>
      </w:r>
      <w:r>
        <w:rPr>
          <w:rFonts w:hint="eastAsia"/>
          <w:sz w:val="24"/>
        </w:rPr>
        <w:t>氧化钙类膨胀剂不同，掺氧化镁膨胀剂、</w:t>
      </w:r>
      <w:r>
        <w:rPr>
          <w:rFonts w:hint="eastAsia"/>
          <w:sz w:val="24"/>
          <w:lang w:bidi="en-US"/>
        </w:rPr>
        <w:t>钙镁复合膨胀剂、温控型镁质抗裂剂、温控型钙镁复合抗裂剂</w:t>
      </w:r>
      <w:r>
        <w:rPr>
          <w:rFonts w:hint="eastAsia"/>
          <w:sz w:val="24"/>
        </w:rPr>
        <w:t>混凝土试体是在</w:t>
      </w:r>
      <w:r>
        <w:rPr>
          <w:sz w:val="24"/>
        </w:rPr>
        <w:t>40℃±2℃</w:t>
      </w:r>
      <w:r>
        <w:rPr>
          <w:rFonts w:hint="eastAsia"/>
          <w:sz w:val="24"/>
        </w:rPr>
        <w:t>恒温水槽中养护，到达规定龄期后在测量前</w:t>
      </w:r>
      <w:r>
        <w:rPr>
          <w:sz w:val="24"/>
        </w:rPr>
        <w:t>6h</w:t>
      </w:r>
      <w:r>
        <w:rPr>
          <w:rFonts w:hint="eastAsia"/>
          <w:sz w:val="24"/>
        </w:rPr>
        <w:t>从水槽中取出，放入标准养护室中冷却至</w:t>
      </w:r>
      <w:r>
        <w:rPr>
          <w:sz w:val="24"/>
        </w:rPr>
        <w:t>20℃±2℃</w:t>
      </w:r>
      <w:r>
        <w:rPr>
          <w:rFonts w:hint="eastAsia"/>
          <w:sz w:val="24"/>
        </w:rPr>
        <w:t>后，转入恒温恒湿室进行测长。并且，每个龄期测长完成后立即放回</w:t>
      </w:r>
      <w:r>
        <w:rPr>
          <w:sz w:val="24"/>
        </w:rPr>
        <w:t>40 ℃±2 ℃</w:t>
      </w:r>
      <w:r>
        <w:rPr>
          <w:rFonts w:hint="eastAsia"/>
          <w:sz w:val="24"/>
        </w:rPr>
        <w:t>的水槽内，继续养护至下一测试龄期。</w:t>
      </w:r>
    </w:p>
    <w:p w14:paraId="19F003AC">
      <w:pPr>
        <w:spacing w:line="360" w:lineRule="auto"/>
        <w:ind w:firstLine="482" w:firstLineChars="200"/>
        <w:rPr>
          <w:b/>
          <w:bCs/>
          <w:color w:val="auto"/>
          <w:sz w:val="24"/>
        </w:rPr>
      </w:pPr>
      <w:r>
        <w:rPr>
          <w:rFonts w:hint="eastAsia"/>
          <w:b/>
          <w:bCs/>
          <w:color w:val="auto"/>
          <w:sz w:val="24"/>
        </w:rPr>
        <w:t>附录C 掺膨胀剂混凝土的安定性试验方法</w:t>
      </w:r>
    </w:p>
    <w:p w14:paraId="27C999F4">
      <w:pPr>
        <w:spacing w:line="360" w:lineRule="auto"/>
        <w:ind w:firstLine="480" w:firstLineChars="200"/>
        <w:rPr>
          <w:sz w:val="24"/>
        </w:rPr>
      </w:pPr>
      <w:r>
        <w:rPr>
          <w:rFonts w:hint="eastAsia"/>
          <w:sz w:val="24"/>
        </w:rPr>
        <w:t>C.0.1  掺氧化镁膨胀剂混凝土的安定性一直是工程界关心的重点问题，其本质是膨胀剂</w:t>
      </w:r>
      <w:r>
        <w:rPr>
          <w:sz w:val="24"/>
        </w:rPr>
        <w:t>水化膨胀特性与混凝土约束条件、强度发展的不匹配，</w:t>
      </w:r>
      <w:r>
        <w:rPr>
          <w:rFonts w:hint="eastAsia"/>
          <w:sz w:val="24"/>
        </w:rPr>
        <w:t>即氧化镁膨胀剂水化产生的体积膨胀应力超过混凝土不同龄期的极限拉伸值，或膨胀过程延迟至混凝土强度稳定后发生，导致结构出现不可逆的开裂、变形，最终丧失体积稳定性。压蒸法是</w:t>
      </w:r>
      <w:r>
        <w:rPr>
          <w:sz w:val="24"/>
        </w:rPr>
        <w:t>利用高温高压环境加速</w:t>
      </w:r>
      <w:r>
        <w:rPr>
          <w:rFonts w:hint="eastAsia"/>
          <w:sz w:val="24"/>
        </w:rPr>
        <w:t>混凝土中氧化镁膨胀剂的</w:t>
      </w:r>
      <w:r>
        <w:rPr>
          <w:sz w:val="24"/>
        </w:rPr>
        <w:t>水化反应，通过测定压蒸前后</w:t>
      </w:r>
      <w:r>
        <w:rPr>
          <w:rFonts w:hint="eastAsia"/>
          <w:sz w:val="24"/>
        </w:rPr>
        <w:t>混凝土试件</w:t>
      </w:r>
      <w:r>
        <w:rPr>
          <w:sz w:val="24"/>
        </w:rPr>
        <w:t>的体积膨胀率</w:t>
      </w:r>
      <w:r>
        <w:rPr>
          <w:rFonts w:hint="eastAsia"/>
          <w:sz w:val="24"/>
        </w:rPr>
        <w:t>和</w:t>
      </w:r>
      <w:r>
        <w:rPr>
          <w:sz w:val="24"/>
        </w:rPr>
        <w:t>试件</w:t>
      </w:r>
      <w:r>
        <w:rPr>
          <w:rFonts w:hint="eastAsia"/>
          <w:sz w:val="24"/>
        </w:rPr>
        <w:t>外观变化</w:t>
      </w:r>
      <w:r>
        <w:rPr>
          <w:sz w:val="24"/>
        </w:rPr>
        <w:t>，评估其长期安定性风险。</w:t>
      </w:r>
      <w:r>
        <w:rPr>
          <w:rFonts w:hint="eastAsia"/>
          <w:sz w:val="24"/>
        </w:rPr>
        <w:t>本条规定了基于压蒸法的掺氧化镁膨胀剂混凝土的安定性检测方法。</w:t>
      </w:r>
    </w:p>
    <w:p w14:paraId="7C23EF84">
      <w:pPr>
        <w:spacing w:line="360" w:lineRule="auto"/>
        <w:ind w:firstLine="480" w:firstLineChars="200"/>
        <w:rPr>
          <w:sz w:val="24"/>
        </w:rPr>
      </w:pPr>
      <w:r>
        <w:rPr>
          <w:rFonts w:hint="eastAsia"/>
          <w:sz w:val="24"/>
        </w:rPr>
        <w:t>C.0.2～C.0.3  本条规定了安定性检测所需的试验仪器与试验室温度要求。</w:t>
      </w:r>
    </w:p>
    <w:p w14:paraId="09A89EE8">
      <w:pPr>
        <w:spacing w:line="360" w:lineRule="auto"/>
        <w:ind w:firstLine="480" w:firstLineChars="200"/>
        <w:rPr>
          <w:sz w:val="24"/>
        </w:rPr>
      </w:pPr>
      <w:r>
        <w:rPr>
          <w:rFonts w:hint="eastAsia"/>
          <w:sz w:val="24"/>
        </w:rPr>
        <w:t>C.0.4  本条规定了压蒸膨胀率试件制作要求。考虑压蒸釜内部空间尺寸，混凝土试件尺寸定为55mm×55mm×280mm的棱柱体，控制粗骨料粒径小于16mm。试件脱模强度同样规定为3MPa～5MPa，与混凝土限制膨胀率测试脱模强度保持一致。</w:t>
      </w:r>
    </w:p>
    <w:p w14:paraId="24E4D8D0">
      <w:pPr>
        <w:spacing w:line="360" w:lineRule="auto"/>
        <w:ind w:firstLine="480" w:firstLineChars="200"/>
        <w:rPr>
          <w:sz w:val="24"/>
        </w:rPr>
      </w:pPr>
      <w:r>
        <w:rPr>
          <w:rFonts w:hint="eastAsia"/>
          <w:sz w:val="24"/>
        </w:rPr>
        <w:t>C.0.5  本条规定了压蒸膨胀率测试步骤。试体脱模测试完初始长度后，按现行国家标准《水泥标准稠度用水量、凝结时间、安定性检验方法》GB/T 1346进行3h沸煮，然后按现行国家标准《水泥压蒸安定性试验方法》GB/T 750进行压蒸。压蒸后的试件应立即置于90℃以上的热水中，均匀地注入冷水并在15min内使水温降至室温，进行测长。</w:t>
      </w:r>
    </w:p>
    <w:p w14:paraId="7A5E75AE">
      <w:pPr>
        <w:spacing w:line="360" w:lineRule="auto"/>
        <w:ind w:firstLine="480" w:firstLineChars="200"/>
        <w:rPr>
          <w:sz w:val="24"/>
        </w:rPr>
      </w:pPr>
      <w:r>
        <w:rPr>
          <w:rFonts w:hint="eastAsia"/>
          <w:sz w:val="24"/>
        </w:rPr>
        <w:t>C.0.7  本条规定了掺氧化镁膨胀剂的混凝土的安定性评价指标。</w:t>
      </w:r>
    </w:p>
    <w:p w14:paraId="05BE6E93">
      <w:pPr>
        <w:shd w:val="clear" w:color="auto" w:fill="FFFFFF"/>
        <w:spacing w:before="156" w:beforeLines="50" w:after="156" w:afterLines="50" w:line="300" w:lineRule="auto"/>
        <w:ind w:firstLine="643" w:firstLineChars="200"/>
        <w:outlineLvl w:val="1"/>
        <w:rPr>
          <w:b/>
          <w:bCs/>
          <w:color w:val="auto"/>
          <w:sz w:val="32"/>
          <w:szCs w:val="28"/>
        </w:rPr>
      </w:pPr>
      <w:r>
        <w:rPr>
          <w:rFonts w:hint="eastAsia"/>
          <w:b/>
          <w:bCs/>
          <w:color w:val="auto"/>
          <w:sz w:val="32"/>
          <w:szCs w:val="28"/>
        </w:rPr>
        <w:t>三、</w:t>
      </w:r>
      <w:r>
        <w:rPr>
          <w:b/>
          <w:bCs/>
          <w:color w:val="auto"/>
          <w:sz w:val="32"/>
          <w:szCs w:val="28"/>
        </w:rPr>
        <w:t>主要验证试验情况</w:t>
      </w:r>
    </w:p>
    <w:p w14:paraId="75A49F7E">
      <w:pPr>
        <w:shd w:val="clear" w:color="auto" w:fill="FFFFFF"/>
        <w:ind w:firstLine="562" w:firstLineChars="200"/>
        <w:rPr>
          <w:b/>
          <w:bCs/>
          <w:color w:val="auto"/>
          <w:sz w:val="28"/>
          <w:szCs w:val="28"/>
        </w:rPr>
      </w:pPr>
      <w:r>
        <w:rPr>
          <w:rFonts w:hint="eastAsia"/>
          <w:b/>
          <w:bCs/>
          <w:color w:val="auto"/>
          <w:sz w:val="28"/>
          <w:szCs w:val="28"/>
        </w:rPr>
        <w:t>（一）掺氧化镁膨胀剂混凝土限制膨胀率试验方法验证</w:t>
      </w:r>
    </w:p>
    <w:p w14:paraId="72E92B79">
      <w:pPr>
        <w:pStyle w:val="5"/>
        <w:spacing w:line="360" w:lineRule="auto"/>
        <w:ind w:firstLine="420"/>
        <w:rPr>
          <w:sz w:val="24"/>
        </w:rPr>
      </w:pPr>
      <w:r>
        <w:rPr>
          <w:rFonts w:hint="eastAsia"/>
          <w:sz w:val="24"/>
        </w:rPr>
        <w:t>选用</w:t>
      </w:r>
      <w:r>
        <w:rPr>
          <w:sz w:val="24"/>
        </w:rPr>
        <w:t>R型（70s）、M型（120s）和S型（210s）</w:t>
      </w:r>
      <w:r>
        <w:rPr>
          <w:rFonts w:hint="eastAsia"/>
          <w:sz w:val="24"/>
        </w:rPr>
        <w:t>三种型号进行掺氧化镁膨胀剂混凝土限制膨胀率试验方法验证。水泥为基准水泥，掺合料为F类Ⅰ</w:t>
      </w:r>
      <w:r>
        <w:rPr>
          <w:sz w:val="24"/>
        </w:rPr>
        <w:t>级粉煤灰</w:t>
      </w:r>
      <w:r>
        <w:rPr>
          <w:rFonts w:hint="eastAsia"/>
          <w:sz w:val="24"/>
        </w:rPr>
        <w:t>、S95级矿粉，骨料为机制砂与5mm～25mm碎石，减水剂为聚羧酸高性能减水剂。膨胀剂掺量分别为4%、6%、8%与10%，混凝土配合比见3.1-1。</w:t>
      </w:r>
    </w:p>
    <w:p w14:paraId="33E05553">
      <w:pPr>
        <w:pStyle w:val="5"/>
        <w:spacing w:line="360" w:lineRule="auto"/>
        <w:jc w:val="center"/>
        <w:rPr>
          <w:b/>
          <w:bCs/>
          <w:szCs w:val="21"/>
        </w:rPr>
      </w:pPr>
      <w:r>
        <w:rPr>
          <w:b/>
          <w:bCs/>
          <w:szCs w:val="21"/>
        </w:rPr>
        <w:t>表</w:t>
      </w:r>
      <w:r>
        <w:rPr>
          <w:rFonts w:hint="eastAsia"/>
          <w:b/>
          <w:bCs/>
          <w:szCs w:val="21"/>
        </w:rPr>
        <w:t>3.1-1</w:t>
      </w:r>
      <w:r>
        <w:rPr>
          <w:b/>
          <w:bCs/>
          <w:szCs w:val="21"/>
        </w:rPr>
        <w:t xml:space="preserve"> </w:t>
      </w:r>
      <w:r>
        <w:rPr>
          <w:rFonts w:hint="eastAsia"/>
          <w:b/>
          <w:bCs/>
          <w:szCs w:val="21"/>
        </w:rPr>
        <w:t>掺氧化镁膨胀剂</w:t>
      </w:r>
      <w:r>
        <w:rPr>
          <w:b/>
          <w:bCs/>
          <w:szCs w:val="21"/>
        </w:rPr>
        <w:t>混凝土的配合比 /(kg/m</w:t>
      </w:r>
      <w:r>
        <w:rPr>
          <w:b/>
          <w:bCs/>
          <w:szCs w:val="21"/>
          <w:vertAlign w:val="superscript"/>
        </w:rPr>
        <w:t>3</w:t>
      </w:r>
      <w:r>
        <w:rPr>
          <w:b/>
          <w:bCs/>
          <w:szCs w:val="21"/>
        </w:rPr>
        <w:t>)</w:t>
      </w:r>
    </w:p>
    <w:tbl>
      <w:tblPr>
        <w:tblStyle w:val="10"/>
        <w:tblW w:w="5000" w:type="pct"/>
        <w:tblInd w:w="0" w:type="dxa"/>
        <w:tblLayout w:type="autofit"/>
        <w:tblCellMar>
          <w:top w:w="0" w:type="dxa"/>
          <w:left w:w="108" w:type="dxa"/>
          <w:bottom w:w="0" w:type="dxa"/>
          <w:right w:w="108" w:type="dxa"/>
        </w:tblCellMar>
      </w:tblPr>
      <w:tblGrid>
        <w:gridCol w:w="739"/>
        <w:gridCol w:w="740"/>
        <w:gridCol w:w="740"/>
        <w:gridCol w:w="999"/>
        <w:gridCol w:w="1103"/>
        <w:gridCol w:w="1246"/>
        <w:gridCol w:w="610"/>
        <w:gridCol w:w="738"/>
        <w:gridCol w:w="610"/>
        <w:gridCol w:w="997"/>
      </w:tblGrid>
      <w:tr w14:paraId="0545F7E7">
        <w:tblPrEx>
          <w:tblCellMar>
            <w:top w:w="0" w:type="dxa"/>
            <w:left w:w="108" w:type="dxa"/>
            <w:bottom w:w="0" w:type="dxa"/>
            <w:right w:w="108" w:type="dxa"/>
          </w:tblCellMar>
        </w:tblPrEx>
        <w:trPr>
          <w:trHeight w:val="334" w:hRule="atLeast"/>
        </w:trPr>
        <w:tc>
          <w:tcPr>
            <w:tcW w:w="434" w:type="pct"/>
            <w:vMerge w:val="restart"/>
            <w:tcBorders>
              <w:top w:val="single" w:color="auto" w:sz="12" w:space="0"/>
              <w:bottom w:val="single" w:color="auto" w:sz="4" w:space="0"/>
            </w:tcBorders>
            <w:vAlign w:val="center"/>
          </w:tcPr>
          <w:p w14:paraId="321AFF77">
            <w:pPr>
              <w:pStyle w:val="5"/>
              <w:jc w:val="center"/>
              <w:rPr>
                <w:rFonts w:hint="eastAsia"/>
                <w:szCs w:val="21"/>
              </w:rPr>
            </w:pPr>
            <w:r>
              <w:rPr>
                <w:szCs w:val="21"/>
              </w:rPr>
              <w:t>编号</w:t>
            </w:r>
          </w:p>
        </w:tc>
        <w:tc>
          <w:tcPr>
            <w:tcW w:w="434" w:type="pct"/>
            <w:vMerge w:val="restart"/>
            <w:tcBorders>
              <w:top w:val="single" w:color="auto" w:sz="12" w:space="0"/>
              <w:bottom w:val="single" w:color="auto" w:sz="4" w:space="0"/>
            </w:tcBorders>
            <w:vAlign w:val="center"/>
          </w:tcPr>
          <w:p w14:paraId="50C741BC">
            <w:pPr>
              <w:pStyle w:val="5"/>
              <w:jc w:val="center"/>
              <w:rPr>
                <w:szCs w:val="21"/>
              </w:rPr>
            </w:pPr>
            <w:r>
              <w:rPr>
                <w:szCs w:val="21"/>
              </w:rPr>
              <w:t>水泥</w:t>
            </w:r>
          </w:p>
        </w:tc>
        <w:tc>
          <w:tcPr>
            <w:tcW w:w="434" w:type="pct"/>
            <w:vMerge w:val="restart"/>
            <w:tcBorders>
              <w:top w:val="single" w:color="auto" w:sz="12" w:space="0"/>
              <w:bottom w:val="single" w:color="auto" w:sz="4" w:space="0"/>
            </w:tcBorders>
            <w:vAlign w:val="center"/>
          </w:tcPr>
          <w:p w14:paraId="0731AA68">
            <w:pPr>
              <w:pStyle w:val="5"/>
              <w:jc w:val="center"/>
              <w:rPr>
                <w:szCs w:val="21"/>
              </w:rPr>
            </w:pPr>
            <w:r>
              <w:rPr>
                <w:szCs w:val="21"/>
              </w:rPr>
              <w:t>矿粉</w:t>
            </w:r>
          </w:p>
        </w:tc>
        <w:tc>
          <w:tcPr>
            <w:tcW w:w="586" w:type="pct"/>
            <w:vMerge w:val="restart"/>
            <w:tcBorders>
              <w:top w:val="single" w:color="auto" w:sz="12" w:space="0"/>
              <w:bottom w:val="single" w:color="auto" w:sz="4" w:space="0"/>
            </w:tcBorders>
            <w:vAlign w:val="center"/>
          </w:tcPr>
          <w:p w14:paraId="17631AD8">
            <w:pPr>
              <w:pStyle w:val="5"/>
              <w:jc w:val="center"/>
              <w:rPr>
                <w:szCs w:val="21"/>
              </w:rPr>
            </w:pPr>
            <w:r>
              <w:rPr>
                <w:szCs w:val="21"/>
              </w:rPr>
              <w:t>粉煤灰</w:t>
            </w:r>
          </w:p>
        </w:tc>
        <w:tc>
          <w:tcPr>
            <w:tcW w:w="1378" w:type="pct"/>
            <w:gridSpan w:val="2"/>
            <w:tcBorders>
              <w:top w:val="single" w:color="auto" w:sz="12" w:space="0"/>
              <w:bottom w:val="single" w:color="auto" w:sz="4" w:space="0"/>
            </w:tcBorders>
            <w:vAlign w:val="center"/>
          </w:tcPr>
          <w:p w14:paraId="1B5C26F4">
            <w:pPr>
              <w:pStyle w:val="5"/>
              <w:jc w:val="center"/>
              <w:rPr>
                <w:szCs w:val="21"/>
              </w:rPr>
            </w:pPr>
            <w:r>
              <w:rPr>
                <w:rFonts w:hint="eastAsia"/>
                <w:szCs w:val="21"/>
              </w:rPr>
              <w:t>氧化镁膨胀剂</w:t>
            </w:r>
          </w:p>
        </w:tc>
        <w:tc>
          <w:tcPr>
            <w:tcW w:w="358" w:type="pct"/>
            <w:vMerge w:val="restart"/>
            <w:tcBorders>
              <w:top w:val="single" w:color="auto" w:sz="12" w:space="0"/>
            </w:tcBorders>
            <w:vAlign w:val="center"/>
          </w:tcPr>
          <w:p w14:paraId="394F2E11">
            <w:pPr>
              <w:pStyle w:val="5"/>
              <w:jc w:val="center"/>
              <w:rPr>
                <w:szCs w:val="21"/>
              </w:rPr>
            </w:pPr>
            <w:r>
              <w:rPr>
                <w:szCs w:val="21"/>
              </w:rPr>
              <w:t>砂</w:t>
            </w:r>
          </w:p>
        </w:tc>
        <w:tc>
          <w:tcPr>
            <w:tcW w:w="433" w:type="pct"/>
            <w:vMerge w:val="restart"/>
            <w:tcBorders>
              <w:top w:val="single" w:color="auto" w:sz="12" w:space="0"/>
            </w:tcBorders>
            <w:vAlign w:val="center"/>
          </w:tcPr>
          <w:p w14:paraId="2DA70A55">
            <w:pPr>
              <w:pStyle w:val="5"/>
              <w:jc w:val="center"/>
              <w:rPr>
                <w:szCs w:val="21"/>
              </w:rPr>
            </w:pPr>
            <w:r>
              <w:rPr>
                <w:szCs w:val="21"/>
              </w:rPr>
              <w:t>石</w:t>
            </w:r>
          </w:p>
        </w:tc>
        <w:tc>
          <w:tcPr>
            <w:tcW w:w="358" w:type="pct"/>
            <w:vMerge w:val="restart"/>
            <w:tcBorders>
              <w:top w:val="single" w:color="auto" w:sz="12" w:space="0"/>
            </w:tcBorders>
            <w:vAlign w:val="center"/>
          </w:tcPr>
          <w:p w14:paraId="7C4435A4">
            <w:pPr>
              <w:pStyle w:val="5"/>
              <w:jc w:val="center"/>
              <w:rPr>
                <w:szCs w:val="21"/>
              </w:rPr>
            </w:pPr>
            <w:r>
              <w:rPr>
                <w:szCs w:val="21"/>
              </w:rPr>
              <w:t>水</w:t>
            </w:r>
          </w:p>
        </w:tc>
        <w:tc>
          <w:tcPr>
            <w:tcW w:w="585" w:type="pct"/>
            <w:vMerge w:val="restart"/>
            <w:tcBorders>
              <w:top w:val="single" w:color="auto" w:sz="12" w:space="0"/>
            </w:tcBorders>
            <w:vAlign w:val="center"/>
          </w:tcPr>
          <w:p w14:paraId="5FCAE1D1">
            <w:pPr>
              <w:pStyle w:val="5"/>
              <w:jc w:val="center"/>
              <w:rPr>
                <w:szCs w:val="21"/>
              </w:rPr>
            </w:pPr>
            <w:r>
              <w:rPr>
                <w:szCs w:val="21"/>
              </w:rPr>
              <w:t>减水剂</w:t>
            </w:r>
          </w:p>
        </w:tc>
      </w:tr>
      <w:tr w14:paraId="2ADDA56B">
        <w:tblPrEx>
          <w:tblCellMar>
            <w:top w:w="0" w:type="dxa"/>
            <w:left w:w="108" w:type="dxa"/>
            <w:bottom w:w="0" w:type="dxa"/>
            <w:right w:w="108" w:type="dxa"/>
          </w:tblCellMar>
        </w:tblPrEx>
        <w:trPr>
          <w:trHeight w:val="403" w:hRule="atLeast"/>
        </w:trPr>
        <w:tc>
          <w:tcPr>
            <w:tcW w:w="434" w:type="pct"/>
            <w:vMerge w:val="continue"/>
            <w:tcBorders>
              <w:bottom w:val="single" w:color="auto" w:sz="4" w:space="0"/>
            </w:tcBorders>
            <w:vAlign w:val="center"/>
          </w:tcPr>
          <w:p w14:paraId="073B9FE5">
            <w:pPr>
              <w:pStyle w:val="5"/>
              <w:jc w:val="center"/>
              <w:rPr>
                <w:szCs w:val="21"/>
              </w:rPr>
            </w:pPr>
          </w:p>
        </w:tc>
        <w:tc>
          <w:tcPr>
            <w:tcW w:w="434" w:type="pct"/>
            <w:vMerge w:val="continue"/>
            <w:tcBorders>
              <w:bottom w:val="single" w:color="auto" w:sz="4" w:space="0"/>
            </w:tcBorders>
            <w:vAlign w:val="center"/>
          </w:tcPr>
          <w:p w14:paraId="1571C25A">
            <w:pPr>
              <w:pStyle w:val="5"/>
              <w:jc w:val="center"/>
              <w:rPr>
                <w:szCs w:val="21"/>
              </w:rPr>
            </w:pPr>
          </w:p>
        </w:tc>
        <w:tc>
          <w:tcPr>
            <w:tcW w:w="434" w:type="pct"/>
            <w:vMerge w:val="continue"/>
            <w:tcBorders>
              <w:bottom w:val="single" w:color="auto" w:sz="4" w:space="0"/>
            </w:tcBorders>
            <w:vAlign w:val="center"/>
          </w:tcPr>
          <w:p w14:paraId="4839A5FA">
            <w:pPr>
              <w:pStyle w:val="5"/>
              <w:jc w:val="center"/>
              <w:rPr>
                <w:szCs w:val="21"/>
              </w:rPr>
            </w:pPr>
          </w:p>
        </w:tc>
        <w:tc>
          <w:tcPr>
            <w:tcW w:w="586" w:type="pct"/>
            <w:vMerge w:val="continue"/>
            <w:tcBorders>
              <w:bottom w:val="single" w:color="auto" w:sz="4" w:space="0"/>
            </w:tcBorders>
            <w:vAlign w:val="center"/>
          </w:tcPr>
          <w:p w14:paraId="66A132E5">
            <w:pPr>
              <w:pStyle w:val="5"/>
              <w:jc w:val="center"/>
              <w:rPr>
                <w:szCs w:val="21"/>
              </w:rPr>
            </w:pPr>
          </w:p>
        </w:tc>
        <w:tc>
          <w:tcPr>
            <w:tcW w:w="647" w:type="pct"/>
            <w:tcBorders>
              <w:top w:val="single" w:color="auto" w:sz="4" w:space="0"/>
              <w:bottom w:val="single" w:color="auto" w:sz="4" w:space="0"/>
            </w:tcBorders>
            <w:vAlign w:val="center"/>
          </w:tcPr>
          <w:p w14:paraId="512A7B8B">
            <w:pPr>
              <w:pStyle w:val="5"/>
              <w:jc w:val="center"/>
              <w:rPr>
                <w:szCs w:val="21"/>
              </w:rPr>
            </w:pPr>
            <w:r>
              <w:rPr>
                <w:szCs w:val="21"/>
              </w:rPr>
              <w:t>型号</w:t>
            </w:r>
          </w:p>
        </w:tc>
        <w:tc>
          <w:tcPr>
            <w:tcW w:w="731" w:type="pct"/>
            <w:tcBorders>
              <w:top w:val="single" w:color="auto" w:sz="4" w:space="0"/>
              <w:bottom w:val="single" w:color="auto" w:sz="4" w:space="0"/>
            </w:tcBorders>
            <w:vAlign w:val="center"/>
          </w:tcPr>
          <w:p w14:paraId="65D2631A">
            <w:pPr>
              <w:pStyle w:val="5"/>
              <w:jc w:val="center"/>
              <w:rPr>
                <w:szCs w:val="21"/>
              </w:rPr>
            </w:pPr>
            <w:r>
              <w:rPr>
                <w:rFonts w:hint="eastAsia"/>
                <w:szCs w:val="21"/>
              </w:rPr>
              <w:t>掺</w:t>
            </w:r>
            <w:r>
              <w:rPr>
                <w:szCs w:val="21"/>
              </w:rPr>
              <w:t>量</w:t>
            </w:r>
          </w:p>
        </w:tc>
        <w:tc>
          <w:tcPr>
            <w:tcW w:w="358" w:type="pct"/>
            <w:vMerge w:val="continue"/>
            <w:tcBorders>
              <w:bottom w:val="single" w:color="auto" w:sz="4" w:space="0"/>
            </w:tcBorders>
            <w:vAlign w:val="center"/>
          </w:tcPr>
          <w:p w14:paraId="5330D3F5">
            <w:pPr>
              <w:pStyle w:val="5"/>
              <w:jc w:val="center"/>
              <w:rPr>
                <w:szCs w:val="21"/>
              </w:rPr>
            </w:pPr>
          </w:p>
        </w:tc>
        <w:tc>
          <w:tcPr>
            <w:tcW w:w="433" w:type="pct"/>
            <w:vMerge w:val="continue"/>
            <w:tcBorders>
              <w:bottom w:val="single" w:color="auto" w:sz="4" w:space="0"/>
            </w:tcBorders>
            <w:vAlign w:val="center"/>
          </w:tcPr>
          <w:p w14:paraId="13402CFB">
            <w:pPr>
              <w:pStyle w:val="5"/>
              <w:jc w:val="center"/>
              <w:rPr>
                <w:szCs w:val="21"/>
              </w:rPr>
            </w:pPr>
          </w:p>
        </w:tc>
        <w:tc>
          <w:tcPr>
            <w:tcW w:w="358" w:type="pct"/>
            <w:vMerge w:val="continue"/>
            <w:tcBorders>
              <w:bottom w:val="single" w:color="auto" w:sz="4" w:space="0"/>
            </w:tcBorders>
            <w:vAlign w:val="center"/>
          </w:tcPr>
          <w:p w14:paraId="200A5DE5">
            <w:pPr>
              <w:pStyle w:val="5"/>
              <w:jc w:val="center"/>
              <w:rPr>
                <w:szCs w:val="21"/>
              </w:rPr>
            </w:pPr>
          </w:p>
        </w:tc>
        <w:tc>
          <w:tcPr>
            <w:tcW w:w="585" w:type="pct"/>
            <w:vMerge w:val="continue"/>
            <w:tcBorders>
              <w:bottom w:val="single" w:color="auto" w:sz="4" w:space="0"/>
            </w:tcBorders>
            <w:vAlign w:val="center"/>
          </w:tcPr>
          <w:p w14:paraId="48C0E352">
            <w:pPr>
              <w:pStyle w:val="5"/>
              <w:jc w:val="center"/>
              <w:rPr>
                <w:szCs w:val="21"/>
              </w:rPr>
            </w:pPr>
          </w:p>
        </w:tc>
      </w:tr>
      <w:tr w14:paraId="6E0208A4">
        <w:tblPrEx>
          <w:tblCellMar>
            <w:top w:w="0" w:type="dxa"/>
            <w:left w:w="108" w:type="dxa"/>
            <w:bottom w:w="0" w:type="dxa"/>
            <w:right w:w="108" w:type="dxa"/>
          </w:tblCellMar>
        </w:tblPrEx>
        <w:tc>
          <w:tcPr>
            <w:tcW w:w="434" w:type="pct"/>
            <w:tcBorders>
              <w:top w:val="single" w:color="auto" w:sz="4" w:space="0"/>
              <w:bottom w:val="single" w:color="auto" w:sz="4" w:space="0"/>
            </w:tcBorders>
            <w:vAlign w:val="center"/>
          </w:tcPr>
          <w:p w14:paraId="5F832803">
            <w:pPr>
              <w:pStyle w:val="5"/>
              <w:jc w:val="center"/>
              <w:rPr>
                <w:rFonts w:hint="eastAsia"/>
                <w:szCs w:val="21"/>
              </w:rPr>
            </w:pPr>
            <w:r>
              <w:rPr>
                <w:rFonts w:hint="eastAsia"/>
                <w:szCs w:val="21"/>
              </w:rPr>
              <w:t>1</w:t>
            </w:r>
          </w:p>
        </w:tc>
        <w:tc>
          <w:tcPr>
            <w:tcW w:w="434" w:type="pct"/>
            <w:tcBorders>
              <w:top w:val="single" w:color="auto" w:sz="4" w:space="0"/>
              <w:bottom w:val="single" w:color="auto" w:sz="4" w:space="0"/>
            </w:tcBorders>
            <w:vAlign w:val="bottom"/>
          </w:tcPr>
          <w:p w14:paraId="45A2DBF9">
            <w:pPr>
              <w:pStyle w:val="5"/>
              <w:jc w:val="center"/>
              <w:rPr>
                <w:szCs w:val="21"/>
              </w:rPr>
            </w:pPr>
            <w:r>
              <w:rPr>
                <w:szCs w:val="21"/>
              </w:rPr>
              <w:t>230</w:t>
            </w:r>
          </w:p>
        </w:tc>
        <w:tc>
          <w:tcPr>
            <w:tcW w:w="434" w:type="pct"/>
            <w:tcBorders>
              <w:top w:val="single" w:color="auto" w:sz="4" w:space="0"/>
              <w:bottom w:val="single" w:color="auto" w:sz="4" w:space="0"/>
            </w:tcBorders>
            <w:vAlign w:val="bottom"/>
          </w:tcPr>
          <w:p w14:paraId="13DDBF71">
            <w:pPr>
              <w:pStyle w:val="5"/>
              <w:jc w:val="center"/>
              <w:rPr>
                <w:szCs w:val="21"/>
              </w:rPr>
            </w:pPr>
            <w:r>
              <w:rPr>
                <w:szCs w:val="21"/>
              </w:rPr>
              <w:t>85</w:t>
            </w:r>
          </w:p>
        </w:tc>
        <w:tc>
          <w:tcPr>
            <w:tcW w:w="586" w:type="pct"/>
            <w:tcBorders>
              <w:top w:val="single" w:color="auto" w:sz="4" w:space="0"/>
              <w:bottom w:val="single" w:color="auto" w:sz="4" w:space="0"/>
            </w:tcBorders>
            <w:vAlign w:val="bottom"/>
          </w:tcPr>
          <w:p w14:paraId="3D061FAD">
            <w:pPr>
              <w:pStyle w:val="5"/>
              <w:jc w:val="center"/>
              <w:rPr>
                <w:szCs w:val="21"/>
              </w:rPr>
            </w:pPr>
            <w:r>
              <w:rPr>
                <w:szCs w:val="21"/>
              </w:rPr>
              <w:t>85</w:t>
            </w:r>
          </w:p>
        </w:tc>
        <w:tc>
          <w:tcPr>
            <w:tcW w:w="647" w:type="pct"/>
            <w:tcBorders>
              <w:top w:val="single" w:color="auto" w:sz="4" w:space="0"/>
              <w:bottom w:val="single" w:color="auto" w:sz="4" w:space="0"/>
            </w:tcBorders>
            <w:vAlign w:val="bottom"/>
          </w:tcPr>
          <w:p w14:paraId="2EFA1095">
            <w:pPr>
              <w:pStyle w:val="5"/>
              <w:jc w:val="center"/>
              <w:rPr>
                <w:rFonts w:hint="eastAsia"/>
                <w:szCs w:val="21"/>
              </w:rPr>
            </w:pPr>
            <w:r>
              <w:rPr>
                <w:szCs w:val="21"/>
              </w:rPr>
              <w:t>-</w:t>
            </w:r>
          </w:p>
        </w:tc>
        <w:tc>
          <w:tcPr>
            <w:tcW w:w="731" w:type="pct"/>
            <w:tcBorders>
              <w:top w:val="single" w:color="auto" w:sz="4" w:space="0"/>
              <w:bottom w:val="single" w:color="auto" w:sz="4" w:space="0"/>
            </w:tcBorders>
            <w:vAlign w:val="bottom"/>
          </w:tcPr>
          <w:p w14:paraId="4A5AEAB6">
            <w:pPr>
              <w:pStyle w:val="5"/>
              <w:jc w:val="center"/>
              <w:rPr>
                <w:szCs w:val="21"/>
              </w:rPr>
            </w:pPr>
            <w:r>
              <w:rPr>
                <w:szCs w:val="21"/>
              </w:rPr>
              <w:t>0</w:t>
            </w:r>
          </w:p>
        </w:tc>
        <w:tc>
          <w:tcPr>
            <w:tcW w:w="358" w:type="pct"/>
            <w:tcBorders>
              <w:top w:val="single" w:color="auto" w:sz="4" w:space="0"/>
              <w:bottom w:val="single" w:color="auto" w:sz="4" w:space="0"/>
            </w:tcBorders>
            <w:vAlign w:val="bottom"/>
          </w:tcPr>
          <w:p w14:paraId="1CEB2601">
            <w:pPr>
              <w:pStyle w:val="5"/>
              <w:jc w:val="center"/>
              <w:rPr>
                <w:szCs w:val="21"/>
              </w:rPr>
            </w:pPr>
            <w:r>
              <w:rPr>
                <w:szCs w:val="21"/>
              </w:rPr>
              <w:t>765</w:t>
            </w:r>
          </w:p>
        </w:tc>
        <w:tc>
          <w:tcPr>
            <w:tcW w:w="433" w:type="pct"/>
            <w:tcBorders>
              <w:top w:val="single" w:color="auto" w:sz="4" w:space="0"/>
              <w:bottom w:val="single" w:color="auto" w:sz="4" w:space="0"/>
            </w:tcBorders>
            <w:vAlign w:val="bottom"/>
          </w:tcPr>
          <w:p w14:paraId="041DBEB2">
            <w:pPr>
              <w:pStyle w:val="5"/>
              <w:jc w:val="center"/>
              <w:rPr>
                <w:szCs w:val="21"/>
              </w:rPr>
            </w:pPr>
            <w:r>
              <w:rPr>
                <w:szCs w:val="21"/>
              </w:rPr>
              <w:t>1078</w:t>
            </w:r>
          </w:p>
        </w:tc>
        <w:tc>
          <w:tcPr>
            <w:tcW w:w="358" w:type="pct"/>
            <w:tcBorders>
              <w:top w:val="single" w:color="auto" w:sz="4" w:space="0"/>
              <w:bottom w:val="single" w:color="auto" w:sz="4" w:space="0"/>
            </w:tcBorders>
            <w:vAlign w:val="bottom"/>
          </w:tcPr>
          <w:p w14:paraId="04296D56">
            <w:pPr>
              <w:pStyle w:val="5"/>
              <w:jc w:val="center"/>
              <w:rPr>
                <w:szCs w:val="21"/>
              </w:rPr>
            </w:pPr>
            <w:r>
              <w:rPr>
                <w:szCs w:val="21"/>
              </w:rPr>
              <w:t>166</w:t>
            </w:r>
          </w:p>
        </w:tc>
        <w:tc>
          <w:tcPr>
            <w:tcW w:w="585" w:type="pct"/>
            <w:tcBorders>
              <w:top w:val="single" w:color="auto" w:sz="4" w:space="0"/>
              <w:bottom w:val="single" w:color="auto" w:sz="4" w:space="0"/>
            </w:tcBorders>
            <w:vAlign w:val="center"/>
          </w:tcPr>
          <w:p w14:paraId="44543856">
            <w:pPr>
              <w:pStyle w:val="5"/>
              <w:jc w:val="center"/>
              <w:rPr>
                <w:szCs w:val="21"/>
              </w:rPr>
            </w:pPr>
            <w:r>
              <w:rPr>
                <w:szCs w:val="21"/>
              </w:rPr>
              <w:t>5</w:t>
            </w:r>
          </w:p>
        </w:tc>
      </w:tr>
      <w:tr w14:paraId="44E7CB08">
        <w:tblPrEx>
          <w:tblCellMar>
            <w:top w:w="0" w:type="dxa"/>
            <w:left w:w="108" w:type="dxa"/>
            <w:bottom w:w="0" w:type="dxa"/>
            <w:right w:w="108" w:type="dxa"/>
          </w:tblCellMar>
        </w:tblPrEx>
        <w:tc>
          <w:tcPr>
            <w:tcW w:w="434" w:type="pct"/>
            <w:tcBorders>
              <w:top w:val="single" w:color="auto" w:sz="4" w:space="0"/>
            </w:tcBorders>
            <w:vAlign w:val="center"/>
          </w:tcPr>
          <w:p w14:paraId="5F126DC4">
            <w:pPr>
              <w:pStyle w:val="5"/>
              <w:jc w:val="center"/>
              <w:rPr>
                <w:rFonts w:hint="eastAsia"/>
                <w:szCs w:val="21"/>
              </w:rPr>
            </w:pPr>
            <w:r>
              <w:rPr>
                <w:rFonts w:hint="eastAsia"/>
                <w:szCs w:val="21"/>
              </w:rPr>
              <w:t>2</w:t>
            </w:r>
          </w:p>
        </w:tc>
        <w:tc>
          <w:tcPr>
            <w:tcW w:w="434" w:type="pct"/>
            <w:tcBorders>
              <w:top w:val="single" w:color="auto" w:sz="4" w:space="0"/>
            </w:tcBorders>
            <w:vAlign w:val="bottom"/>
          </w:tcPr>
          <w:p w14:paraId="6109F183">
            <w:pPr>
              <w:pStyle w:val="5"/>
              <w:jc w:val="center"/>
              <w:rPr>
                <w:szCs w:val="21"/>
              </w:rPr>
            </w:pPr>
            <w:r>
              <w:rPr>
                <w:szCs w:val="21"/>
              </w:rPr>
              <w:t>230</w:t>
            </w:r>
          </w:p>
        </w:tc>
        <w:tc>
          <w:tcPr>
            <w:tcW w:w="434" w:type="pct"/>
            <w:tcBorders>
              <w:top w:val="single" w:color="auto" w:sz="4" w:space="0"/>
            </w:tcBorders>
            <w:vAlign w:val="bottom"/>
          </w:tcPr>
          <w:p w14:paraId="55830B5A">
            <w:pPr>
              <w:pStyle w:val="5"/>
              <w:jc w:val="center"/>
              <w:rPr>
                <w:szCs w:val="21"/>
              </w:rPr>
            </w:pPr>
            <w:r>
              <w:rPr>
                <w:szCs w:val="21"/>
              </w:rPr>
              <w:t>85</w:t>
            </w:r>
          </w:p>
        </w:tc>
        <w:tc>
          <w:tcPr>
            <w:tcW w:w="586" w:type="pct"/>
            <w:tcBorders>
              <w:top w:val="single" w:color="auto" w:sz="4" w:space="0"/>
            </w:tcBorders>
            <w:vAlign w:val="bottom"/>
          </w:tcPr>
          <w:p w14:paraId="1F575097">
            <w:pPr>
              <w:pStyle w:val="5"/>
              <w:jc w:val="center"/>
              <w:rPr>
                <w:szCs w:val="21"/>
              </w:rPr>
            </w:pPr>
            <w:r>
              <w:rPr>
                <w:szCs w:val="21"/>
              </w:rPr>
              <w:t>69</w:t>
            </w:r>
          </w:p>
        </w:tc>
        <w:tc>
          <w:tcPr>
            <w:tcW w:w="647" w:type="pct"/>
            <w:tcBorders>
              <w:top w:val="single" w:color="auto" w:sz="4" w:space="0"/>
            </w:tcBorders>
            <w:vAlign w:val="bottom"/>
          </w:tcPr>
          <w:p w14:paraId="73BB82F9">
            <w:pPr>
              <w:pStyle w:val="5"/>
              <w:jc w:val="center"/>
              <w:rPr>
                <w:szCs w:val="21"/>
              </w:rPr>
            </w:pPr>
            <w:r>
              <w:rPr>
                <w:szCs w:val="21"/>
              </w:rPr>
              <w:t>R</w:t>
            </w:r>
          </w:p>
        </w:tc>
        <w:tc>
          <w:tcPr>
            <w:tcW w:w="731" w:type="pct"/>
            <w:tcBorders>
              <w:top w:val="single" w:color="auto" w:sz="4" w:space="0"/>
            </w:tcBorders>
            <w:vAlign w:val="bottom"/>
          </w:tcPr>
          <w:p w14:paraId="7B9C8DA7">
            <w:pPr>
              <w:pStyle w:val="5"/>
              <w:jc w:val="center"/>
              <w:rPr>
                <w:szCs w:val="21"/>
              </w:rPr>
            </w:pPr>
            <w:r>
              <w:rPr>
                <w:szCs w:val="21"/>
              </w:rPr>
              <w:t>16</w:t>
            </w:r>
          </w:p>
        </w:tc>
        <w:tc>
          <w:tcPr>
            <w:tcW w:w="358" w:type="pct"/>
            <w:tcBorders>
              <w:top w:val="single" w:color="auto" w:sz="4" w:space="0"/>
            </w:tcBorders>
            <w:vAlign w:val="bottom"/>
          </w:tcPr>
          <w:p w14:paraId="3FF341F8">
            <w:pPr>
              <w:pStyle w:val="5"/>
              <w:jc w:val="center"/>
              <w:rPr>
                <w:szCs w:val="21"/>
              </w:rPr>
            </w:pPr>
            <w:r>
              <w:rPr>
                <w:szCs w:val="21"/>
              </w:rPr>
              <w:t>765</w:t>
            </w:r>
          </w:p>
        </w:tc>
        <w:tc>
          <w:tcPr>
            <w:tcW w:w="433" w:type="pct"/>
            <w:tcBorders>
              <w:top w:val="single" w:color="auto" w:sz="4" w:space="0"/>
            </w:tcBorders>
            <w:vAlign w:val="bottom"/>
          </w:tcPr>
          <w:p w14:paraId="72369C22">
            <w:pPr>
              <w:pStyle w:val="5"/>
              <w:jc w:val="center"/>
              <w:rPr>
                <w:szCs w:val="21"/>
              </w:rPr>
            </w:pPr>
            <w:r>
              <w:rPr>
                <w:szCs w:val="21"/>
              </w:rPr>
              <w:t>1078</w:t>
            </w:r>
          </w:p>
        </w:tc>
        <w:tc>
          <w:tcPr>
            <w:tcW w:w="358" w:type="pct"/>
            <w:tcBorders>
              <w:top w:val="single" w:color="auto" w:sz="4" w:space="0"/>
            </w:tcBorders>
            <w:vAlign w:val="bottom"/>
          </w:tcPr>
          <w:p w14:paraId="3410CAC6">
            <w:pPr>
              <w:pStyle w:val="5"/>
              <w:jc w:val="center"/>
              <w:rPr>
                <w:szCs w:val="21"/>
              </w:rPr>
            </w:pPr>
            <w:r>
              <w:rPr>
                <w:szCs w:val="21"/>
              </w:rPr>
              <w:t>166</w:t>
            </w:r>
          </w:p>
        </w:tc>
        <w:tc>
          <w:tcPr>
            <w:tcW w:w="585" w:type="pct"/>
            <w:tcBorders>
              <w:top w:val="single" w:color="auto" w:sz="4" w:space="0"/>
            </w:tcBorders>
            <w:vAlign w:val="center"/>
          </w:tcPr>
          <w:p w14:paraId="033FE2AD">
            <w:pPr>
              <w:pStyle w:val="5"/>
              <w:jc w:val="center"/>
              <w:rPr>
                <w:szCs w:val="21"/>
              </w:rPr>
            </w:pPr>
            <w:r>
              <w:rPr>
                <w:szCs w:val="21"/>
              </w:rPr>
              <w:t>5.5</w:t>
            </w:r>
          </w:p>
        </w:tc>
      </w:tr>
      <w:tr w14:paraId="3175860D">
        <w:tblPrEx>
          <w:tblCellMar>
            <w:top w:w="0" w:type="dxa"/>
            <w:left w:w="108" w:type="dxa"/>
            <w:bottom w:w="0" w:type="dxa"/>
            <w:right w:w="108" w:type="dxa"/>
          </w:tblCellMar>
        </w:tblPrEx>
        <w:tc>
          <w:tcPr>
            <w:tcW w:w="434" w:type="pct"/>
            <w:vAlign w:val="center"/>
          </w:tcPr>
          <w:p w14:paraId="0B64D6FE">
            <w:pPr>
              <w:pStyle w:val="5"/>
              <w:jc w:val="center"/>
              <w:rPr>
                <w:rFonts w:hint="eastAsia"/>
                <w:szCs w:val="21"/>
              </w:rPr>
            </w:pPr>
            <w:r>
              <w:rPr>
                <w:rFonts w:hint="eastAsia"/>
                <w:szCs w:val="21"/>
              </w:rPr>
              <w:t>3</w:t>
            </w:r>
          </w:p>
        </w:tc>
        <w:tc>
          <w:tcPr>
            <w:tcW w:w="434" w:type="pct"/>
            <w:vAlign w:val="bottom"/>
          </w:tcPr>
          <w:p w14:paraId="369873AA">
            <w:pPr>
              <w:pStyle w:val="5"/>
              <w:jc w:val="center"/>
              <w:rPr>
                <w:szCs w:val="21"/>
              </w:rPr>
            </w:pPr>
            <w:r>
              <w:rPr>
                <w:szCs w:val="21"/>
              </w:rPr>
              <w:t>230</w:t>
            </w:r>
          </w:p>
        </w:tc>
        <w:tc>
          <w:tcPr>
            <w:tcW w:w="434" w:type="pct"/>
            <w:vAlign w:val="bottom"/>
          </w:tcPr>
          <w:p w14:paraId="119A0CBD">
            <w:pPr>
              <w:pStyle w:val="5"/>
              <w:jc w:val="center"/>
              <w:rPr>
                <w:szCs w:val="21"/>
              </w:rPr>
            </w:pPr>
            <w:r>
              <w:rPr>
                <w:szCs w:val="21"/>
              </w:rPr>
              <w:t>85</w:t>
            </w:r>
          </w:p>
        </w:tc>
        <w:tc>
          <w:tcPr>
            <w:tcW w:w="586" w:type="pct"/>
            <w:vAlign w:val="bottom"/>
          </w:tcPr>
          <w:p w14:paraId="5DE7692D">
            <w:pPr>
              <w:pStyle w:val="5"/>
              <w:jc w:val="center"/>
              <w:rPr>
                <w:szCs w:val="21"/>
              </w:rPr>
            </w:pPr>
            <w:r>
              <w:rPr>
                <w:szCs w:val="21"/>
              </w:rPr>
              <w:t>61</w:t>
            </w:r>
          </w:p>
        </w:tc>
        <w:tc>
          <w:tcPr>
            <w:tcW w:w="647" w:type="pct"/>
            <w:vAlign w:val="bottom"/>
          </w:tcPr>
          <w:p w14:paraId="11BADE3C">
            <w:pPr>
              <w:pStyle w:val="5"/>
              <w:jc w:val="center"/>
              <w:rPr>
                <w:szCs w:val="21"/>
              </w:rPr>
            </w:pPr>
            <w:r>
              <w:rPr>
                <w:szCs w:val="21"/>
              </w:rPr>
              <w:t>R</w:t>
            </w:r>
          </w:p>
        </w:tc>
        <w:tc>
          <w:tcPr>
            <w:tcW w:w="731" w:type="pct"/>
            <w:vAlign w:val="bottom"/>
          </w:tcPr>
          <w:p w14:paraId="48EC5314">
            <w:pPr>
              <w:pStyle w:val="5"/>
              <w:jc w:val="center"/>
              <w:rPr>
                <w:szCs w:val="21"/>
              </w:rPr>
            </w:pPr>
            <w:r>
              <w:rPr>
                <w:szCs w:val="21"/>
              </w:rPr>
              <w:t>24</w:t>
            </w:r>
          </w:p>
        </w:tc>
        <w:tc>
          <w:tcPr>
            <w:tcW w:w="358" w:type="pct"/>
            <w:vAlign w:val="bottom"/>
          </w:tcPr>
          <w:p w14:paraId="2D3BF158">
            <w:pPr>
              <w:pStyle w:val="5"/>
              <w:jc w:val="center"/>
              <w:rPr>
                <w:szCs w:val="21"/>
              </w:rPr>
            </w:pPr>
            <w:r>
              <w:rPr>
                <w:szCs w:val="21"/>
              </w:rPr>
              <w:t>765</w:t>
            </w:r>
          </w:p>
        </w:tc>
        <w:tc>
          <w:tcPr>
            <w:tcW w:w="433" w:type="pct"/>
            <w:vAlign w:val="bottom"/>
          </w:tcPr>
          <w:p w14:paraId="6FA696F4">
            <w:pPr>
              <w:pStyle w:val="5"/>
              <w:jc w:val="center"/>
              <w:rPr>
                <w:szCs w:val="21"/>
              </w:rPr>
            </w:pPr>
            <w:r>
              <w:rPr>
                <w:szCs w:val="21"/>
              </w:rPr>
              <w:t>1078</w:t>
            </w:r>
          </w:p>
        </w:tc>
        <w:tc>
          <w:tcPr>
            <w:tcW w:w="358" w:type="pct"/>
            <w:vAlign w:val="bottom"/>
          </w:tcPr>
          <w:p w14:paraId="64FA149C">
            <w:pPr>
              <w:pStyle w:val="5"/>
              <w:jc w:val="center"/>
              <w:rPr>
                <w:szCs w:val="21"/>
              </w:rPr>
            </w:pPr>
            <w:r>
              <w:rPr>
                <w:szCs w:val="21"/>
              </w:rPr>
              <w:t>166</w:t>
            </w:r>
          </w:p>
        </w:tc>
        <w:tc>
          <w:tcPr>
            <w:tcW w:w="585" w:type="pct"/>
            <w:vAlign w:val="center"/>
          </w:tcPr>
          <w:p w14:paraId="68F59C2E">
            <w:pPr>
              <w:pStyle w:val="5"/>
              <w:jc w:val="center"/>
              <w:rPr>
                <w:szCs w:val="21"/>
              </w:rPr>
            </w:pPr>
            <w:r>
              <w:rPr>
                <w:szCs w:val="21"/>
              </w:rPr>
              <w:t>5.7</w:t>
            </w:r>
          </w:p>
        </w:tc>
      </w:tr>
      <w:tr w14:paraId="6B60342A">
        <w:tblPrEx>
          <w:tblCellMar>
            <w:top w:w="0" w:type="dxa"/>
            <w:left w:w="108" w:type="dxa"/>
            <w:bottom w:w="0" w:type="dxa"/>
            <w:right w:w="108" w:type="dxa"/>
          </w:tblCellMar>
        </w:tblPrEx>
        <w:tc>
          <w:tcPr>
            <w:tcW w:w="434" w:type="pct"/>
            <w:vAlign w:val="center"/>
          </w:tcPr>
          <w:p w14:paraId="04A46570">
            <w:pPr>
              <w:pStyle w:val="5"/>
              <w:jc w:val="center"/>
              <w:rPr>
                <w:rFonts w:hint="eastAsia"/>
                <w:szCs w:val="21"/>
              </w:rPr>
            </w:pPr>
            <w:r>
              <w:rPr>
                <w:rFonts w:hint="eastAsia"/>
                <w:szCs w:val="21"/>
              </w:rPr>
              <w:t>4</w:t>
            </w:r>
          </w:p>
        </w:tc>
        <w:tc>
          <w:tcPr>
            <w:tcW w:w="434" w:type="pct"/>
            <w:vAlign w:val="bottom"/>
          </w:tcPr>
          <w:p w14:paraId="31D41C75">
            <w:pPr>
              <w:pStyle w:val="5"/>
              <w:jc w:val="center"/>
              <w:rPr>
                <w:szCs w:val="21"/>
              </w:rPr>
            </w:pPr>
            <w:r>
              <w:rPr>
                <w:szCs w:val="21"/>
              </w:rPr>
              <w:t>230</w:t>
            </w:r>
          </w:p>
        </w:tc>
        <w:tc>
          <w:tcPr>
            <w:tcW w:w="434" w:type="pct"/>
            <w:vAlign w:val="bottom"/>
          </w:tcPr>
          <w:p w14:paraId="315472C5">
            <w:pPr>
              <w:pStyle w:val="5"/>
              <w:jc w:val="center"/>
              <w:rPr>
                <w:szCs w:val="21"/>
              </w:rPr>
            </w:pPr>
            <w:r>
              <w:rPr>
                <w:szCs w:val="21"/>
              </w:rPr>
              <w:t>85</w:t>
            </w:r>
          </w:p>
        </w:tc>
        <w:tc>
          <w:tcPr>
            <w:tcW w:w="586" w:type="pct"/>
            <w:vAlign w:val="bottom"/>
          </w:tcPr>
          <w:p w14:paraId="0FC3C73C">
            <w:pPr>
              <w:pStyle w:val="5"/>
              <w:jc w:val="center"/>
              <w:rPr>
                <w:szCs w:val="21"/>
              </w:rPr>
            </w:pPr>
            <w:r>
              <w:rPr>
                <w:szCs w:val="21"/>
              </w:rPr>
              <w:t>53</w:t>
            </w:r>
          </w:p>
        </w:tc>
        <w:tc>
          <w:tcPr>
            <w:tcW w:w="647" w:type="pct"/>
            <w:vAlign w:val="bottom"/>
          </w:tcPr>
          <w:p w14:paraId="64BF1034">
            <w:pPr>
              <w:pStyle w:val="5"/>
              <w:jc w:val="center"/>
              <w:rPr>
                <w:szCs w:val="21"/>
              </w:rPr>
            </w:pPr>
            <w:r>
              <w:rPr>
                <w:szCs w:val="21"/>
              </w:rPr>
              <w:t>R</w:t>
            </w:r>
          </w:p>
        </w:tc>
        <w:tc>
          <w:tcPr>
            <w:tcW w:w="731" w:type="pct"/>
            <w:vAlign w:val="bottom"/>
          </w:tcPr>
          <w:p w14:paraId="10DD78B4">
            <w:pPr>
              <w:pStyle w:val="5"/>
              <w:jc w:val="center"/>
              <w:rPr>
                <w:szCs w:val="21"/>
              </w:rPr>
            </w:pPr>
            <w:r>
              <w:rPr>
                <w:szCs w:val="21"/>
              </w:rPr>
              <w:t>32</w:t>
            </w:r>
          </w:p>
        </w:tc>
        <w:tc>
          <w:tcPr>
            <w:tcW w:w="358" w:type="pct"/>
            <w:vAlign w:val="bottom"/>
          </w:tcPr>
          <w:p w14:paraId="1B6C54C1">
            <w:pPr>
              <w:pStyle w:val="5"/>
              <w:jc w:val="center"/>
              <w:rPr>
                <w:szCs w:val="21"/>
              </w:rPr>
            </w:pPr>
            <w:r>
              <w:rPr>
                <w:szCs w:val="21"/>
              </w:rPr>
              <w:t>765</w:t>
            </w:r>
          </w:p>
        </w:tc>
        <w:tc>
          <w:tcPr>
            <w:tcW w:w="433" w:type="pct"/>
            <w:vAlign w:val="bottom"/>
          </w:tcPr>
          <w:p w14:paraId="25FC2EE8">
            <w:pPr>
              <w:pStyle w:val="5"/>
              <w:jc w:val="center"/>
              <w:rPr>
                <w:szCs w:val="21"/>
              </w:rPr>
            </w:pPr>
            <w:r>
              <w:rPr>
                <w:szCs w:val="21"/>
              </w:rPr>
              <w:t>1078</w:t>
            </w:r>
          </w:p>
        </w:tc>
        <w:tc>
          <w:tcPr>
            <w:tcW w:w="358" w:type="pct"/>
            <w:vAlign w:val="bottom"/>
          </w:tcPr>
          <w:p w14:paraId="56A035FF">
            <w:pPr>
              <w:pStyle w:val="5"/>
              <w:jc w:val="center"/>
              <w:rPr>
                <w:szCs w:val="21"/>
              </w:rPr>
            </w:pPr>
            <w:r>
              <w:rPr>
                <w:szCs w:val="21"/>
              </w:rPr>
              <w:t>166</w:t>
            </w:r>
          </w:p>
        </w:tc>
        <w:tc>
          <w:tcPr>
            <w:tcW w:w="585" w:type="pct"/>
            <w:vAlign w:val="center"/>
          </w:tcPr>
          <w:p w14:paraId="5B446EEC">
            <w:pPr>
              <w:pStyle w:val="5"/>
              <w:jc w:val="center"/>
              <w:rPr>
                <w:szCs w:val="21"/>
              </w:rPr>
            </w:pPr>
            <w:r>
              <w:rPr>
                <w:szCs w:val="21"/>
              </w:rPr>
              <w:t>6</w:t>
            </w:r>
          </w:p>
        </w:tc>
      </w:tr>
      <w:tr w14:paraId="31210951">
        <w:tblPrEx>
          <w:tblCellMar>
            <w:top w:w="0" w:type="dxa"/>
            <w:left w:w="108" w:type="dxa"/>
            <w:bottom w:w="0" w:type="dxa"/>
            <w:right w:w="108" w:type="dxa"/>
          </w:tblCellMar>
        </w:tblPrEx>
        <w:tc>
          <w:tcPr>
            <w:tcW w:w="434" w:type="pct"/>
            <w:tcBorders>
              <w:bottom w:val="single" w:color="auto" w:sz="4" w:space="0"/>
            </w:tcBorders>
            <w:vAlign w:val="center"/>
          </w:tcPr>
          <w:p w14:paraId="64BE26B1">
            <w:pPr>
              <w:pStyle w:val="5"/>
              <w:jc w:val="center"/>
              <w:rPr>
                <w:rFonts w:hint="eastAsia"/>
                <w:szCs w:val="21"/>
              </w:rPr>
            </w:pPr>
            <w:r>
              <w:rPr>
                <w:rFonts w:hint="eastAsia"/>
                <w:szCs w:val="21"/>
              </w:rPr>
              <w:t>5</w:t>
            </w:r>
          </w:p>
        </w:tc>
        <w:tc>
          <w:tcPr>
            <w:tcW w:w="434" w:type="pct"/>
            <w:tcBorders>
              <w:bottom w:val="single" w:color="auto" w:sz="4" w:space="0"/>
            </w:tcBorders>
            <w:vAlign w:val="bottom"/>
          </w:tcPr>
          <w:p w14:paraId="6DDF42D1">
            <w:pPr>
              <w:pStyle w:val="5"/>
              <w:jc w:val="center"/>
              <w:rPr>
                <w:szCs w:val="21"/>
              </w:rPr>
            </w:pPr>
            <w:r>
              <w:rPr>
                <w:szCs w:val="21"/>
              </w:rPr>
              <w:t>230</w:t>
            </w:r>
          </w:p>
        </w:tc>
        <w:tc>
          <w:tcPr>
            <w:tcW w:w="434" w:type="pct"/>
            <w:tcBorders>
              <w:bottom w:val="single" w:color="auto" w:sz="4" w:space="0"/>
            </w:tcBorders>
            <w:vAlign w:val="bottom"/>
          </w:tcPr>
          <w:p w14:paraId="2913490F">
            <w:pPr>
              <w:pStyle w:val="5"/>
              <w:jc w:val="center"/>
              <w:rPr>
                <w:szCs w:val="21"/>
              </w:rPr>
            </w:pPr>
            <w:r>
              <w:rPr>
                <w:szCs w:val="21"/>
              </w:rPr>
              <w:t>85</w:t>
            </w:r>
          </w:p>
        </w:tc>
        <w:tc>
          <w:tcPr>
            <w:tcW w:w="586" w:type="pct"/>
            <w:tcBorders>
              <w:bottom w:val="single" w:color="auto" w:sz="4" w:space="0"/>
            </w:tcBorders>
            <w:vAlign w:val="bottom"/>
          </w:tcPr>
          <w:p w14:paraId="63E6851C">
            <w:pPr>
              <w:pStyle w:val="5"/>
              <w:jc w:val="center"/>
              <w:rPr>
                <w:szCs w:val="21"/>
              </w:rPr>
            </w:pPr>
            <w:r>
              <w:rPr>
                <w:szCs w:val="21"/>
              </w:rPr>
              <w:t>45</w:t>
            </w:r>
          </w:p>
        </w:tc>
        <w:tc>
          <w:tcPr>
            <w:tcW w:w="647" w:type="pct"/>
            <w:tcBorders>
              <w:bottom w:val="single" w:color="auto" w:sz="4" w:space="0"/>
            </w:tcBorders>
            <w:vAlign w:val="bottom"/>
          </w:tcPr>
          <w:p w14:paraId="1D8D7A03">
            <w:pPr>
              <w:pStyle w:val="5"/>
              <w:jc w:val="center"/>
              <w:rPr>
                <w:szCs w:val="21"/>
              </w:rPr>
            </w:pPr>
            <w:r>
              <w:rPr>
                <w:szCs w:val="21"/>
              </w:rPr>
              <w:t>R</w:t>
            </w:r>
          </w:p>
        </w:tc>
        <w:tc>
          <w:tcPr>
            <w:tcW w:w="731" w:type="pct"/>
            <w:tcBorders>
              <w:bottom w:val="single" w:color="auto" w:sz="4" w:space="0"/>
            </w:tcBorders>
            <w:vAlign w:val="bottom"/>
          </w:tcPr>
          <w:p w14:paraId="578E7BB6">
            <w:pPr>
              <w:pStyle w:val="5"/>
              <w:jc w:val="center"/>
              <w:rPr>
                <w:szCs w:val="21"/>
              </w:rPr>
            </w:pPr>
            <w:r>
              <w:rPr>
                <w:szCs w:val="21"/>
              </w:rPr>
              <w:t>40</w:t>
            </w:r>
          </w:p>
        </w:tc>
        <w:tc>
          <w:tcPr>
            <w:tcW w:w="358" w:type="pct"/>
            <w:tcBorders>
              <w:bottom w:val="single" w:color="auto" w:sz="4" w:space="0"/>
            </w:tcBorders>
            <w:vAlign w:val="bottom"/>
          </w:tcPr>
          <w:p w14:paraId="102CDEEB">
            <w:pPr>
              <w:pStyle w:val="5"/>
              <w:jc w:val="center"/>
              <w:rPr>
                <w:szCs w:val="21"/>
              </w:rPr>
            </w:pPr>
            <w:r>
              <w:rPr>
                <w:szCs w:val="21"/>
              </w:rPr>
              <w:t>765</w:t>
            </w:r>
          </w:p>
        </w:tc>
        <w:tc>
          <w:tcPr>
            <w:tcW w:w="433" w:type="pct"/>
            <w:tcBorders>
              <w:bottom w:val="single" w:color="auto" w:sz="4" w:space="0"/>
            </w:tcBorders>
            <w:vAlign w:val="bottom"/>
          </w:tcPr>
          <w:p w14:paraId="2470A322">
            <w:pPr>
              <w:pStyle w:val="5"/>
              <w:jc w:val="center"/>
              <w:rPr>
                <w:szCs w:val="21"/>
              </w:rPr>
            </w:pPr>
            <w:r>
              <w:rPr>
                <w:szCs w:val="21"/>
              </w:rPr>
              <w:t>1078</w:t>
            </w:r>
          </w:p>
        </w:tc>
        <w:tc>
          <w:tcPr>
            <w:tcW w:w="358" w:type="pct"/>
            <w:tcBorders>
              <w:bottom w:val="single" w:color="auto" w:sz="4" w:space="0"/>
            </w:tcBorders>
            <w:vAlign w:val="bottom"/>
          </w:tcPr>
          <w:p w14:paraId="102F06F4">
            <w:pPr>
              <w:pStyle w:val="5"/>
              <w:jc w:val="center"/>
              <w:rPr>
                <w:szCs w:val="21"/>
              </w:rPr>
            </w:pPr>
            <w:r>
              <w:rPr>
                <w:szCs w:val="21"/>
              </w:rPr>
              <w:t>166</w:t>
            </w:r>
          </w:p>
        </w:tc>
        <w:tc>
          <w:tcPr>
            <w:tcW w:w="585" w:type="pct"/>
            <w:tcBorders>
              <w:bottom w:val="single" w:color="auto" w:sz="4" w:space="0"/>
            </w:tcBorders>
            <w:vAlign w:val="center"/>
          </w:tcPr>
          <w:p w14:paraId="772A6992">
            <w:pPr>
              <w:pStyle w:val="5"/>
              <w:jc w:val="center"/>
              <w:rPr>
                <w:szCs w:val="21"/>
              </w:rPr>
            </w:pPr>
            <w:r>
              <w:rPr>
                <w:szCs w:val="21"/>
              </w:rPr>
              <w:t>6.2</w:t>
            </w:r>
          </w:p>
        </w:tc>
      </w:tr>
      <w:tr w14:paraId="66EBBA51">
        <w:tblPrEx>
          <w:tblCellMar>
            <w:top w:w="0" w:type="dxa"/>
            <w:left w:w="108" w:type="dxa"/>
            <w:bottom w:w="0" w:type="dxa"/>
            <w:right w:w="108" w:type="dxa"/>
          </w:tblCellMar>
        </w:tblPrEx>
        <w:tc>
          <w:tcPr>
            <w:tcW w:w="434" w:type="pct"/>
            <w:tcBorders>
              <w:top w:val="single" w:color="auto" w:sz="4" w:space="0"/>
            </w:tcBorders>
            <w:vAlign w:val="center"/>
          </w:tcPr>
          <w:p w14:paraId="5B6F24E4">
            <w:pPr>
              <w:pStyle w:val="5"/>
              <w:jc w:val="center"/>
              <w:rPr>
                <w:rFonts w:hint="eastAsia"/>
                <w:szCs w:val="21"/>
              </w:rPr>
            </w:pPr>
            <w:r>
              <w:rPr>
                <w:rFonts w:hint="eastAsia"/>
                <w:szCs w:val="21"/>
              </w:rPr>
              <w:t>6</w:t>
            </w:r>
          </w:p>
        </w:tc>
        <w:tc>
          <w:tcPr>
            <w:tcW w:w="434" w:type="pct"/>
            <w:tcBorders>
              <w:top w:val="single" w:color="auto" w:sz="4" w:space="0"/>
            </w:tcBorders>
            <w:vAlign w:val="bottom"/>
          </w:tcPr>
          <w:p w14:paraId="51E72F12">
            <w:pPr>
              <w:pStyle w:val="5"/>
              <w:jc w:val="center"/>
              <w:rPr>
                <w:szCs w:val="21"/>
              </w:rPr>
            </w:pPr>
            <w:r>
              <w:rPr>
                <w:szCs w:val="21"/>
              </w:rPr>
              <w:t>230</w:t>
            </w:r>
          </w:p>
        </w:tc>
        <w:tc>
          <w:tcPr>
            <w:tcW w:w="434" w:type="pct"/>
            <w:tcBorders>
              <w:top w:val="single" w:color="auto" w:sz="4" w:space="0"/>
            </w:tcBorders>
            <w:vAlign w:val="bottom"/>
          </w:tcPr>
          <w:p w14:paraId="2D05A320">
            <w:pPr>
              <w:pStyle w:val="5"/>
              <w:jc w:val="center"/>
              <w:rPr>
                <w:szCs w:val="21"/>
              </w:rPr>
            </w:pPr>
            <w:r>
              <w:rPr>
                <w:szCs w:val="21"/>
              </w:rPr>
              <w:t>85</w:t>
            </w:r>
          </w:p>
        </w:tc>
        <w:tc>
          <w:tcPr>
            <w:tcW w:w="586" w:type="pct"/>
            <w:tcBorders>
              <w:top w:val="single" w:color="auto" w:sz="4" w:space="0"/>
            </w:tcBorders>
            <w:vAlign w:val="bottom"/>
          </w:tcPr>
          <w:p w14:paraId="4C4FD772">
            <w:pPr>
              <w:pStyle w:val="5"/>
              <w:jc w:val="center"/>
              <w:rPr>
                <w:szCs w:val="21"/>
              </w:rPr>
            </w:pPr>
            <w:r>
              <w:rPr>
                <w:szCs w:val="21"/>
              </w:rPr>
              <w:t>69</w:t>
            </w:r>
          </w:p>
        </w:tc>
        <w:tc>
          <w:tcPr>
            <w:tcW w:w="647" w:type="pct"/>
            <w:tcBorders>
              <w:top w:val="single" w:color="auto" w:sz="4" w:space="0"/>
            </w:tcBorders>
            <w:vAlign w:val="bottom"/>
          </w:tcPr>
          <w:p w14:paraId="2E08FB92">
            <w:pPr>
              <w:pStyle w:val="5"/>
              <w:jc w:val="center"/>
              <w:rPr>
                <w:szCs w:val="21"/>
              </w:rPr>
            </w:pPr>
            <w:r>
              <w:rPr>
                <w:szCs w:val="21"/>
              </w:rPr>
              <w:t>M</w:t>
            </w:r>
          </w:p>
        </w:tc>
        <w:tc>
          <w:tcPr>
            <w:tcW w:w="731" w:type="pct"/>
            <w:tcBorders>
              <w:top w:val="single" w:color="auto" w:sz="4" w:space="0"/>
            </w:tcBorders>
            <w:vAlign w:val="bottom"/>
          </w:tcPr>
          <w:p w14:paraId="29A7CAA2">
            <w:pPr>
              <w:pStyle w:val="5"/>
              <w:jc w:val="center"/>
              <w:rPr>
                <w:szCs w:val="21"/>
              </w:rPr>
            </w:pPr>
            <w:r>
              <w:rPr>
                <w:szCs w:val="21"/>
              </w:rPr>
              <w:t>16</w:t>
            </w:r>
          </w:p>
        </w:tc>
        <w:tc>
          <w:tcPr>
            <w:tcW w:w="358" w:type="pct"/>
            <w:tcBorders>
              <w:top w:val="single" w:color="auto" w:sz="4" w:space="0"/>
            </w:tcBorders>
            <w:vAlign w:val="bottom"/>
          </w:tcPr>
          <w:p w14:paraId="25158457">
            <w:pPr>
              <w:pStyle w:val="5"/>
              <w:jc w:val="center"/>
              <w:rPr>
                <w:szCs w:val="21"/>
              </w:rPr>
            </w:pPr>
            <w:r>
              <w:rPr>
                <w:szCs w:val="21"/>
              </w:rPr>
              <w:t>765</w:t>
            </w:r>
          </w:p>
        </w:tc>
        <w:tc>
          <w:tcPr>
            <w:tcW w:w="433" w:type="pct"/>
            <w:tcBorders>
              <w:top w:val="single" w:color="auto" w:sz="4" w:space="0"/>
            </w:tcBorders>
            <w:vAlign w:val="bottom"/>
          </w:tcPr>
          <w:p w14:paraId="4582CF21">
            <w:pPr>
              <w:pStyle w:val="5"/>
              <w:jc w:val="center"/>
              <w:rPr>
                <w:szCs w:val="21"/>
              </w:rPr>
            </w:pPr>
            <w:r>
              <w:rPr>
                <w:szCs w:val="21"/>
              </w:rPr>
              <w:t>1078</w:t>
            </w:r>
          </w:p>
        </w:tc>
        <w:tc>
          <w:tcPr>
            <w:tcW w:w="358" w:type="pct"/>
            <w:tcBorders>
              <w:top w:val="single" w:color="auto" w:sz="4" w:space="0"/>
            </w:tcBorders>
            <w:vAlign w:val="bottom"/>
          </w:tcPr>
          <w:p w14:paraId="4650F071">
            <w:pPr>
              <w:pStyle w:val="5"/>
              <w:jc w:val="center"/>
              <w:rPr>
                <w:szCs w:val="21"/>
              </w:rPr>
            </w:pPr>
            <w:r>
              <w:rPr>
                <w:szCs w:val="21"/>
              </w:rPr>
              <w:t>166</w:t>
            </w:r>
          </w:p>
        </w:tc>
        <w:tc>
          <w:tcPr>
            <w:tcW w:w="585" w:type="pct"/>
            <w:tcBorders>
              <w:top w:val="single" w:color="auto" w:sz="4" w:space="0"/>
            </w:tcBorders>
            <w:vAlign w:val="center"/>
          </w:tcPr>
          <w:p w14:paraId="2A24F585">
            <w:pPr>
              <w:pStyle w:val="5"/>
              <w:jc w:val="center"/>
              <w:rPr>
                <w:szCs w:val="21"/>
              </w:rPr>
            </w:pPr>
            <w:r>
              <w:rPr>
                <w:szCs w:val="21"/>
              </w:rPr>
              <w:t>5.2</w:t>
            </w:r>
          </w:p>
        </w:tc>
      </w:tr>
      <w:tr w14:paraId="3C77A79C">
        <w:tblPrEx>
          <w:tblCellMar>
            <w:top w:w="0" w:type="dxa"/>
            <w:left w:w="108" w:type="dxa"/>
            <w:bottom w:w="0" w:type="dxa"/>
            <w:right w:w="108" w:type="dxa"/>
          </w:tblCellMar>
        </w:tblPrEx>
        <w:tc>
          <w:tcPr>
            <w:tcW w:w="434" w:type="pct"/>
            <w:vAlign w:val="center"/>
          </w:tcPr>
          <w:p w14:paraId="7C57AECE">
            <w:pPr>
              <w:pStyle w:val="5"/>
              <w:jc w:val="center"/>
              <w:rPr>
                <w:rFonts w:hint="eastAsia"/>
                <w:szCs w:val="21"/>
              </w:rPr>
            </w:pPr>
            <w:r>
              <w:rPr>
                <w:rFonts w:hint="eastAsia"/>
                <w:szCs w:val="21"/>
              </w:rPr>
              <w:t>7</w:t>
            </w:r>
          </w:p>
        </w:tc>
        <w:tc>
          <w:tcPr>
            <w:tcW w:w="434" w:type="pct"/>
            <w:vAlign w:val="bottom"/>
          </w:tcPr>
          <w:p w14:paraId="4ADA1EEE">
            <w:pPr>
              <w:pStyle w:val="5"/>
              <w:jc w:val="center"/>
              <w:rPr>
                <w:szCs w:val="21"/>
              </w:rPr>
            </w:pPr>
            <w:r>
              <w:rPr>
                <w:szCs w:val="21"/>
              </w:rPr>
              <w:t>230</w:t>
            </w:r>
          </w:p>
        </w:tc>
        <w:tc>
          <w:tcPr>
            <w:tcW w:w="434" w:type="pct"/>
            <w:vAlign w:val="bottom"/>
          </w:tcPr>
          <w:p w14:paraId="2CE1614F">
            <w:pPr>
              <w:pStyle w:val="5"/>
              <w:jc w:val="center"/>
              <w:rPr>
                <w:szCs w:val="21"/>
              </w:rPr>
            </w:pPr>
            <w:r>
              <w:rPr>
                <w:szCs w:val="21"/>
              </w:rPr>
              <w:t>85</w:t>
            </w:r>
          </w:p>
        </w:tc>
        <w:tc>
          <w:tcPr>
            <w:tcW w:w="586" w:type="pct"/>
            <w:vAlign w:val="bottom"/>
          </w:tcPr>
          <w:p w14:paraId="5D5EED2A">
            <w:pPr>
              <w:pStyle w:val="5"/>
              <w:jc w:val="center"/>
              <w:rPr>
                <w:szCs w:val="21"/>
              </w:rPr>
            </w:pPr>
            <w:r>
              <w:rPr>
                <w:szCs w:val="21"/>
              </w:rPr>
              <w:t>61</w:t>
            </w:r>
          </w:p>
        </w:tc>
        <w:tc>
          <w:tcPr>
            <w:tcW w:w="647" w:type="pct"/>
            <w:vAlign w:val="bottom"/>
          </w:tcPr>
          <w:p w14:paraId="1DBD3974">
            <w:pPr>
              <w:pStyle w:val="5"/>
              <w:jc w:val="center"/>
              <w:rPr>
                <w:szCs w:val="21"/>
              </w:rPr>
            </w:pPr>
            <w:r>
              <w:rPr>
                <w:szCs w:val="21"/>
              </w:rPr>
              <w:t>M</w:t>
            </w:r>
          </w:p>
        </w:tc>
        <w:tc>
          <w:tcPr>
            <w:tcW w:w="731" w:type="pct"/>
            <w:vAlign w:val="bottom"/>
          </w:tcPr>
          <w:p w14:paraId="7F51DEC5">
            <w:pPr>
              <w:pStyle w:val="5"/>
              <w:jc w:val="center"/>
              <w:rPr>
                <w:szCs w:val="21"/>
              </w:rPr>
            </w:pPr>
            <w:r>
              <w:rPr>
                <w:szCs w:val="21"/>
              </w:rPr>
              <w:t>24</w:t>
            </w:r>
          </w:p>
        </w:tc>
        <w:tc>
          <w:tcPr>
            <w:tcW w:w="358" w:type="pct"/>
            <w:vAlign w:val="bottom"/>
          </w:tcPr>
          <w:p w14:paraId="02DC1E49">
            <w:pPr>
              <w:pStyle w:val="5"/>
              <w:jc w:val="center"/>
              <w:rPr>
                <w:szCs w:val="21"/>
              </w:rPr>
            </w:pPr>
            <w:r>
              <w:rPr>
                <w:szCs w:val="21"/>
              </w:rPr>
              <w:t>765</w:t>
            </w:r>
          </w:p>
        </w:tc>
        <w:tc>
          <w:tcPr>
            <w:tcW w:w="433" w:type="pct"/>
            <w:vAlign w:val="bottom"/>
          </w:tcPr>
          <w:p w14:paraId="51828D97">
            <w:pPr>
              <w:pStyle w:val="5"/>
              <w:jc w:val="center"/>
              <w:rPr>
                <w:szCs w:val="21"/>
              </w:rPr>
            </w:pPr>
            <w:r>
              <w:rPr>
                <w:szCs w:val="21"/>
              </w:rPr>
              <w:t>1078</w:t>
            </w:r>
          </w:p>
        </w:tc>
        <w:tc>
          <w:tcPr>
            <w:tcW w:w="358" w:type="pct"/>
            <w:vAlign w:val="bottom"/>
          </w:tcPr>
          <w:p w14:paraId="187EC71B">
            <w:pPr>
              <w:pStyle w:val="5"/>
              <w:jc w:val="center"/>
              <w:rPr>
                <w:szCs w:val="21"/>
              </w:rPr>
            </w:pPr>
            <w:r>
              <w:rPr>
                <w:szCs w:val="21"/>
              </w:rPr>
              <w:t>166</w:t>
            </w:r>
          </w:p>
        </w:tc>
        <w:tc>
          <w:tcPr>
            <w:tcW w:w="585" w:type="pct"/>
            <w:vAlign w:val="center"/>
          </w:tcPr>
          <w:p w14:paraId="52A91AD8">
            <w:pPr>
              <w:pStyle w:val="5"/>
              <w:jc w:val="center"/>
              <w:rPr>
                <w:szCs w:val="21"/>
              </w:rPr>
            </w:pPr>
            <w:r>
              <w:rPr>
                <w:szCs w:val="21"/>
              </w:rPr>
              <w:t>5.5</w:t>
            </w:r>
          </w:p>
        </w:tc>
      </w:tr>
      <w:tr w14:paraId="67D1583C">
        <w:tblPrEx>
          <w:tblCellMar>
            <w:top w:w="0" w:type="dxa"/>
            <w:left w:w="108" w:type="dxa"/>
            <w:bottom w:w="0" w:type="dxa"/>
            <w:right w:w="108" w:type="dxa"/>
          </w:tblCellMar>
        </w:tblPrEx>
        <w:tc>
          <w:tcPr>
            <w:tcW w:w="434" w:type="pct"/>
            <w:vAlign w:val="center"/>
          </w:tcPr>
          <w:p w14:paraId="5565EF07">
            <w:pPr>
              <w:pStyle w:val="5"/>
              <w:jc w:val="center"/>
              <w:rPr>
                <w:rFonts w:hint="eastAsia"/>
                <w:szCs w:val="21"/>
              </w:rPr>
            </w:pPr>
            <w:r>
              <w:rPr>
                <w:rFonts w:hint="eastAsia"/>
                <w:szCs w:val="21"/>
              </w:rPr>
              <w:t>8</w:t>
            </w:r>
          </w:p>
        </w:tc>
        <w:tc>
          <w:tcPr>
            <w:tcW w:w="434" w:type="pct"/>
            <w:vAlign w:val="bottom"/>
          </w:tcPr>
          <w:p w14:paraId="428FB3D6">
            <w:pPr>
              <w:pStyle w:val="5"/>
              <w:jc w:val="center"/>
              <w:rPr>
                <w:szCs w:val="21"/>
              </w:rPr>
            </w:pPr>
            <w:r>
              <w:rPr>
                <w:szCs w:val="21"/>
              </w:rPr>
              <w:t>230</w:t>
            </w:r>
          </w:p>
        </w:tc>
        <w:tc>
          <w:tcPr>
            <w:tcW w:w="434" w:type="pct"/>
            <w:vAlign w:val="bottom"/>
          </w:tcPr>
          <w:p w14:paraId="1DF2FFD9">
            <w:pPr>
              <w:pStyle w:val="5"/>
              <w:jc w:val="center"/>
              <w:rPr>
                <w:szCs w:val="21"/>
              </w:rPr>
            </w:pPr>
            <w:r>
              <w:rPr>
                <w:szCs w:val="21"/>
              </w:rPr>
              <w:t>85</w:t>
            </w:r>
          </w:p>
        </w:tc>
        <w:tc>
          <w:tcPr>
            <w:tcW w:w="586" w:type="pct"/>
            <w:vAlign w:val="bottom"/>
          </w:tcPr>
          <w:p w14:paraId="0E4DD8EA">
            <w:pPr>
              <w:pStyle w:val="5"/>
              <w:jc w:val="center"/>
              <w:rPr>
                <w:szCs w:val="21"/>
              </w:rPr>
            </w:pPr>
            <w:r>
              <w:rPr>
                <w:szCs w:val="21"/>
              </w:rPr>
              <w:t>53</w:t>
            </w:r>
          </w:p>
        </w:tc>
        <w:tc>
          <w:tcPr>
            <w:tcW w:w="647" w:type="pct"/>
            <w:vAlign w:val="bottom"/>
          </w:tcPr>
          <w:p w14:paraId="5B873B82">
            <w:pPr>
              <w:pStyle w:val="5"/>
              <w:jc w:val="center"/>
              <w:rPr>
                <w:szCs w:val="21"/>
              </w:rPr>
            </w:pPr>
            <w:r>
              <w:rPr>
                <w:szCs w:val="21"/>
              </w:rPr>
              <w:t>M</w:t>
            </w:r>
          </w:p>
        </w:tc>
        <w:tc>
          <w:tcPr>
            <w:tcW w:w="731" w:type="pct"/>
            <w:vAlign w:val="bottom"/>
          </w:tcPr>
          <w:p w14:paraId="6E02D466">
            <w:pPr>
              <w:pStyle w:val="5"/>
              <w:jc w:val="center"/>
              <w:rPr>
                <w:szCs w:val="21"/>
              </w:rPr>
            </w:pPr>
            <w:r>
              <w:rPr>
                <w:szCs w:val="21"/>
              </w:rPr>
              <w:t>32</w:t>
            </w:r>
          </w:p>
        </w:tc>
        <w:tc>
          <w:tcPr>
            <w:tcW w:w="358" w:type="pct"/>
            <w:vAlign w:val="bottom"/>
          </w:tcPr>
          <w:p w14:paraId="7D9B35A7">
            <w:pPr>
              <w:pStyle w:val="5"/>
              <w:jc w:val="center"/>
              <w:rPr>
                <w:szCs w:val="21"/>
              </w:rPr>
            </w:pPr>
            <w:r>
              <w:rPr>
                <w:szCs w:val="21"/>
              </w:rPr>
              <w:t>765</w:t>
            </w:r>
          </w:p>
        </w:tc>
        <w:tc>
          <w:tcPr>
            <w:tcW w:w="433" w:type="pct"/>
            <w:vAlign w:val="bottom"/>
          </w:tcPr>
          <w:p w14:paraId="46663763">
            <w:pPr>
              <w:pStyle w:val="5"/>
              <w:jc w:val="center"/>
              <w:rPr>
                <w:szCs w:val="21"/>
              </w:rPr>
            </w:pPr>
            <w:r>
              <w:rPr>
                <w:szCs w:val="21"/>
              </w:rPr>
              <w:t>1078</w:t>
            </w:r>
          </w:p>
        </w:tc>
        <w:tc>
          <w:tcPr>
            <w:tcW w:w="358" w:type="pct"/>
            <w:vAlign w:val="bottom"/>
          </w:tcPr>
          <w:p w14:paraId="5A67A435">
            <w:pPr>
              <w:pStyle w:val="5"/>
              <w:jc w:val="center"/>
              <w:rPr>
                <w:szCs w:val="21"/>
              </w:rPr>
            </w:pPr>
            <w:r>
              <w:rPr>
                <w:szCs w:val="21"/>
              </w:rPr>
              <w:t>166</w:t>
            </w:r>
          </w:p>
        </w:tc>
        <w:tc>
          <w:tcPr>
            <w:tcW w:w="585" w:type="pct"/>
            <w:vAlign w:val="center"/>
          </w:tcPr>
          <w:p w14:paraId="55137DE3">
            <w:pPr>
              <w:pStyle w:val="5"/>
              <w:jc w:val="center"/>
              <w:rPr>
                <w:szCs w:val="21"/>
              </w:rPr>
            </w:pPr>
            <w:r>
              <w:rPr>
                <w:szCs w:val="21"/>
              </w:rPr>
              <w:t>5.5</w:t>
            </w:r>
          </w:p>
        </w:tc>
      </w:tr>
      <w:tr w14:paraId="2E85AF2D">
        <w:tblPrEx>
          <w:tblCellMar>
            <w:top w:w="0" w:type="dxa"/>
            <w:left w:w="108" w:type="dxa"/>
            <w:bottom w:w="0" w:type="dxa"/>
            <w:right w:w="108" w:type="dxa"/>
          </w:tblCellMar>
        </w:tblPrEx>
        <w:tc>
          <w:tcPr>
            <w:tcW w:w="434" w:type="pct"/>
            <w:tcBorders>
              <w:bottom w:val="single" w:color="auto" w:sz="4" w:space="0"/>
            </w:tcBorders>
            <w:vAlign w:val="center"/>
          </w:tcPr>
          <w:p w14:paraId="6532EFC7">
            <w:pPr>
              <w:pStyle w:val="5"/>
              <w:jc w:val="center"/>
              <w:rPr>
                <w:rFonts w:hint="eastAsia"/>
                <w:szCs w:val="21"/>
              </w:rPr>
            </w:pPr>
            <w:r>
              <w:rPr>
                <w:rFonts w:hint="eastAsia"/>
                <w:szCs w:val="21"/>
              </w:rPr>
              <w:t>9</w:t>
            </w:r>
          </w:p>
        </w:tc>
        <w:tc>
          <w:tcPr>
            <w:tcW w:w="434" w:type="pct"/>
            <w:tcBorders>
              <w:bottom w:val="single" w:color="auto" w:sz="4" w:space="0"/>
            </w:tcBorders>
            <w:vAlign w:val="bottom"/>
          </w:tcPr>
          <w:p w14:paraId="6E259A67">
            <w:pPr>
              <w:pStyle w:val="5"/>
              <w:jc w:val="center"/>
              <w:rPr>
                <w:szCs w:val="21"/>
              </w:rPr>
            </w:pPr>
            <w:r>
              <w:rPr>
                <w:szCs w:val="21"/>
              </w:rPr>
              <w:t>230</w:t>
            </w:r>
          </w:p>
        </w:tc>
        <w:tc>
          <w:tcPr>
            <w:tcW w:w="434" w:type="pct"/>
            <w:tcBorders>
              <w:bottom w:val="single" w:color="auto" w:sz="4" w:space="0"/>
            </w:tcBorders>
            <w:vAlign w:val="bottom"/>
          </w:tcPr>
          <w:p w14:paraId="33A15DF3">
            <w:pPr>
              <w:pStyle w:val="5"/>
              <w:jc w:val="center"/>
              <w:rPr>
                <w:szCs w:val="21"/>
              </w:rPr>
            </w:pPr>
            <w:r>
              <w:rPr>
                <w:szCs w:val="21"/>
              </w:rPr>
              <w:t>85</w:t>
            </w:r>
          </w:p>
        </w:tc>
        <w:tc>
          <w:tcPr>
            <w:tcW w:w="586" w:type="pct"/>
            <w:tcBorders>
              <w:bottom w:val="single" w:color="auto" w:sz="4" w:space="0"/>
            </w:tcBorders>
            <w:vAlign w:val="bottom"/>
          </w:tcPr>
          <w:p w14:paraId="509E08EB">
            <w:pPr>
              <w:pStyle w:val="5"/>
              <w:jc w:val="center"/>
              <w:rPr>
                <w:szCs w:val="21"/>
              </w:rPr>
            </w:pPr>
            <w:r>
              <w:rPr>
                <w:szCs w:val="21"/>
              </w:rPr>
              <w:t>45</w:t>
            </w:r>
          </w:p>
        </w:tc>
        <w:tc>
          <w:tcPr>
            <w:tcW w:w="647" w:type="pct"/>
            <w:tcBorders>
              <w:bottom w:val="single" w:color="auto" w:sz="4" w:space="0"/>
            </w:tcBorders>
            <w:vAlign w:val="bottom"/>
          </w:tcPr>
          <w:p w14:paraId="59C910D0">
            <w:pPr>
              <w:pStyle w:val="5"/>
              <w:jc w:val="center"/>
              <w:rPr>
                <w:szCs w:val="21"/>
              </w:rPr>
            </w:pPr>
            <w:r>
              <w:rPr>
                <w:szCs w:val="21"/>
              </w:rPr>
              <w:t>M</w:t>
            </w:r>
          </w:p>
        </w:tc>
        <w:tc>
          <w:tcPr>
            <w:tcW w:w="731" w:type="pct"/>
            <w:tcBorders>
              <w:bottom w:val="single" w:color="auto" w:sz="4" w:space="0"/>
            </w:tcBorders>
            <w:vAlign w:val="bottom"/>
          </w:tcPr>
          <w:p w14:paraId="1196D58E">
            <w:pPr>
              <w:pStyle w:val="5"/>
              <w:jc w:val="center"/>
              <w:rPr>
                <w:szCs w:val="21"/>
              </w:rPr>
            </w:pPr>
            <w:r>
              <w:rPr>
                <w:szCs w:val="21"/>
              </w:rPr>
              <w:t>40</w:t>
            </w:r>
          </w:p>
        </w:tc>
        <w:tc>
          <w:tcPr>
            <w:tcW w:w="358" w:type="pct"/>
            <w:tcBorders>
              <w:bottom w:val="single" w:color="auto" w:sz="4" w:space="0"/>
            </w:tcBorders>
            <w:vAlign w:val="bottom"/>
          </w:tcPr>
          <w:p w14:paraId="628B61D4">
            <w:pPr>
              <w:pStyle w:val="5"/>
              <w:jc w:val="center"/>
              <w:rPr>
                <w:szCs w:val="21"/>
              </w:rPr>
            </w:pPr>
            <w:r>
              <w:rPr>
                <w:szCs w:val="21"/>
              </w:rPr>
              <w:t>765</w:t>
            </w:r>
          </w:p>
        </w:tc>
        <w:tc>
          <w:tcPr>
            <w:tcW w:w="433" w:type="pct"/>
            <w:tcBorders>
              <w:bottom w:val="single" w:color="auto" w:sz="4" w:space="0"/>
            </w:tcBorders>
            <w:vAlign w:val="bottom"/>
          </w:tcPr>
          <w:p w14:paraId="1834F987">
            <w:pPr>
              <w:pStyle w:val="5"/>
              <w:jc w:val="center"/>
              <w:rPr>
                <w:szCs w:val="21"/>
              </w:rPr>
            </w:pPr>
            <w:r>
              <w:rPr>
                <w:szCs w:val="21"/>
              </w:rPr>
              <w:t>1078</w:t>
            </w:r>
          </w:p>
        </w:tc>
        <w:tc>
          <w:tcPr>
            <w:tcW w:w="358" w:type="pct"/>
            <w:tcBorders>
              <w:bottom w:val="single" w:color="auto" w:sz="4" w:space="0"/>
            </w:tcBorders>
            <w:vAlign w:val="bottom"/>
          </w:tcPr>
          <w:p w14:paraId="43557F04">
            <w:pPr>
              <w:pStyle w:val="5"/>
              <w:jc w:val="center"/>
              <w:rPr>
                <w:szCs w:val="21"/>
              </w:rPr>
            </w:pPr>
            <w:r>
              <w:rPr>
                <w:szCs w:val="21"/>
              </w:rPr>
              <w:t>166</w:t>
            </w:r>
          </w:p>
        </w:tc>
        <w:tc>
          <w:tcPr>
            <w:tcW w:w="585" w:type="pct"/>
            <w:tcBorders>
              <w:bottom w:val="single" w:color="auto" w:sz="4" w:space="0"/>
            </w:tcBorders>
            <w:vAlign w:val="center"/>
          </w:tcPr>
          <w:p w14:paraId="41F6A787">
            <w:pPr>
              <w:pStyle w:val="5"/>
              <w:jc w:val="center"/>
              <w:rPr>
                <w:szCs w:val="21"/>
              </w:rPr>
            </w:pPr>
            <w:r>
              <w:rPr>
                <w:szCs w:val="21"/>
              </w:rPr>
              <w:t>6.1</w:t>
            </w:r>
          </w:p>
        </w:tc>
      </w:tr>
      <w:tr w14:paraId="5F7DEF77">
        <w:tblPrEx>
          <w:tblCellMar>
            <w:top w:w="0" w:type="dxa"/>
            <w:left w:w="108" w:type="dxa"/>
            <w:bottom w:w="0" w:type="dxa"/>
            <w:right w:w="108" w:type="dxa"/>
          </w:tblCellMar>
        </w:tblPrEx>
        <w:tc>
          <w:tcPr>
            <w:tcW w:w="434" w:type="pct"/>
            <w:tcBorders>
              <w:top w:val="single" w:color="auto" w:sz="4" w:space="0"/>
            </w:tcBorders>
            <w:vAlign w:val="center"/>
          </w:tcPr>
          <w:p w14:paraId="599E0F9D">
            <w:pPr>
              <w:pStyle w:val="5"/>
              <w:jc w:val="center"/>
              <w:rPr>
                <w:rFonts w:hint="eastAsia"/>
                <w:szCs w:val="21"/>
              </w:rPr>
            </w:pPr>
            <w:r>
              <w:rPr>
                <w:rFonts w:hint="eastAsia"/>
                <w:szCs w:val="21"/>
              </w:rPr>
              <w:t>10</w:t>
            </w:r>
          </w:p>
        </w:tc>
        <w:tc>
          <w:tcPr>
            <w:tcW w:w="434" w:type="pct"/>
            <w:tcBorders>
              <w:top w:val="single" w:color="auto" w:sz="4" w:space="0"/>
            </w:tcBorders>
            <w:vAlign w:val="bottom"/>
          </w:tcPr>
          <w:p w14:paraId="1FC9D1B4">
            <w:pPr>
              <w:pStyle w:val="5"/>
              <w:jc w:val="center"/>
              <w:rPr>
                <w:szCs w:val="21"/>
              </w:rPr>
            </w:pPr>
            <w:r>
              <w:rPr>
                <w:szCs w:val="21"/>
              </w:rPr>
              <w:t>230</w:t>
            </w:r>
          </w:p>
        </w:tc>
        <w:tc>
          <w:tcPr>
            <w:tcW w:w="434" w:type="pct"/>
            <w:tcBorders>
              <w:top w:val="single" w:color="auto" w:sz="4" w:space="0"/>
            </w:tcBorders>
            <w:vAlign w:val="bottom"/>
          </w:tcPr>
          <w:p w14:paraId="1C7EADCD">
            <w:pPr>
              <w:pStyle w:val="5"/>
              <w:jc w:val="center"/>
              <w:rPr>
                <w:szCs w:val="21"/>
              </w:rPr>
            </w:pPr>
            <w:r>
              <w:rPr>
                <w:szCs w:val="21"/>
              </w:rPr>
              <w:t>85</w:t>
            </w:r>
          </w:p>
        </w:tc>
        <w:tc>
          <w:tcPr>
            <w:tcW w:w="586" w:type="pct"/>
            <w:tcBorders>
              <w:top w:val="single" w:color="auto" w:sz="4" w:space="0"/>
            </w:tcBorders>
            <w:vAlign w:val="bottom"/>
          </w:tcPr>
          <w:p w14:paraId="42DE48EB">
            <w:pPr>
              <w:pStyle w:val="5"/>
              <w:jc w:val="center"/>
              <w:rPr>
                <w:szCs w:val="21"/>
              </w:rPr>
            </w:pPr>
            <w:r>
              <w:rPr>
                <w:szCs w:val="21"/>
              </w:rPr>
              <w:t>69</w:t>
            </w:r>
          </w:p>
        </w:tc>
        <w:tc>
          <w:tcPr>
            <w:tcW w:w="647" w:type="pct"/>
            <w:tcBorders>
              <w:top w:val="single" w:color="auto" w:sz="4" w:space="0"/>
            </w:tcBorders>
            <w:vAlign w:val="bottom"/>
          </w:tcPr>
          <w:p w14:paraId="64A04918">
            <w:pPr>
              <w:pStyle w:val="5"/>
              <w:jc w:val="center"/>
              <w:rPr>
                <w:szCs w:val="21"/>
              </w:rPr>
            </w:pPr>
            <w:r>
              <w:rPr>
                <w:szCs w:val="21"/>
              </w:rPr>
              <w:t>S</w:t>
            </w:r>
          </w:p>
        </w:tc>
        <w:tc>
          <w:tcPr>
            <w:tcW w:w="731" w:type="pct"/>
            <w:tcBorders>
              <w:top w:val="single" w:color="auto" w:sz="4" w:space="0"/>
            </w:tcBorders>
            <w:vAlign w:val="bottom"/>
          </w:tcPr>
          <w:p w14:paraId="742102DE">
            <w:pPr>
              <w:pStyle w:val="5"/>
              <w:jc w:val="center"/>
              <w:rPr>
                <w:szCs w:val="21"/>
              </w:rPr>
            </w:pPr>
            <w:r>
              <w:rPr>
                <w:szCs w:val="21"/>
              </w:rPr>
              <w:t>16</w:t>
            </w:r>
          </w:p>
        </w:tc>
        <w:tc>
          <w:tcPr>
            <w:tcW w:w="358" w:type="pct"/>
            <w:tcBorders>
              <w:top w:val="single" w:color="auto" w:sz="4" w:space="0"/>
            </w:tcBorders>
            <w:vAlign w:val="bottom"/>
          </w:tcPr>
          <w:p w14:paraId="31780718">
            <w:pPr>
              <w:pStyle w:val="5"/>
              <w:jc w:val="center"/>
              <w:rPr>
                <w:szCs w:val="21"/>
              </w:rPr>
            </w:pPr>
            <w:r>
              <w:rPr>
                <w:szCs w:val="21"/>
              </w:rPr>
              <w:t>765</w:t>
            </w:r>
          </w:p>
        </w:tc>
        <w:tc>
          <w:tcPr>
            <w:tcW w:w="433" w:type="pct"/>
            <w:tcBorders>
              <w:top w:val="single" w:color="auto" w:sz="4" w:space="0"/>
            </w:tcBorders>
            <w:vAlign w:val="bottom"/>
          </w:tcPr>
          <w:p w14:paraId="64B4F4B7">
            <w:pPr>
              <w:pStyle w:val="5"/>
              <w:jc w:val="center"/>
              <w:rPr>
                <w:szCs w:val="21"/>
              </w:rPr>
            </w:pPr>
            <w:r>
              <w:rPr>
                <w:szCs w:val="21"/>
              </w:rPr>
              <w:t>1078</w:t>
            </w:r>
          </w:p>
        </w:tc>
        <w:tc>
          <w:tcPr>
            <w:tcW w:w="358" w:type="pct"/>
            <w:tcBorders>
              <w:top w:val="single" w:color="auto" w:sz="4" w:space="0"/>
            </w:tcBorders>
            <w:vAlign w:val="bottom"/>
          </w:tcPr>
          <w:p w14:paraId="0D1CF7E3">
            <w:pPr>
              <w:pStyle w:val="5"/>
              <w:jc w:val="center"/>
              <w:rPr>
                <w:szCs w:val="21"/>
              </w:rPr>
            </w:pPr>
            <w:r>
              <w:rPr>
                <w:szCs w:val="21"/>
              </w:rPr>
              <w:t>166</w:t>
            </w:r>
          </w:p>
        </w:tc>
        <w:tc>
          <w:tcPr>
            <w:tcW w:w="585" w:type="pct"/>
            <w:tcBorders>
              <w:top w:val="single" w:color="auto" w:sz="4" w:space="0"/>
            </w:tcBorders>
            <w:vAlign w:val="center"/>
          </w:tcPr>
          <w:p w14:paraId="2B5E660E">
            <w:pPr>
              <w:pStyle w:val="5"/>
              <w:jc w:val="center"/>
              <w:rPr>
                <w:szCs w:val="21"/>
              </w:rPr>
            </w:pPr>
            <w:r>
              <w:rPr>
                <w:szCs w:val="21"/>
              </w:rPr>
              <w:t>5</w:t>
            </w:r>
          </w:p>
        </w:tc>
      </w:tr>
      <w:tr w14:paraId="5AED9CE8">
        <w:tblPrEx>
          <w:tblCellMar>
            <w:top w:w="0" w:type="dxa"/>
            <w:left w:w="108" w:type="dxa"/>
            <w:bottom w:w="0" w:type="dxa"/>
            <w:right w:w="108" w:type="dxa"/>
          </w:tblCellMar>
        </w:tblPrEx>
        <w:tc>
          <w:tcPr>
            <w:tcW w:w="434" w:type="pct"/>
            <w:vAlign w:val="center"/>
          </w:tcPr>
          <w:p w14:paraId="7D5893E6">
            <w:pPr>
              <w:pStyle w:val="5"/>
              <w:jc w:val="center"/>
              <w:rPr>
                <w:rFonts w:hint="eastAsia"/>
                <w:szCs w:val="21"/>
              </w:rPr>
            </w:pPr>
            <w:r>
              <w:rPr>
                <w:rFonts w:hint="eastAsia"/>
                <w:szCs w:val="21"/>
              </w:rPr>
              <w:t>11</w:t>
            </w:r>
          </w:p>
        </w:tc>
        <w:tc>
          <w:tcPr>
            <w:tcW w:w="434" w:type="pct"/>
            <w:vAlign w:val="bottom"/>
          </w:tcPr>
          <w:p w14:paraId="4A2EDF6E">
            <w:pPr>
              <w:pStyle w:val="5"/>
              <w:jc w:val="center"/>
              <w:rPr>
                <w:szCs w:val="21"/>
              </w:rPr>
            </w:pPr>
            <w:r>
              <w:rPr>
                <w:szCs w:val="21"/>
              </w:rPr>
              <w:t>230</w:t>
            </w:r>
          </w:p>
        </w:tc>
        <w:tc>
          <w:tcPr>
            <w:tcW w:w="434" w:type="pct"/>
            <w:vAlign w:val="bottom"/>
          </w:tcPr>
          <w:p w14:paraId="033E68FD">
            <w:pPr>
              <w:pStyle w:val="5"/>
              <w:jc w:val="center"/>
              <w:rPr>
                <w:szCs w:val="21"/>
              </w:rPr>
            </w:pPr>
            <w:r>
              <w:rPr>
                <w:szCs w:val="21"/>
              </w:rPr>
              <w:t>85</w:t>
            </w:r>
          </w:p>
        </w:tc>
        <w:tc>
          <w:tcPr>
            <w:tcW w:w="586" w:type="pct"/>
            <w:vAlign w:val="bottom"/>
          </w:tcPr>
          <w:p w14:paraId="0C4E6637">
            <w:pPr>
              <w:pStyle w:val="5"/>
              <w:jc w:val="center"/>
              <w:rPr>
                <w:szCs w:val="21"/>
              </w:rPr>
            </w:pPr>
            <w:r>
              <w:rPr>
                <w:szCs w:val="21"/>
              </w:rPr>
              <w:t>61</w:t>
            </w:r>
          </w:p>
        </w:tc>
        <w:tc>
          <w:tcPr>
            <w:tcW w:w="647" w:type="pct"/>
            <w:vAlign w:val="bottom"/>
          </w:tcPr>
          <w:p w14:paraId="36B3F738">
            <w:pPr>
              <w:pStyle w:val="5"/>
              <w:jc w:val="center"/>
              <w:rPr>
                <w:szCs w:val="21"/>
              </w:rPr>
            </w:pPr>
            <w:r>
              <w:rPr>
                <w:szCs w:val="21"/>
              </w:rPr>
              <w:t>S</w:t>
            </w:r>
          </w:p>
        </w:tc>
        <w:tc>
          <w:tcPr>
            <w:tcW w:w="731" w:type="pct"/>
            <w:vAlign w:val="bottom"/>
          </w:tcPr>
          <w:p w14:paraId="311FE265">
            <w:pPr>
              <w:pStyle w:val="5"/>
              <w:jc w:val="center"/>
              <w:rPr>
                <w:szCs w:val="21"/>
              </w:rPr>
            </w:pPr>
            <w:r>
              <w:rPr>
                <w:szCs w:val="21"/>
              </w:rPr>
              <w:t>24</w:t>
            </w:r>
          </w:p>
        </w:tc>
        <w:tc>
          <w:tcPr>
            <w:tcW w:w="358" w:type="pct"/>
            <w:vAlign w:val="bottom"/>
          </w:tcPr>
          <w:p w14:paraId="2F3D1D0D">
            <w:pPr>
              <w:pStyle w:val="5"/>
              <w:jc w:val="center"/>
              <w:rPr>
                <w:szCs w:val="21"/>
              </w:rPr>
            </w:pPr>
            <w:r>
              <w:rPr>
                <w:szCs w:val="21"/>
              </w:rPr>
              <w:t>765</w:t>
            </w:r>
          </w:p>
        </w:tc>
        <w:tc>
          <w:tcPr>
            <w:tcW w:w="433" w:type="pct"/>
            <w:vAlign w:val="bottom"/>
          </w:tcPr>
          <w:p w14:paraId="569045D3">
            <w:pPr>
              <w:pStyle w:val="5"/>
              <w:jc w:val="center"/>
              <w:rPr>
                <w:szCs w:val="21"/>
              </w:rPr>
            </w:pPr>
            <w:r>
              <w:rPr>
                <w:szCs w:val="21"/>
              </w:rPr>
              <w:t>1078</w:t>
            </w:r>
          </w:p>
        </w:tc>
        <w:tc>
          <w:tcPr>
            <w:tcW w:w="358" w:type="pct"/>
            <w:vAlign w:val="bottom"/>
          </w:tcPr>
          <w:p w14:paraId="77D3A224">
            <w:pPr>
              <w:pStyle w:val="5"/>
              <w:jc w:val="center"/>
              <w:rPr>
                <w:szCs w:val="21"/>
              </w:rPr>
            </w:pPr>
            <w:r>
              <w:rPr>
                <w:szCs w:val="21"/>
              </w:rPr>
              <w:t>166</w:t>
            </w:r>
          </w:p>
        </w:tc>
        <w:tc>
          <w:tcPr>
            <w:tcW w:w="585" w:type="pct"/>
            <w:vAlign w:val="center"/>
          </w:tcPr>
          <w:p w14:paraId="0D002DE7">
            <w:pPr>
              <w:pStyle w:val="5"/>
              <w:jc w:val="center"/>
              <w:rPr>
                <w:szCs w:val="21"/>
              </w:rPr>
            </w:pPr>
            <w:r>
              <w:rPr>
                <w:szCs w:val="21"/>
              </w:rPr>
              <w:t>5.5</w:t>
            </w:r>
          </w:p>
        </w:tc>
      </w:tr>
      <w:tr w14:paraId="59493595">
        <w:tblPrEx>
          <w:tblCellMar>
            <w:top w:w="0" w:type="dxa"/>
            <w:left w:w="108" w:type="dxa"/>
            <w:bottom w:w="0" w:type="dxa"/>
            <w:right w:w="108" w:type="dxa"/>
          </w:tblCellMar>
        </w:tblPrEx>
        <w:tc>
          <w:tcPr>
            <w:tcW w:w="434" w:type="pct"/>
            <w:vAlign w:val="center"/>
          </w:tcPr>
          <w:p w14:paraId="68A94DA4">
            <w:pPr>
              <w:pStyle w:val="5"/>
              <w:jc w:val="center"/>
              <w:rPr>
                <w:rFonts w:hint="eastAsia"/>
                <w:szCs w:val="21"/>
              </w:rPr>
            </w:pPr>
            <w:r>
              <w:rPr>
                <w:rFonts w:hint="eastAsia"/>
                <w:szCs w:val="21"/>
              </w:rPr>
              <w:t>12</w:t>
            </w:r>
          </w:p>
        </w:tc>
        <w:tc>
          <w:tcPr>
            <w:tcW w:w="434" w:type="pct"/>
            <w:vAlign w:val="bottom"/>
          </w:tcPr>
          <w:p w14:paraId="421472DB">
            <w:pPr>
              <w:pStyle w:val="5"/>
              <w:jc w:val="center"/>
              <w:rPr>
                <w:szCs w:val="21"/>
              </w:rPr>
            </w:pPr>
            <w:r>
              <w:rPr>
                <w:szCs w:val="21"/>
              </w:rPr>
              <w:t>230</w:t>
            </w:r>
          </w:p>
        </w:tc>
        <w:tc>
          <w:tcPr>
            <w:tcW w:w="434" w:type="pct"/>
            <w:vAlign w:val="bottom"/>
          </w:tcPr>
          <w:p w14:paraId="25871314">
            <w:pPr>
              <w:pStyle w:val="5"/>
              <w:jc w:val="center"/>
              <w:rPr>
                <w:szCs w:val="21"/>
              </w:rPr>
            </w:pPr>
            <w:r>
              <w:rPr>
                <w:szCs w:val="21"/>
              </w:rPr>
              <w:t>85</w:t>
            </w:r>
          </w:p>
        </w:tc>
        <w:tc>
          <w:tcPr>
            <w:tcW w:w="586" w:type="pct"/>
            <w:vAlign w:val="bottom"/>
          </w:tcPr>
          <w:p w14:paraId="49F39FBC">
            <w:pPr>
              <w:pStyle w:val="5"/>
              <w:jc w:val="center"/>
              <w:rPr>
                <w:szCs w:val="21"/>
              </w:rPr>
            </w:pPr>
            <w:r>
              <w:rPr>
                <w:szCs w:val="21"/>
              </w:rPr>
              <w:t>53</w:t>
            </w:r>
          </w:p>
        </w:tc>
        <w:tc>
          <w:tcPr>
            <w:tcW w:w="647" w:type="pct"/>
            <w:vAlign w:val="bottom"/>
          </w:tcPr>
          <w:p w14:paraId="2243D55A">
            <w:pPr>
              <w:pStyle w:val="5"/>
              <w:jc w:val="center"/>
              <w:rPr>
                <w:szCs w:val="21"/>
              </w:rPr>
            </w:pPr>
            <w:r>
              <w:rPr>
                <w:szCs w:val="21"/>
              </w:rPr>
              <w:t>S</w:t>
            </w:r>
          </w:p>
        </w:tc>
        <w:tc>
          <w:tcPr>
            <w:tcW w:w="731" w:type="pct"/>
            <w:vAlign w:val="bottom"/>
          </w:tcPr>
          <w:p w14:paraId="1F5CA04F">
            <w:pPr>
              <w:pStyle w:val="5"/>
              <w:jc w:val="center"/>
              <w:rPr>
                <w:szCs w:val="21"/>
              </w:rPr>
            </w:pPr>
            <w:r>
              <w:rPr>
                <w:szCs w:val="21"/>
              </w:rPr>
              <w:t>32</w:t>
            </w:r>
          </w:p>
        </w:tc>
        <w:tc>
          <w:tcPr>
            <w:tcW w:w="358" w:type="pct"/>
            <w:vAlign w:val="bottom"/>
          </w:tcPr>
          <w:p w14:paraId="3F7EBC88">
            <w:pPr>
              <w:pStyle w:val="5"/>
              <w:jc w:val="center"/>
              <w:rPr>
                <w:szCs w:val="21"/>
              </w:rPr>
            </w:pPr>
            <w:r>
              <w:rPr>
                <w:szCs w:val="21"/>
              </w:rPr>
              <w:t>765</w:t>
            </w:r>
          </w:p>
        </w:tc>
        <w:tc>
          <w:tcPr>
            <w:tcW w:w="433" w:type="pct"/>
            <w:vAlign w:val="bottom"/>
          </w:tcPr>
          <w:p w14:paraId="7C139255">
            <w:pPr>
              <w:pStyle w:val="5"/>
              <w:jc w:val="center"/>
              <w:rPr>
                <w:szCs w:val="21"/>
              </w:rPr>
            </w:pPr>
            <w:r>
              <w:rPr>
                <w:szCs w:val="21"/>
              </w:rPr>
              <w:t>1078</w:t>
            </w:r>
          </w:p>
        </w:tc>
        <w:tc>
          <w:tcPr>
            <w:tcW w:w="358" w:type="pct"/>
            <w:vAlign w:val="bottom"/>
          </w:tcPr>
          <w:p w14:paraId="15E1BA6C">
            <w:pPr>
              <w:pStyle w:val="5"/>
              <w:jc w:val="center"/>
              <w:rPr>
                <w:szCs w:val="21"/>
              </w:rPr>
            </w:pPr>
            <w:r>
              <w:rPr>
                <w:szCs w:val="21"/>
              </w:rPr>
              <w:t>166</w:t>
            </w:r>
          </w:p>
        </w:tc>
        <w:tc>
          <w:tcPr>
            <w:tcW w:w="585" w:type="pct"/>
            <w:vAlign w:val="center"/>
          </w:tcPr>
          <w:p w14:paraId="0FB9784F">
            <w:pPr>
              <w:pStyle w:val="5"/>
              <w:jc w:val="center"/>
              <w:rPr>
                <w:szCs w:val="21"/>
              </w:rPr>
            </w:pPr>
            <w:r>
              <w:rPr>
                <w:szCs w:val="21"/>
              </w:rPr>
              <w:t>5.7</w:t>
            </w:r>
          </w:p>
        </w:tc>
      </w:tr>
      <w:tr w14:paraId="597A0A1F">
        <w:tblPrEx>
          <w:tblCellMar>
            <w:top w:w="0" w:type="dxa"/>
            <w:left w:w="108" w:type="dxa"/>
            <w:bottom w:w="0" w:type="dxa"/>
            <w:right w:w="108" w:type="dxa"/>
          </w:tblCellMar>
        </w:tblPrEx>
        <w:tc>
          <w:tcPr>
            <w:tcW w:w="434" w:type="pct"/>
            <w:tcBorders>
              <w:bottom w:val="single" w:color="auto" w:sz="12" w:space="0"/>
            </w:tcBorders>
            <w:vAlign w:val="center"/>
          </w:tcPr>
          <w:p w14:paraId="68996886">
            <w:pPr>
              <w:pStyle w:val="5"/>
              <w:jc w:val="center"/>
              <w:rPr>
                <w:rFonts w:hint="eastAsia"/>
                <w:szCs w:val="21"/>
              </w:rPr>
            </w:pPr>
            <w:r>
              <w:rPr>
                <w:rFonts w:hint="eastAsia"/>
                <w:szCs w:val="21"/>
              </w:rPr>
              <w:t>13</w:t>
            </w:r>
          </w:p>
        </w:tc>
        <w:tc>
          <w:tcPr>
            <w:tcW w:w="434" w:type="pct"/>
            <w:tcBorders>
              <w:bottom w:val="single" w:color="auto" w:sz="12" w:space="0"/>
            </w:tcBorders>
            <w:vAlign w:val="bottom"/>
          </w:tcPr>
          <w:p w14:paraId="604BBCE3">
            <w:pPr>
              <w:pStyle w:val="5"/>
              <w:jc w:val="center"/>
              <w:rPr>
                <w:szCs w:val="21"/>
              </w:rPr>
            </w:pPr>
            <w:r>
              <w:rPr>
                <w:szCs w:val="21"/>
              </w:rPr>
              <w:t>230</w:t>
            </w:r>
          </w:p>
        </w:tc>
        <w:tc>
          <w:tcPr>
            <w:tcW w:w="434" w:type="pct"/>
            <w:tcBorders>
              <w:bottom w:val="single" w:color="auto" w:sz="12" w:space="0"/>
            </w:tcBorders>
            <w:vAlign w:val="bottom"/>
          </w:tcPr>
          <w:p w14:paraId="549A32FF">
            <w:pPr>
              <w:pStyle w:val="5"/>
              <w:jc w:val="center"/>
              <w:rPr>
                <w:szCs w:val="21"/>
              </w:rPr>
            </w:pPr>
            <w:r>
              <w:rPr>
                <w:szCs w:val="21"/>
              </w:rPr>
              <w:t>85</w:t>
            </w:r>
          </w:p>
        </w:tc>
        <w:tc>
          <w:tcPr>
            <w:tcW w:w="586" w:type="pct"/>
            <w:tcBorders>
              <w:bottom w:val="single" w:color="auto" w:sz="12" w:space="0"/>
            </w:tcBorders>
            <w:vAlign w:val="bottom"/>
          </w:tcPr>
          <w:p w14:paraId="3AA33502">
            <w:pPr>
              <w:pStyle w:val="5"/>
              <w:jc w:val="center"/>
              <w:rPr>
                <w:szCs w:val="21"/>
              </w:rPr>
            </w:pPr>
            <w:r>
              <w:rPr>
                <w:szCs w:val="21"/>
              </w:rPr>
              <w:t>45</w:t>
            </w:r>
          </w:p>
        </w:tc>
        <w:tc>
          <w:tcPr>
            <w:tcW w:w="647" w:type="pct"/>
            <w:tcBorders>
              <w:bottom w:val="single" w:color="auto" w:sz="12" w:space="0"/>
            </w:tcBorders>
            <w:vAlign w:val="bottom"/>
          </w:tcPr>
          <w:p w14:paraId="2235556F">
            <w:pPr>
              <w:pStyle w:val="5"/>
              <w:jc w:val="center"/>
              <w:rPr>
                <w:szCs w:val="21"/>
              </w:rPr>
            </w:pPr>
            <w:r>
              <w:rPr>
                <w:szCs w:val="21"/>
              </w:rPr>
              <w:t>S</w:t>
            </w:r>
          </w:p>
        </w:tc>
        <w:tc>
          <w:tcPr>
            <w:tcW w:w="731" w:type="pct"/>
            <w:tcBorders>
              <w:bottom w:val="single" w:color="auto" w:sz="12" w:space="0"/>
            </w:tcBorders>
            <w:vAlign w:val="bottom"/>
          </w:tcPr>
          <w:p w14:paraId="731B56A4">
            <w:pPr>
              <w:pStyle w:val="5"/>
              <w:jc w:val="center"/>
              <w:rPr>
                <w:szCs w:val="21"/>
              </w:rPr>
            </w:pPr>
            <w:r>
              <w:rPr>
                <w:szCs w:val="21"/>
              </w:rPr>
              <w:t>40</w:t>
            </w:r>
          </w:p>
        </w:tc>
        <w:tc>
          <w:tcPr>
            <w:tcW w:w="358" w:type="pct"/>
            <w:tcBorders>
              <w:bottom w:val="single" w:color="auto" w:sz="12" w:space="0"/>
            </w:tcBorders>
            <w:vAlign w:val="bottom"/>
          </w:tcPr>
          <w:p w14:paraId="7AD7D12E">
            <w:pPr>
              <w:pStyle w:val="5"/>
              <w:jc w:val="center"/>
              <w:rPr>
                <w:szCs w:val="21"/>
              </w:rPr>
            </w:pPr>
            <w:r>
              <w:rPr>
                <w:szCs w:val="21"/>
              </w:rPr>
              <w:t>765</w:t>
            </w:r>
          </w:p>
        </w:tc>
        <w:tc>
          <w:tcPr>
            <w:tcW w:w="433" w:type="pct"/>
            <w:tcBorders>
              <w:bottom w:val="single" w:color="auto" w:sz="12" w:space="0"/>
            </w:tcBorders>
            <w:vAlign w:val="bottom"/>
          </w:tcPr>
          <w:p w14:paraId="4480B870">
            <w:pPr>
              <w:pStyle w:val="5"/>
              <w:jc w:val="center"/>
              <w:rPr>
                <w:szCs w:val="21"/>
              </w:rPr>
            </w:pPr>
            <w:r>
              <w:rPr>
                <w:szCs w:val="21"/>
              </w:rPr>
              <w:t>1078</w:t>
            </w:r>
          </w:p>
        </w:tc>
        <w:tc>
          <w:tcPr>
            <w:tcW w:w="358" w:type="pct"/>
            <w:tcBorders>
              <w:bottom w:val="single" w:color="auto" w:sz="12" w:space="0"/>
            </w:tcBorders>
            <w:vAlign w:val="bottom"/>
          </w:tcPr>
          <w:p w14:paraId="19307BBA">
            <w:pPr>
              <w:pStyle w:val="5"/>
              <w:jc w:val="center"/>
              <w:rPr>
                <w:szCs w:val="21"/>
              </w:rPr>
            </w:pPr>
            <w:r>
              <w:rPr>
                <w:szCs w:val="21"/>
              </w:rPr>
              <w:t>166</w:t>
            </w:r>
          </w:p>
        </w:tc>
        <w:tc>
          <w:tcPr>
            <w:tcW w:w="585" w:type="pct"/>
            <w:tcBorders>
              <w:bottom w:val="single" w:color="auto" w:sz="12" w:space="0"/>
            </w:tcBorders>
            <w:vAlign w:val="center"/>
          </w:tcPr>
          <w:p w14:paraId="74075CA5">
            <w:pPr>
              <w:pStyle w:val="5"/>
              <w:jc w:val="center"/>
              <w:rPr>
                <w:szCs w:val="21"/>
              </w:rPr>
            </w:pPr>
            <w:r>
              <w:rPr>
                <w:szCs w:val="21"/>
              </w:rPr>
              <w:t>5.8</w:t>
            </w:r>
          </w:p>
        </w:tc>
      </w:tr>
    </w:tbl>
    <w:p w14:paraId="3D11B297">
      <w:pPr>
        <w:pStyle w:val="5"/>
        <w:spacing w:before="156" w:beforeLines="50" w:line="360" w:lineRule="auto"/>
        <w:ind w:firstLine="420"/>
        <w:rPr>
          <w:sz w:val="24"/>
        </w:rPr>
      </w:pPr>
      <w:r>
        <w:rPr>
          <w:sz w:val="24"/>
        </w:rPr>
        <w:t>混凝土限制膨胀</w:t>
      </w:r>
      <w:r>
        <w:rPr>
          <w:rFonts w:hint="eastAsia"/>
          <w:sz w:val="24"/>
        </w:rPr>
        <w:t>率</w:t>
      </w:r>
      <w:r>
        <w:rPr>
          <w:sz w:val="24"/>
        </w:rPr>
        <w:t>试件</w:t>
      </w:r>
      <w:r>
        <w:rPr>
          <w:rFonts w:hint="eastAsia"/>
          <w:sz w:val="24"/>
        </w:rPr>
        <w:t>脱模</w:t>
      </w:r>
      <w:r>
        <w:rPr>
          <w:sz w:val="24"/>
        </w:rPr>
        <w:t>测试初始长度后，试件分别放置在20</w:t>
      </w:r>
      <w:r>
        <w:rPr>
          <w:rFonts w:hint="eastAsia"/>
          <w:sz w:val="24"/>
        </w:rPr>
        <w:t>℃</w:t>
      </w:r>
      <w:r>
        <w:rPr>
          <w:sz w:val="24"/>
        </w:rPr>
        <w:t>±2</w:t>
      </w:r>
      <w:r>
        <w:rPr>
          <w:rFonts w:hint="eastAsia"/>
          <w:sz w:val="24"/>
        </w:rPr>
        <w:t>℃</w:t>
      </w:r>
      <w:r>
        <w:rPr>
          <w:sz w:val="24"/>
        </w:rPr>
        <w:t>、40</w:t>
      </w:r>
      <w:r>
        <w:rPr>
          <w:rFonts w:hint="eastAsia"/>
          <w:sz w:val="24"/>
        </w:rPr>
        <w:t>℃</w:t>
      </w:r>
      <w:r>
        <w:rPr>
          <w:sz w:val="24"/>
        </w:rPr>
        <w:t>±2</w:t>
      </w:r>
      <w:r>
        <w:rPr>
          <w:rFonts w:hint="eastAsia"/>
          <w:sz w:val="24"/>
        </w:rPr>
        <w:t>℃</w:t>
      </w:r>
      <w:r>
        <w:rPr>
          <w:sz w:val="24"/>
        </w:rPr>
        <w:t>的恒温水槽中养护至测试龄期</w:t>
      </w:r>
      <w:r>
        <w:rPr>
          <w:rFonts w:hint="eastAsia"/>
          <w:sz w:val="24"/>
        </w:rPr>
        <w:t>。</w:t>
      </w:r>
      <w:r>
        <w:rPr>
          <w:sz w:val="24"/>
        </w:rPr>
        <w:t>到达规定龄期后</w:t>
      </w:r>
      <w:r>
        <w:rPr>
          <w:rFonts w:hint="eastAsia"/>
          <w:sz w:val="24"/>
        </w:rPr>
        <w:t>，</w:t>
      </w:r>
      <w:r>
        <w:rPr>
          <w:sz w:val="24"/>
        </w:rPr>
        <w:t>40</w:t>
      </w:r>
      <w:r>
        <w:rPr>
          <w:rFonts w:hint="eastAsia"/>
          <w:sz w:val="24"/>
        </w:rPr>
        <w:t>℃</w:t>
      </w:r>
      <w:r>
        <w:rPr>
          <w:sz w:val="24"/>
        </w:rPr>
        <w:t>±2</w:t>
      </w:r>
      <w:r>
        <w:rPr>
          <w:rFonts w:hint="eastAsia"/>
          <w:sz w:val="24"/>
        </w:rPr>
        <w:t>℃养护的试件</w:t>
      </w:r>
      <w:r>
        <w:rPr>
          <w:sz w:val="24"/>
        </w:rPr>
        <w:t>在测量前6h从水槽中取出，放入标准养护室（温度为20℃±2℃，相对湿度为＞95%）中冷却至20℃±2℃后，转入恒温恒湿室进行测长</w:t>
      </w:r>
      <w:r>
        <w:rPr>
          <w:rFonts w:hint="eastAsia"/>
          <w:sz w:val="24"/>
        </w:rPr>
        <w:t>。</w:t>
      </w:r>
    </w:p>
    <w:p w14:paraId="2BB507A8">
      <w:pPr>
        <w:spacing w:after="240" w:line="360" w:lineRule="auto"/>
        <w:ind w:firstLine="480"/>
        <w:rPr>
          <w:color w:val="000000" w:themeColor="text1"/>
          <w:sz w:val="24"/>
          <w14:textFill>
            <w14:solidFill>
              <w14:schemeClr w14:val="tx1"/>
            </w14:solidFill>
          </w14:textFill>
        </w:rPr>
      </w:pPr>
      <w:r>
        <w:rPr>
          <w:color w:val="000000" w:themeColor="text1"/>
          <w:sz w:val="24"/>
          <w14:textFill>
            <w14:solidFill>
              <w14:schemeClr w14:val="tx1"/>
            </w14:solidFill>
          </w14:textFill>
        </w:rPr>
        <w:t>掺M型</w:t>
      </w:r>
      <w:r>
        <w:rPr>
          <w:rFonts w:hint="eastAsia"/>
          <w:color w:val="000000" w:themeColor="text1"/>
          <w:sz w:val="24"/>
          <w14:textFill>
            <w14:solidFill>
              <w14:schemeClr w14:val="tx1"/>
            </w14:solidFill>
          </w14:textFill>
        </w:rPr>
        <w:t>氧化镁</w:t>
      </w:r>
      <w:r>
        <w:rPr>
          <w:color w:val="000000" w:themeColor="text1"/>
          <w:sz w:val="24"/>
          <w14:textFill>
            <w14:solidFill>
              <w14:schemeClr w14:val="tx1"/>
            </w14:solidFill>
          </w14:textFill>
        </w:rPr>
        <w:t>膨胀剂的混凝土</w:t>
      </w:r>
      <w:r>
        <w:rPr>
          <w:rFonts w:hint="eastAsia"/>
          <w:color w:val="000000" w:themeColor="text1"/>
          <w:sz w:val="24"/>
          <w14:textFill>
            <w14:solidFill>
              <w14:schemeClr w14:val="tx1"/>
            </w14:solidFill>
          </w14:textFill>
        </w:rPr>
        <w:t>限制</w:t>
      </w:r>
      <w:r>
        <w:rPr>
          <w:color w:val="000000" w:themeColor="text1"/>
          <w:sz w:val="24"/>
          <w14:textFill>
            <w14:solidFill>
              <w14:schemeClr w14:val="tx1"/>
            </w14:solidFill>
          </w14:textFill>
        </w:rPr>
        <w:t>膨胀率</w:t>
      </w:r>
      <w:r>
        <w:rPr>
          <w:rFonts w:hint="eastAsia"/>
          <w:color w:val="000000" w:themeColor="text1"/>
          <w:sz w:val="24"/>
          <w14:textFill>
            <w14:solidFill>
              <w14:schemeClr w14:val="tx1"/>
            </w14:solidFill>
          </w14:textFill>
        </w:rPr>
        <w:t>测试结果见图3.1-1。可以看出</w:t>
      </w:r>
      <w:r>
        <w:rPr>
          <w:color w:val="000000" w:themeColor="text1"/>
          <w:sz w:val="24"/>
          <w14:textFill>
            <w14:solidFill>
              <w14:schemeClr w14:val="tx1"/>
            </w14:solidFill>
          </w14:textFill>
        </w:rPr>
        <w:t>，随</w:t>
      </w:r>
      <w:r>
        <w:rPr>
          <w:rFonts w:hint="eastAsia"/>
          <w:color w:val="000000" w:themeColor="text1"/>
          <w:sz w:val="24"/>
          <w14:textFill>
            <w14:solidFill>
              <w14:schemeClr w14:val="tx1"/>
            </w14:solidFill>
          </w14:textFill>
        </w:rPr>
        <w:t>着</w:t>
      </w:r>
      <w:r>
        <w:rPr>
          <w:color w:val="000000" w:themeColor="text1"/>
          <w:sz w:val="24"/>
          <w14:textFill>
            <w14:solidFill>
              <w14:schemeClr w14:val="tx1"/>
            </w14:solidFill>
          </w14:textFill>
        </w:rPr>
        <w:t>龄期</w:t>
      </w:r>
      <w:r>
        <w:rPr>
          <w:rFonts w:hint="eastAsia"/>
          <w:color w:val="000000" w:themeColor="text1"/>
          <w:sz w:val="24"/>
          <w14:textFill>
            <w14:solidFill>
              <w14:schemeClr w14:val="tx1"/>
            </w14:solidFill>
          </w14:textFill>
        </w:rPr>
        <w:t>增长</w:t>
      </w:r>
      <w:r>
        <w:rPr>
          <w:color w:val="000000" w:themeColor="text1"/>
          <w:sz w:val="24"/>
          <w14:textFill>
            <w14:solidFill>
              <w14:schemeClr w14:val="tx1"/>
            </w14:solidFill>
          </w14:textFill>
        </w:rPr>
        <w:t>，</w:t>
      </w:r>
      <w:r>
        <w:rPr>
          <w:rFonts w:hint="eastAsia"/>
          <w:color w:val="000000" w:themeColor="text1"/>
          <w:sz w:val="24"/>
          <w14:textFill>
            <w14:solidFill>
              <w14:schemeClr w14:val="tx1"/>
            </w14:solidFill>
          </w14:textFill>
        </w:rPr>
        <w:t>混凝土的限制膨胀率持续增长，未出现倒缩现象。</w:t>
      </w:r>
      <w:r>
        <w:rPr>
          <w:color w:val="000000" w:themeColor="text1"/>
          <w:sz w:val="24"/>
          <w14:textFill>
            <w14:solidFill>
              <w14:schemeClr w14:val="tx1"/>
            </w14:solidFill>
          </w14:textFill>
        </w:rPr>
        <w:t>随着</w:t>
      </w:r>
      <w:r>
        <w:rPr>
          <w:rFonts w:hint="eastAsia"/>
          <w:color w:val="000000" w:themeColor="text1"/>
          <w:sz w:val="24"/>
          <w14:textFill>
            <w14:solidFill>
              <w14:schemeClr w14:val="tx1"/>
            </w14:solidFill>
          </w14:textFill>
        </w:rPr>
        <w:t>氧化镁</w:t>
      </w:r>
      <w:r>
        <w:rPr>
          <w:color w:val="000000" w:themeColor="text1"/>
          <w:sz w:val="24"/>
          <w14:textFill>
            <w14:solidFill>
              <w14:schemeClr w14:val="tx1"/>
            </w14:solidFill>
          </w14:textFill>
        </w:rPr>
        <w:t>膨胀剂掺量的增加，混凝土试件膨胀率也逐渐增大</w:t>
      </w:r>
      <w:r>
        <w:rPr>
          <w:rFonts w:hint="eastAsia"/>
          <w:color w:val="000000" w:themeColor="text1"/>
          <w:sz w:val="24"/>
          <w14:textFill>
            <w14:solidFill>
              <w14:schemeClr w14:val="tx1"/>
            </w14:solidFill>
          </w14:textFill>
        </w:rPr>
        <w:t>。与</w:t>
      </w:r>
      <w:r>
        <w:rPr>
          <w:color w:val="000000" w:themeColor="text1"/>
          <w:sz w:val="24"/>
          <w14:textFill>
            <w14:solidFill>
              <w14:schemeClr w14:val="tx1"/>
            </w14:solidFill>
          </w14:textFill>
        </w:rPr>
        <w:t>20</w:t>
      </w:r>
      <w:r>
        <w:rPr>
          <w:rFonts w:hint="eastAsia"/>
          <w:color w:val="000000" w:themeColor="text1"/>
          <w:sz w:val="24"/>
          <w14:textFill>
            <w14:solidFill>
              <w14:schemeClr w14:val="tx1"/>
            </w14:solidFill>
          </w14:textFill>
        </w:rPr>
        <w:t>℃</w:t>
      </w:r>
      <w:r>
        <w:rPr>
          <w:color w:val="000000" w:themeColor="text1"/>
          <w:sz w:val="24"/>
          <w14:textFill>
            <w14:solidFill>
              <w14:schemeClr w14:val="tx1"/>
            </w14:solidFill>
          </w14:textFill>
        </w:rPr>
        <w:t>水养</w:t>
      </w:r>
      <w:r>
        <w:rPr>
          <w:rFonts w:hint="eastAsia"/>
          <w:color w:val="000000" w:themeColor="text1"/>
          <w:sz w:val="24"/>
          <w14:textFill>
            <w14:solidFill>
              <w14:schemeClr w14:val="tx1"/>
            </w14:solidFill>
          </w14:textFill>
        </w:rPr>
        <w:t>相比，</w:t>
      </w:r>
      <w:r>
        <w:rPr>
          <w:color w:val="000000" w:themeColor="text1"/>
          <w:sz w:val="24"/>
          <w14:textFill>
            <w14:solidFill>
              <w14:schemeClr w14:val="tx1"/>
            </w14:solidFill>
          </w14:textFill>
        </w:rPr>
        <w:t>40</w:t>
      </w:r>
      <w:r>
        <w:rPr>
          <w:rFonts w:hint="eastAsia"/>
          <w:color w:val="000000" w:themeColor="text1"/>
          <w:sz w:val="24"/>
          <w14:textFill>
            <w14:solidFill>
              <w14:schemeClr w14:val="tx1"/>
            </w14:solidFill>
          </w14:textFill>
        </w:rPr>
        <w:t>℃</w:t>
      </w:r>
      <w:r>
        <w:rPr>
          <w:color w:val="000000" w:themeColor="text1"/>
          <w:sz w:val="24"/>
          <w14:textFill>
            <w14:solidFill>
              <w14:schemeClr w14:val="tx1"/>
            </w14:solidFill>
          </w14:textFill>
        </w:rPr>
        <w:t>条件下</w:t>
      </w:r>
      <w:r>
        <w:rPr>
          <w:rFonts w:hint="eastAsia"/>
          <w:color w:val="000000" w:themeColor="text1"/>
          <w:sz w:val="24"/>
          <w14:textFill>
            <w14:solidFill>
              <w14:schemeClr w14:val="tx1"/>
            </w14:solidFill>
          </w14:textFill>
        </w:rPr>
        <w:t>混凝土限膨胀率增大。</w:t>
      </w:r>
      <w:r>
        <w:rPr>
          <w:color w:val="000000" w:themeColor="text1"/>
          <w:sz w:val="24"/>
          <w14:textFill>
            <w14:solidFill>
              <w14:schemeClr w14:val="tx1"/>
            </w14:solidFill>
          </w14:textFill>
        </w:rPr>
        <w:t>掺</w:t>
      </w:r>
      <w:r>
        <w:rPr>
          <w:rFonts w:hint="eastAsia"/>
          <w:color w:val="000000" w:themeColor="text1"/>
          <w:sz w:val="24"/>
          <w14:textFill>
            <w14:solidFill>
              <w14:schemeClr w14:val="tx1"/>
            </w14:solidFill>
          </w14:textFill>
        </w:rPr>
        <w:t>量</w:t>
      </w:r>
      <w:r>
        <w:rPr>
          <w:color w:val="000000" w:themeColor="text1"/>
          <w:sz w:val="24"/>
          <w14:textFill>
            <w14:solidFill>
              <w14:schemeClr w14:val="tx1"/>
            </w14:solidFill>
          </w14:textFill>
        </w:rPr>
        <w:t xml:space="preserve">6% </w:t>
      </w:r>
      <w:r>
        <w:rPr>
          <w:rFonts w:hint="eastAsia"/>
          <w:color w:val="000000" w:themeColor="text1"/>
          <w:sz w:val="24"/>
          <w14:textFill>
            <w14:solidFill>
              <w14:schemeClr w14:val="tx1"/>
            </w14:solidFill>
          </w14:textFill>
        </w:rPr>
        <w:t>时，掺氧化镁膨胀剂混凝土的限制膨胀率可以达到0.02%。</w:t>
      </w:r>
    </w:p>
    <w:p w14:paraId="4C19163A">
      <w:pPr>
        <w:pStyle w:val="40"/>
        <w:jc w:val="both"/>
        <w:rPr>
          <w:rFonts w:eastAsia="Times New Roman"/>
          <w:iCs/>
          <w:color w:val="000000" w:themeColor="text1"/>
          <w:spacing w:val="15"/>
          <w:kern w:val="0"/>
          <w14:textFill>
            <w14:solidFill>
              <w14:schemeClr w14:val="tx1"/>
            </w14:solidFill>
          </w14:textFill>
        </w:rPr>
      </w:pPr>
      <w:r>
        <w:drawing>
          <wp:inline distT="0" distB="0" distL="0" distR="0">
            <wp:extent cx="2555240" cy="1925320"/>
            <wp:effectExtent l="0" t="0" r="0" b="0"/>
            <wp:docPr id="39976103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761039" name="图片 7"/>
                    <pic:cNvPicPr>
                      <a:picLocks noChangeAspect="1" noChangeArrowheads="1"/>
                    </pic:cNvPicPr>
                  </pic:nvPicPr>
                  <pic:blipFill>
                    <a:blip r:embed="rId21">
                      <a:extLst>
                        <a:ext uri="{28A0092B-C50C-407E-A947-70E740481C1C}">
                          <a14:useLocalDpi xmlns:a14="http://schemas.microsoft.com/office/drawing/2010/main" val="0"/>
                        </a:ext>
                      </a:extLst>
                    </a:blip>
                    <a:srcRect l="9404" t="9180" r="13074" b="6885"/>
                    <a:stretch>
                      <a:fillRect/>
                    </a:stretch>
                  </pic:blipFill>
                  <pic:spPr>
                    <a:xfrm>
                      <a:off x="0" y="0"/>
                      <a:ext cx="2558231" cy="1927597"/>
                    </a:xfrm>
                    <a:prstGeom prst="rect">
                      <a:avLst/>
                    </a:prstGeom>
                    <a:noFill/>
                    <a:ln>
                      <a:noFill/>
                    </a:ln>
                  </pic:spPr>
                </pic:pic>
              </a:graphicData>
            </a:graphic>
          </wp:inline>
        </w:drawing>
      </w:r>
      <w:r>
        <w:t xml:space="preserve">  </w:t>
      </w:r>
      <w:r>
        <w:drawing>
          <wp:inline distT="0" distB="0" distL="0" distR="0">
            <wp:extent cx="2497455" cy="1881505"/>
            <wp:effectExtent l="0" t="0" r="0" b="4445"/>
            <wp:docPr id="153025014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250144" name="图片 6"/>
                    <pic:cNvPicPr>
                      <a:picLocks noChangeAspect="1" noChangeArrowheads="1"/>
                    </pic:cNvPicPr>
                  </pic:nvPicPr>
                  <pic:blipFill>
                    <a:blip r:embed="rId22">
                      <a:extLst>
                        <a:ext uri="{28A0092B-C50C-407E-A947-70E740481C1C}">
                          <a14:useLocalDpi xmlns:a14="http://schemas.microsoft.com/office/drawing/2010/main" val="0"/>
                        </a:ext>
                      </a:extLst>
                    </a:blip>
                    <a:srcRect l="9633" t="9180" r="12843" b="6885"/>
                    <a:stretch>
                      <a:fillRect/>
                    </a:stretch>
                  </pic:blipFill>
                  <pic:spPr>
                    <a:xfrm>
                      <a:off x="0" y="0"/>
                      <a:ext cx="2498854" cy="1882857"/>
                    </a:xfrm>
                    <a:prstGeom prst="rect">
                      <a:avLst/>
                    </a:prstGeom>
                    <a:noFill/>
                    <a:ln>
                      <a:noFill/>
                    </a:ln>
                  </pic:spPr>
                </pic:pic>
              </a:graphicData>
            </a:graphic>
          </wp:inline>
        </w:drawing>
      </w:r>
    </w:p>
    <w:p w14:paraId="79769891">
      <w:pPr>
        <w:pStyle w:val="40"/>
        <w:numPr>
          <w:ilvl w:val="0"/>
          <w:numId w:val="4"/>
        </w:numPr>
        <w:spacing w:line="360" w:lineRule="auto"/>
      </w:pPr>
      <w:r>
        <w:t>20</w:t>
      </w:r>
      <w:r>
        <w:rPr>
          <w:rFonts w:hint="eastAsia" w:ascii="宋体" w:hAnsi="宋体" w:cs="宋体"/>
        </w:rPr>
        <w:t>℃</w:t>
      </w:r>
      <w:r>
        <w:t>水养                          (b)</w:t>
      </w:r>
      <w:r>
        <w:rPr>
          <w:rFonts w:hint="eastAsia"/>
        </w:rPr>
        <w:t xml:space="preserve"> </w:t>
      </w:r>
      <w:r>
        <w:t>40</w:t>
      </w:r>
      <w:r>
        <w:rPr>
          <w:rFonts w:hint="eastAsia" w:ascii="宋体" w:hAnsi="宋体" w:cs="宋体"/>
        </w:rPr>
        <w:t>℃</w:t>
      </w:r>
      <w:r>
        <w:t>水养</w:t>
      </w:r>
    </w:p>
    <w:p w14:paraId="55C7E949">
      <w:pPr>
        <w:pStyle w:val="40"/>
        <w:spacing w:line="360" w:lineRule="auto"/>
      </w:pPr>
      <w:r>
        <w:t>图</w:t>
      </w:r>
      <w:r>
        <w:rPr>
          <w:rFonts w:hint="eastAsia"/>
        </w:rPr>
        <w:t>3.1-1</w:t>
      </w:r>
      <w:r>
        <w:rPr>
          <w:color w:val="FF0000"/>
        </w:rPr>
        <w:t xml:space="preserve"> </w:t>
      </w:r>
      <w:r>
        <w:rPr>
          <w:rFonts w:hint="eastAsia"/>
        </w:rPr>
        <w:t xml:space="preserve"> 掺M型氧化镁膨胀剂</w:t>
      </w:r>
      <w:r>
        <w:t>混凝土限制膨胀</w:t>
      </w:r>
    </w:p>
    <w:p w14:paraId="45CF4A66">
      <w:pPr>
        <w:pStyle w:val="39"/>
        <w:spacing w:line="360" w:lineRule="auto"/>
        <w:jc w:val="both"/>
        <w:rPr>
          <w:color w:val="000000" w:themeColor="text1"/>
          <w:sz w:val="24"/>
          <w14:textFill>
            <w14:solidFill>
              <w14:schemeClr w14:val="tx1"/>
            </w14:solidFill>
          </w14:textFill>
        </w:rPr>
      </w:pPr>
      <w:r>
        <w:rPr>
          <w:rFonts w:hint="eastAsia"/>
        </w:rPr>
        <w:t xml:space="preserve">    </w:t>
      </w:r>
      <w:r>
        <w:rPr>
          <w:rFonts w:hint="eastAsia"/>
          <w:sz w:val="24"/>
        </w:rPr>
        <w:t>掺量固定6%时，掺不同活性氧化镁膨胀剂混凝土限制膨胀率测试结果见图3.1-2。可以看出，</w:t>
      </w:r>
      <w:r>
        <w:rPr>
          <w:color w:val="000000" w:themeColor="text1"/>
          <w:sz w:val="24"/>
          <w14:textFill>
            <w14:solidFill>
              <w14:schemeClr w14:val="tx1"/>
            </w14:solidFill>
          </w14:textFill>
        </w:rPr>
        <w:t>在40</w:t>
      </w:r>
      <w:r>
        <w:rPr>
          <w:rFonts w:hint="eastAsia"/>
          <w:color w:val="000000" w:themeColor="text1"/>
          <w:sz w:val="24"/>
          <w14:textFill>
            <w14:solidFill>
              <w14:schemeClr w14:val="tx1"/>
            </w14:solidFill>
          </w14:textFill>
        </w:rPr>
        <w:t>℃</w:t>
      </w:r>
      <w:r>
        <w:rPr>
          <w:color w:val="000000" w:themeColor="text1"/>
          <w:sz w:val="24"/>
          <w14:textFill>
            <w14:solidFill>
              <w14:schemeClr w14:val="tx1"/>
            </w14:solidFill>
          </w14:textFill>
        </w:rPr>
        <w:t>水养条件下，掺高活性</w:t>
      </w:r>
      <w:r>
        <w:rPr>
          <w:rFonts w:hint="eastAsia"/>
          <w:color w:val="000000" w:themeColor="text1"/>
          <w:sz w:val="24"/>
          <w14:textFill>
            <w14:solidFill>
              <w14:schemeClr w14:val="tx1"/>
            </w14:solidFill>
          </w14:textFill>
        </w:rPr>
        <w:t>氧化镁</w:t>
      </w:r>
      <w:r>
        <w:rPr>
          <w:color w:val="000000" w:themeColor="text1"/>
          <w:sz w:val="24"/>
          <w14:textFill>
            <w14:solidFill>
              <w14:schemeClr w14:val="tx1"/>
            </w14:solidFill>
          </w14:textFill>
        </w:rPr>
        <w:t>膨胀剂的混凝土在早期膨胀率</w:t>
      </w:r>
      <w:r>
        <w:rPr>
          <w:rFonts w:hint="eastAsia"/>
          <w:color w:val="000000" w:themeColor="text1"/>
          <w:sz w:val="24"/>
          <w14:textFill>
            <w14:solidFill>
              <w14:schemeClr w14:val="tx1"/>
            </w14:solidFill>
          </w14:textFill>
        </w:rPr>
        <w:t>明显</w:t>
      </w:r>
      <w:r>
        <w:rPr>
          <w:color w:val="000000" w:themeColor="text1"/>
          <w:sz w:val="24"/>
          <w14:textFill>
            <w14:solidFill>
              <w14:schemeClr w14:val="tx1"/>
            </w14:solidFill>
          </w14:textFill>
        </w:rPr>
        <w:t>大于掺低活性</w:t>
      </w:r>
      <w:r>
        <w:rPr>
          <w:rFonts w:hint="eastAsia"/>
          <w:color w:val="000000" w:themeColor="text1"/>
          <w:sz w:val="24"/>
          <w14:textFill>
            <w14:solidFill>
              <w14:schemeClr w14:val="tx1"/>
            </w14:solidFill>
          </w14:textFill>
        </w:rPr>
        <w:t>氧化镁</w:t>
      </w:r>
      <w:r>
        <w:rPr>
          <w:color w:val="000000" w:themeColor="text1"/>
          <w:sz w:val="24"/>
          <w14:textFill>
            <w14:solidFill>
              <w14:schemeClr w14:val="tx1"/>
            </w14:solidFill>
          </w14:textFill>
        </w:rPr>
        <w:t>膨胀剂的混凝土</w:t>
      </w:r>
      <w:r>
        <w:rPr>
          <w:rFonts w:hint="eastAsia"/>
          <w:color w:val="000000" w:themeColor="text1"/>
          <w:sz w:val="24"/>
          <w14:textFill>
            <w14:solidFill>
              <w14:schemeClr w14:val="tx1"/>
            </w14:solidFill>
          </w14:textFill>
        </w:rPr>
        <w:t>。</w:t>
      </w:r>
      <w:r>
        <w:rPr>
          <w:color w:val="000000" w:themeColor="text1"/>
          <w:sz w:val="24"/>
          <w14:textFill>
            <w14:solidFill>
              <w14:schemeClr w14:val="tx1"/>
            </w14:solidFill>
          </w14:textFill>
        </w:rPr>
        <w:t>14d后，掺低活性</w:t>
      </w:r>
      <w:r>
        <w:rPr>
          <w:rFonts w:hint="eastAsia"/>
          <w:color w:val="000000" w:themeColor="text1"/>
          <w:sz w:val="24"/>
          <w14:textFill>
            <w14:solidFill>
              <w14:schemeClr w14:val="tx1"/>
            </w14:solidFill>
          </w14:textFill>
        </w:rPr>
        <w:t>氧化镁</w:t>
      </w:r>
      <w:r>
        <w:rPr>
          <w:color w:val="000000" w:themeColor="text1"/>
          <w:sz w:val="24"/>
          <w14:textFill>
            <w14:solidFill>
              <w14:schemeClr w14:val="tx1"/>
            </w14:solidFill>
          </w14:textFill>
        </w:rPr>
        <w:t>膨胀剂的混凝土试件</w:t>
      </w:r>
      <w:r>
        <w:rPr>
          <w:rFonts w:hint="eastAsia"/>
          <w:color w:val="000000" w:themeColor="text1"/>
          <w:sz w:val="24"/>
          <w14:textFill>
            <w14:solidFill>
              <w14:schemeClr w14:val="tx1"/>
            </w14:solidFill>
          </w14:textFill>
        </w:rPr>
        <w:t>则</w:t>
      </w:r>
      <w:r>
        <w:rPr>
          <w:color w:val="000000" w:themeColor="text1"/>
          <w:sz w:val="24"/>
          <w14:textFill>
            <w14:solidFill>
              <w14:schemeClr w14:val="tx1"/>
            </w14:solidFill>
          </w14:textFill>
        </w:rPr>
        <w:t>高于掺高活性</w:t>
      </w:r>
      <w:r>
        <w:rPr>
          <w:rFonts w:hint="eastAsia"/>
          <w:color w:val="000000" w:themeColor="text1"/>
          <w:sz w:val="24"/>
          <w14:textFill>
            <w14:solidFill>
              <w14:schemeClr w14:val="tx1"/>
            </w14:solidFill>
          </w14:textFill>
        </w:rPr>
        <w:t>氧化镁</w:t>
      </w:r>
      <w:r>
        <w:rPr>
          <w:color w:val="000000" w:themeColor="text1"/>
          <w:sz w:val="24"/>
          <w14:textFill>
            <w14:solidFill>
              <w14:schemeClr w14:val="tx1"/>
            </w14:solidFill>
          </w14:textFill>
        </w:rPr>
        <w:t>膨胀剂的混凝土。20</w:t>
      </w:r>
      <w:r>
        <w:rPr>
          <w:rFonts w:hint="eastAsia"/>
          <w:color w:val="000000" w:themeColor="text1"/>
          <w:sz w:val="24"/>
          <w14:textFill>
            <w14:solidFill>
              <w14:schemeClr w14:val="tx1"/>
            </w14:solidFill>
          </w14:textFill>
        </w:rPr>
        <w:t>℃</w:t>
      </w:r>
      <w:r>
        <w:rPr>
          <w:color w:val="000000" w:themeColor="text1"/>
          <w:sz w:val="24"/>
          <w14:textFill>
            <w14:solidFill>
              <w14:schemeClr w14:val="tx1"/>
            </w14:solidFill>
          </w14:textFill>
        </w:rPr>
        <w:t>养护条件下</w:t>
      </w:r>
      <w:r>
        <w:rPr>
          <w:rFonts w:hint="eastAsia"/>
          <w:color w:val="000000" w:themeColor="text1"/>
          <w:sz w:val="24"/>
          <w14:textFill>
            <w14:solidFill>
              <w14:schemeClr w14:val="tx1"/>
            </w14:solidFill>
          </w14:textFill>
        </w:rPr>
        <w:t>则</w:t>
      </w:r>
      <w:r>
        <w:rPr>
          <w:color w:val="000000" w:themeColor="text1"/>
          <w:sz w:val="24"/>
          <w14:textFill>
            <w14:solidFill>
              <w14:schemeClr w14:val="tx1"/>
            </w14:solidFill>
          </w14:textFill>
        </w:rPr>
        <w:t>没有出现上述规律。</w:t>
      </w:r>
    </w:p>
    <w:p w14:paraId="3C661215">
      <w:pPr>
        <w:pStyle w:val="40"/>
        <w:rPr>
          <w:rFonts w:eastAsia="Times New Roman"/>
          <w:iCs/>
          <w:color w:val="000000" w:themeColor="text1"/>
          <w:spacing w:val="15"/>
          <w:kern w:val="0"/>
          <w14:textFill>
            <w14:solidFill>
              <w14:schemeClr w14:val="tx1"/>
            </w14:solidFill>
          </w14:textFill>
        </w:rPr>
      </w:pPr>
      <w:r>
        <w:drawing>
          <wp:inline distT="0" distB="0" distL="0" distR="0">
            <wp:extent cx="2476500" cy="1783715"/>
            <wp:effectExtent l="0" t="0" r="0" b="6985"/>
            <wp:docPr id="22678861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788613" name="图片 5"/>
                    <pic:cNvPicPr>
                      <a:picLocks noChangeAspect="1" noChangeArrowheads="1"/>
                    </pic:cNvPicPr>
                  </pic:nvPicPr>
                  <pic:blipFill>
                    <a:blip r:embed="rId23">
                      <a:extLst>
                        <a:ext uri="{28A0092B-C50C-407E-A947-70E740481C1C}">
                          <a14:useLocalDpi xmlns:a14="http://schemas.microsoft.com/office/drawing/2010/main" val="0"/>
                        </a:ext>
                      </a:extLst>
                    </a:blip>
                    <a:srcRect l="5495" t="9499" r="12088" b="4222"/>
                    <a:stretch>
                      <a:fillRect/>
                    </a:stretch>
                  </pic:blipFill>
                  <pic:spPr>
                    <a:xfrm>
                      <a:off x="0" y="0"/>
                      <a:ext cx="2483667" cy="1789129"/>
                    </a:xfrm>
                    <a:prstGeom prst="rect">
                      <a:avLst/>
                    </a:prstGeom>
                    <a:noFill/>
                    <a:ln>
                      <a:noFill/>
                    </a:ln>
                  </pic:spPr>
                </pic:pic>
              </a:graphicData>
            </a:graphic>
          </wp:inline>
        </w:drawing>
      </w:r>
      <w:r>
        <w:t xml:space="preserve">  </w:t>
      </w:r>
      <w:r>
        <w:drawing>
          <wp:inline distT="0" distB="0" distL="0" distR="0">
            <wp:extent cx="2381250" cy="1783080"/>
            <wp:effectExtent l="0" t="0" r="0" b="7620"/>
            <wp:docPr id="133171817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718173" name="图片 4"/>
                    <pic:cNvPicPr>
                      <a:picLocks noChangeAspect="1" noChangeArrowheads="1"/>
                    </pic:cNvPicPr>
                  </pic:nvPicPr>
                  <pic:blipFill>
                    <a:blip r:embed="rId24">
                      <a:extLst>
                        <a:ext uri="{28A0092B-C50C-407E-A947-70E740481C1C}">
                          <a14:useLocalDpi xmlns:a14="http://schemas.microsoft.com/office/drawing/2010/main" val="0"/>
                        </a:ext>
                      </a:extLst>
                    </a:blip>
                    <a:srcRect l="7326" t="6860" r="11539" b="4486"/>
                    <a:stretch>
                      <a:fillRect/>
                    </a:stretch>
                  </pic:blipFill>
                  <pic:spPr>
                    <a:xfrm>
                      <a:off x="0" y="0"/>
                      <a:ext cx="2382436" cy="1784057"/>
                    </a:xfrm>
                    <a:prstGeom prst="rect">
                      <a:avLst/>
                    </a:prstGeom>
                    <a:noFill/>
                    <a:ln>
                      <a:noFill/>
                    </a:ln>
                  </pic:spPr>
                </pic:pic>
              </a:graphicData>
            </a:graphic>
          </wp:inline>
        </w:drawing>
      </w:r>
    </w:p>
    <w:p w14:paraId="32D0801A">
      <w:pPr>
        <w:pStyle w:val="40"/>
        <w:spacing w:line="360" w:lineRule="auto"/>
      </w:pPr>
      <w:r>
        <w:t xml:space="preserve">       （a）20</w:t>
      </w:r>
      <w:r>
        <w:rPr>
          <w:rFonts w:hint="eastAsia" w:ascii="宋体" w:hAnsi="宋体" w:cs="宋体"/>
        </w:rPr>
        <w:t>℃</w:t>
      </w:r>
      <w:r>
        <w:t>水养                              （b）40</w:t>
      </w:r>
      <w:r>
        <w:rPr>
          <w:rFonts w:hint="eastAsia" w:ascii="宋体" w:hAnsi="宋体" w:cs="宋体"/>
        </w:rPr>
        <w:t>℃</w:t>
      </w:r>
      <w:r>
        <w:t>水养</w:t>
      </w:r>
    </w:p>
    <w:p w14:paraId="03CF426F">
      <w:pPr>
        <w:pStyle w:val="40"/>
        <w:spacing w:line="360" w:lineRule="auto"/>
      </w:pPr>
      <w:r>
        <w:t>图</w:t>
      </w:r>
      <w:r>
        <w:rPr>
          <w:rFonts w:hint="eastAsia"/>
        </w:rPr>
        <w:t>3.1-2 掺</w:t>
      </w:r>
      <w:r>
        <w:t>不同活性</w:t>
      </w:r>
      <w:r>
        <w:rPr>
          <w:rFonts w:hint="eastAsia"/>
        </w:rPr>
        <w:t>氧化镁</w:t>
      </w:r>
      <w:r>
        <w:t>膨胀剂的混凝土限制膨胀曲线</w:t>
      </w:r>
    </w:p>
    <w:p w14:paraId="5417D475">
      <w:pPr>
        <w:pStyle w:val="5"/>
        <w:spacing w:line="360" w:lineRule="auto"/>
        <w:ind w:firstLine="420"/>
        <w:rPr>
          <w:rFonts w:hint="eastAsia"/>
          <w:sz w:val="24"/>
        </w:rPr>
      </w:pPr>
      <w:r>
        <w:rPr>
          <w:rFonts w:hint="eastAsia"/>
          <w:sz w:val="24"/>
        </w:rPr>
        <w:t>上述结果表明，</w:t>
      </w:r>
      <w:r>
        <w:rPr>
          <w:color w:val="000000" w:themeColor="text1"/>
          <w:sz w:val="24"/>
          <w14:textFill>
            <w14:solidFill>
              <w14:schemeClr w14:val="tx1"/>
            </w14:solidFill>
          </w14:textFill>
        </w:rPr>
        <w:t>40</w:t>
      </w:r>
      <w:r>
        <w:rPr>
          <w:rFonts w:hint="eastAsia"/>
          <w:color w:val="000000" w:themeColor="text1"/>
          <w:sz w:val="24"/>
          <w14:textFill>
            <w14:solidFill>
              <w14:schemeClr w14:val="tx1"/>
            </w14:solidFill>
          </w14:textFill>
        </w:rPr>
        <w:t>℃</w:t>
      </w:r>
      <w:r>
        <w:rPr>
          <w:color w:val="000000" w:themeColor="text1"/>
          <w:sz w:val="24"/>
          <w14:textFill>
            <w14:solidFill>
              <w14:schemeClr w14:val="tx1"/>
            </w14:solidFill>
          </w14:textFill>
        </w:rPr>
        <w:t>水养条件下</w:t>
      </w:r>
      <w:r>
        <w:rPr>
          <w:rFonts w:hint="eastAsia"/>
          <w:color w:val="000000" w:themeColor="text1"/>
          <w:sz w:val="24"/>
          <w14:textFill>
            <w14:solidFill>
              <w14:schemeClr w14:val="tx1"/>
            </w14:solidFill>
          </w14:textFill>
        </w:rPr>
        <w:t>测试掺氧化镁膨胀剂混凝土的限制膨胀率方法是可行的，可以达到设计要求。</w:t>
      </w:r>
    </w:p>
    <w:p w14:paraId="0D9DD019">
      <w:pPr>
        <w:shd w:val="clear" w:color="auto" w:fill="FFFFFF"/>
        <w:ind w:firstLine="562" w:firstLineChars="200"/>
        <w:rPr>
          <w:b/>
          <w:bCs/>
          <w:color w:val="auto"/>
          <w:sz w:val="28"/>
          <w:szCs w:val="28"/>
        </w:rPr>
      </w:pPr>
      <w:r>
        <w:rPr>
          <w:rFonts w:hint="eastAsia"/>
          <w:b/>
          <w:bCs/>
          <w:color w:val="auto"/>
          <w:sz w:val="28"/>
          <w:szCs w:val="28"/>
        </w:rPr>
        <w:t>（二）掺氧化镁膨胀剂混凝土安定性试验方法验证</w:t>
      </w:r>
    </w:p>
    <w:p w14:paraId="275D605E">
      <w:pPr>
        <w:pStyle w:val="5"/>
        <w:spacing w:after="0" w:line="360" w:lineRule="auto"/>
        <w:ind w:firstLine="420"/>
        <w:rPr>
          <w:sz w:val="24"/>
        </w:rPr>
      </w:pPr>
      <w:r>
        <w:rPr>
          <w:sz w:val="24"/>
        </w:rPr>
        <w:t>压蒸试验方法是通过高温高压促使MgO在较短时间大部分水化，</w:t>
      </w:r>
      <w:r>
        <w:rPr>
          <w:rFonts w:hint="eastAsia"/>
          <w:sz w:val="24"/>
        </w:rPr>
        <w:t>通过</w:t>
      </w:r>
      <w:r>
        <w:rPr>
          <w:sz w:val="24"/>
        </w:rPr>
        <w:t>测定掺</w:t>
      </w:r>
      <w:r>
        <w:rPr>
          <w:rFonts w:hint="eastAsia"/>
          <w:sz w:val="24"/>
        </w:rPr>
        <w:t>氧化镁</w:t>
      </w:r>
      <w:r>
        <w:rPr>
          <w:sz w:val="24"/>
        </w:rPr>
        <w:t>膨胀剂</w:t>
      </w:r>
      <w:r>
        <w:rPr>
          <w:rFonts w:hint="eastAsia"/>
          <w:sz w:val="24"/>
        </w:rPr>
        <w:t>混凝土</w:t>
      </w:r>
      <w:r>
        <w:rPr>
          <w:sz w:val="24"/>
        </w:rPr>
        <w:t>试件的体积变化</w:t>
      </w:r>
      <w:r>
        <w:rPr>
          <w:rFonts w:hint="eastAsia"/>
          <w:sz w:val="24"/>
        </w:rPr>
        <w:t>，</w:t>
      </w:r>
      <w:r>
        <w:rPr>
          <w:sz w:val="24"/>
        </w:rPr>
        <w:t>利用压蒸膨胀</w:t>
      </w:r>
      <w:r>
        <w:rPr>
          <w:rFonts w:hint="eastAsia"/>
          <w:sz w:val="24"/>
        </w:rPr>
        <w:t>率</w:t>
      </w:r>
      <w:r>
        <w:rPr>
          <w:sz w:val="24"/>
        </w:rPr>
        <w:t>来评估</w:t>
      </w:r>
      <w:r>
        <w:rPr>
          <w:rFonts w:hint="eastAsia"/>
          <w:sz w:val="24"/>
        </w:rPr>
        <w:t>混凝土的安定性，从而</w:t>
      </w:r>
      <w:r>
        <w:rPr>
          <w:sz w:val="24"/>
        </w:rPr>
        <w:t>确定</w:t>
      </w:r>
      <w:r>
        <w:rPr>
          <w:rFonts w:hint="eastAsia"/>
          <w:sz w:val="24"/>
        </w:rPr>
        <w:t>氧化镁</w:t>
      </w:r>
      <w:r>
        <w:rPr>
          <w:sz w:val="24"/>
        </w:rPr>
        <w:t>膨胀剂的安全极限掺量。</w:t>
      </w:r>
      <w:r>
        <w:rPr>
          <w:rFonts w:hint="eastAsia"/>
          <w:sz w:val="24"/>
        </w:rPr>
        <w:t>当混凝土试件无弯曲或龟裂，</w:t>
      </w:r>
      <w:r>
        <w:rPr>
          <w:sz w:val="24"/>
        </w:rPr>
        <w:t>压蒸膨胀率不大于0.5%，即为安定性合格。</w:t>
      </w:r>
    </w:p>
    <w:p w14:paraId="12C92DA5">
      <w:pPr>
        <w:pStyle w:val="5"/>
        <w:spacing w:after="0" w:line="360" w:lineRule="auto"/>
        <w:ind w:firstLine="420"/>
        <w:rPr>
          <w:sz w:val="24"/>
        </w:rPr>
      </w:pPr>
      <w:r>
        <w:rPr>
          <w:rFonts w:hint="eastAsia"/>
          <w:bCs/>
          <w:sz w:val="24"/>
        </w:rPr>
        <w:t>选用不同活性的氧化镁膨胀剂等量替代水泥，粗骨料通过公称直径为16mm的方孔筛，制备</w:t>
      </w:r>
      <w:r>
        <w:rPr>
          <w:sz w:val="24"/>
        </w:rPr>
        <w:t>尺寸为55mm×55mm×280mm</w:t>
      </w:r>
      <w:r>
        <w:rPr>
          <w:rFonts w:hint="eastAsia"/>
          <w:sz w:val="24"/>
        </w:rPr>
        <w:t>的</w:t>
      </w:r>
      <w:r>
        <w:rPr>
          <w:sz w:val="24"/>
        </w:rPr>
        <w:t>混凝土试件</w:t>
      </w:r>
      <w:r>
        <w:rPr>
          <w:rFonts w:hint="eastAsia"/>
          <w:sz w:val="24"/>
        </w:rPr>
        <w:t>。</w:t>
      </w:r>
    </w:p>
    <w:p w14:paraId="420041F8">
      <w:pPr>
        <w:pStyle w:val="5"/>
        <w:jc w:val="center"/>
        <w:rPr>
          <w:rFonts w:hint="eastAsia"/>
          <w:szCs w:val="21"/>
        </w:rPr>
      </w:pPr>
      <w:r>
        <w:rPr>
          <w:szCs w:val="21"/>
        </w:rPr>
        <w:t>表</w:t>
      </w:r>
      <w:r>
        <w:rPr>
          <w:rFonts w:hint="eastAsia"/>
          <w:szCs w:val="21"/>
        </w:rPr>
        <w:t>3.2-1 基准混凝土</w:t>
      </w:r>
      <w:r>
        <w:rPr>
          <w:szCs w:val="21"/>
        </w:rPr>
        <w:t>配合比 /(kg/m</w:t>
      </w:r>
      <w:r>
        <w:rPr>
          <w:szCs w:val="21"/>
          <w:vertAlign w:val="superscript"/>
        </w:rPr>
        <w:t>3</w:t>
      </w:r>
      <w:r>
        <w:rPr>
          <w:szCs w:val="21"/>
        </w:rPr>
        <w:t>)</w:t>
      </w:r>
    </w:p>
    <w:tbl>
      <w:tblPr>
        <w:tblStyle w:val="10"/>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096"/>
        <w:gridCol w:w="2545"/>
        <w:gridCol w:w="915"/>
        <w:gridCol w:w="3050"/>
        <w:gridCol w:w="916"/>
      </w:tblGrid>
      <w:tr w14:paraId="1551E82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18" w:hRule="atLeast"/>
          <w:jc w:val="center"/>
        </w:trPr>
        <w:tc>
          <w:tcPr>
            <w:tcW w:w="643" w:type="pct"/>
            <w:tcBorders>
              <w:top w:val="single" w:color="auto" w:sz="8" w:space="0"/>
              <w:left w:val="nil"/>
              <w:bottom w:val="single" w:color="auto" w:sz="8" w:space="0"/>
              <w:right w:val="nil"/>
            </w:tcBorders>
            <w:vAlign w:val="center"/>
          </w:tcPr>
          <w:p w14:paraId="1EEF9506">
            <w:pPr>
              <w:pStyle w:val="5"/>
              <w:jc w:val="center"/>
              <w:rPr>
                <w:szCs w:val="21"/>
              </w:rPr>
            </w:pPr>
            <w:r>
              <w:rPr>
                <w:szCs w:val="21"/>
              </w:rPr>
              <w:t>水泥</w:t>
            </w:r>
          </w:p>
        </w:tc>
        <w:tc>
          <w:tcPr>
            <w:tcW w:w="1493" w:type="pct"/>
            <w:tcBorders>
              <w:top w:val="single" w:color="auto" w:sz="8" w:space="0"/>
              <w:left w:val="nil"/>
              <w:bottom w:val="single" w:color="auto" w:sz="8" w:space="0"/>
              <w:right w:val="nil"/>
            </w:tcBorders>
            <w:vAlign w:val="center"/>
          </w:tcPr>
          <w:p w14:paraId="6834B70F">
            <w:pPr>
              <w:pStyle w:val="5"/>
              <w:jc w:val="center"/>
              <w:rPr>
                <w:szCs w:val="21"/>
              </w:rPr>
            </w:pPr>
            <w:r>
              <w:rPr>
                <w:rFonts w:hint="eastAsia"/>
                <w:szCs w:val="21"/>
              </w:rPr>
              <w:t>氧化镁膨胀剂</w:t>
            </w:r>
          </w:p>
        </w:tc>
        <w:tc>
          <w:tcPr>
            <w:tcW w:w="537" w:type="pct"/>
            <w:tcBorders>
              <w:top w:val="single" w:color="auto" w:sz="8" w:space="0"/>
              <w:left w:val="nil"/>
              <w:bottom w:val="single" w:color="auto" w:sz="8" w:space="0"/>
              <w:right w:val="nil"/>
            </w:tcBorders>
            <w:vAlign w:val="center"/>
          </w:tcPr>
          <w:p w14:paraId="495F96E9">
            <w:pPr>
              <w:pStyle w:val="5"/>
              <w:jc w:val="center"/>
              <w:rPr>
                <w:szCs w:val="21"/>
              </w:rPr>
            </w:pPr>
            <w:r>
              <w:rPr>
                <w:szCs w:val="21"/>
              </w:rPr>
              <w:t>砂</w:t>
            </w:r>
          </w:p>
        </w:tc>
        <w:tc>
          <w:tcPr>
            <w:tcW w:w="1789" w:type="pct"/>
            <w:tcBorders>
              <w:top w:val="single" w:color="auto" w:sz="8" w:space="0"/>
              <w:left w:val="nil"/>
              <w:bottom w:val="single" w:color="auto" w:sz="8" w:space="0"/>
              <w:right w:val="nil"/>
            </w:tcBorders>
            <w:vAlign w:val="center"/>
          </w:tcPr>
          <w:p w14:paraId="732D4807">
            <w:pPr>
              <w:pStyle w:val="5"/>
              <w:jc w:val="center"/>
              <w:rPr>
                <w:szCs w:val="21"/>
              </w:rPr>
            </w:pPr>
            <w:r>
              <w:rPr>
                <w:szCs w:val="21"/>
              </w:rPr>
              <w:t>小石（5-16mm）</w:t>
            </w:r>
          </w:p>
        </w:tc>
        <w:tc>
          <w:tcPr>
            <w:tcW w:w="537" w:type="pct"/>
            <w:tcBorders>
              <w:top w:val="single" w:color="auto" w:sz="8" w:space="0"/>
              <w:left w:val="nil"/>
              <w:bottom w:val="single" w:color="auto" w:sz="8" w:space="0"/>
              <w:right w:val="nil"/>
            </w:tcBorders>
            <w:vAlign w:val="center"/>
          </w:tcPr>
          <w:p w14:paraId="2B311726">
            <w:pPr>
              <w:pStyle w:val="5"/>
              <w:jc w:val="center"/>
              <w:rPr>
                <w:szCs w:val="21"/>
              </w:rPr>
            </w:pPr>
            <w:r>
              <w:rPr>
                <w:szCs w:val="21"/>
              </w:rPr>
              <w:t>水</w:t>
            </w:r>
          </w:p>
        </w:tc>
      </w:tr>
      <w:tr w14:paraId="664807C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43" w:type="pct"/>
            <w:tcBorders>
              <w:top w:val="single" w:color="auto" w:sz="8" w:space="0"/>
              <w:left w:val="nil"/>
              <w:bottom w:val="single" w:color="auto" w:sz="8" w:space="0"/>
              <w:right w:val="nil"/>
            </w:tcBorders>
            <w:vAlign w:val="center"/>
          </w:tcPr>
          <w:p w14:paraId="02439708">
            <w:pPr>
              <w:pStyle w:val="5"/>
              <w:jc w:val="center"/>
              <w:rPr>
                <w:szCs w:val="21"/>
              </w:rPr>
            </w:pPr>
            <w:r>
              <w:rPr>
                <w:szCs w:val="21"/>
              </w:rPr>
              <w:t>370</w:t>
            </w:r>
          </w:p>
        </w:tc>
        <w:tc>
          <w:tcPr>
            <w:tcW w:w="1493" w:type="pct"/>
            <w:tcBorders>
              <w:top w:val="single" w:color="auto" w:sz="8" w:space="0"/>
              <w:left w:val="nil"/>
              <w:bottom w:val="single" w:color="auto" w:sz="8" w:space="0"/>
              <w:right w:val="nil"/>
            </w:tcBorders>
            <w:vAlign w:val="center"/>
          </w:tcPr>
          <w:p w14:paraId="7605BB3C">
            <w:pPr>
              <w:pStyle w:val="5"/>
              <w:jc w:val="center"/>
              <w:rPr>
                <w:szCs w:val="21"/>
              </w:rPr>
            </w:pPr>
            <w:r>
              <w:rPr>
                <w:szCs w:val="21"/>
              </w:rPr>
              <w:t>0</w:t>
            </w:r>
          </w:p>
        </w:tc>
        <w:tc>
          <w:tcPr>
            <w:tcW w:w="537" w:type="pct"/>
            <w:tcBorders>
              <w:top w:val="single" w:color="auto" w:sz="8" w:space="0"/>
              <w:left w:val="nil"/>
              <w:bottom w:val="single" w:color="auto" w:sz="8" w:space="0"/>
              <w:right w:val="nil"/>
            </w:tcBorders>
            <w:vAlign w:val="center"/>
          </w:tcPr>
          <w:p w14:paraId="54ECE8E1">
            <w:pPr>
              <w:pStyle w:val="5"/>
              <w:jc w:val="center"/>
              <w:rPr>
                <w:szCs w:val="21"/>
              </w:rPr>
            </w:pPr>
            <w:r>
              <w:rPr>
                <w:szCs w:val="21"/>
              </w:rPr>
              <w:t>740</w:t>
            </w:r>
          </w:p>
        </w:tc>
        <w:tc>
          <w:tcPr>
            <w:tcW w:w="1789" w:type="pct"/>
            <w:tcBorders>
              <w:top w:val="single" w:color="auto" w:sz="8" w:space="0"/>
              <w:left w:val="nil"/>
              <w:bottom w:val="single" w:color="auto" w:sz="8" w:space="0"/>
              <w:right w:val="nil"/>
            </w:tcBorders>
            <w:vAlign w:val="center"/>
          </w:tcPr>
          <w:p w14:paraId="1FAEE8DD">
            <w:pPr>
              <w:pStyle w:val="5"/>
              <w:jc w:val="center"/>
              <w:rPr>
                <w:szCs w:val="21"/>
              </w:rPr>
            </w:pPr>
            <w:r>
              <w:rPr>
                <w:szCs w:val="21"/>
              </w:rPr>
              <w:t>1110</w:t>
            </w:r>
          </w:p>
        </w:tc>
        <w:tc>
          <w:tcPr>
            <w:tcW w:w="537" w:type="pct"/>
            <w:tcBorders>
              <w:top w:val="single" w:color="auto" w:sz="8" w:space="0"/>
              <w:left w:val="nil"/>
              <w:bottom w:val="single" w:color="auto" w:sz="8" w:space="0"/>
              <w:right w:val="nil"/>
            </w:tcBorders>
            <w:vAlign w:val="center"/>
          </w:tcPr>
          <w:p w14:paraId="14283A0F">
            <w:pPr>
              <w:pStyle w:val="5"/>
              <w:jc w:val="center"/>
              <w:rPr>
                <w:szCs w:val="21"/>
              </w:rPr>
            </w:pPr>
            <w:r>
              <w:rPr>
                <w:szCs w:val="21"/>
              </w:rPr>
              <w:t>185</w:t>
            </w:r>
          </w:p>
        </w:tc>
      </w:tr>
    </w:tbl>
    <w:p w14:paraId="66BAE73A">
      <w:pPr>
        <w:pStyle w:val="5"/>
        <w:spacing w:after="0" w:line="360" w:lineRule="auto"/>
        <w:ind w:firstLine="420"/>
        <w:rPr>
          <w:sz w:val="24"/>
        </w:rPr>
      </w:pPr>
      <w:r>
        <w:rPr>
          <w:sz w:val="24"/>
        </w:rPr>
        <w:t>试件脱模后</w:t>
      </w:r>
      <w:r>
        <w:rPr>
          <w:rFonts w:hint="eastAsia"/>
          <w:sz w:val="24"/>
        </w:rPr>
        <w:t>1h内</w:t>
      </w:r>
      <w:r>
        <w:rPr>
          <w:sz w:val="24"/>
        </w:rPr>
        <w:t>测</w:t>
      </w:r>
      <w:r>
        <w:rPr>
          <w:rFonts w:hint="eastAsia"/>
          <w:sz w:val="24"/>
        </w:rPr>
        <w:t>量</w:t>
      </w:r>
      <w:r>
        <w:rPr>
          <w:sz w:val="24"/>
        </w:rPr>
        <w:t>其初长</w:t>
      </w:r>
      <w:r>
        <w:rPr>
          <w:rFonts w:hint="eastAsia"/>
          <w:sz w:val="24"/>
        </w:rPr>
        <w:t>，然后</w:t>
      </w:r>
      <w:r>
        <w:rPr>
          <w:sz w:val="24"/>
        </w:rPr>
        <w:t>按照GB/T 1346沸煮安定性试验的制度进行沸煮3h。试件在加盖煮沸完后，立即切断电源，试件继续留在沸煮箱内热水中养护到压蒸前，养护时间在20h以上。</w:t>
      </w:r>
      <w:r>
        <w:rPr>
          <w:rFonts w:hint="eastAsia"/>
          <w:sz w:val="24"/>
        </w:rPr>
        <w:t>沸</w:t>
      </w:r>
      <w:r>
        <w:rPr>
          <w:sz w:val="24"/>
        </w:rPr>
        <w:t>煮后的试件应在4d内完成压蒸试验。试件放入压蒸釜内试件支架上，试件之间留有空隙，必须加入足量的蒸馏水，不少于900mL。在加热初期打开气阀，让釜内空气排出直至看见水蒸气后关闭，加热45min~75min达到2.0MPa±0.05MPa，相当于釜内温度215.7</w:t>
      </w:r>
      <w:r>
        <w:rPr>
          <w:rFonts w:hint="eastAsia"/>
          <w:sz w:val="24"/>
        </w:rPr>
        <w:t>℃</w:t>
      </w:r>
      <w:r>
        <w:rPr>
          <w:sz w:val="24"/>
        </w:rPr>
        <w:t>±1.3</w:t>
      </w:r>
      <w:r>
        <w:rPr>
          <w:rFonts w:hint="eastAsia"/>
          <w:sz w:val="24"/>
        </w:rPr>
        <w:t>℃</w:t>
      </w:r>
      <w:r>
        <w:rPr>
          <w:sz w:val="24"/>
        </w:rPr>
        <w:t>。在该压力下保持3h后切断电源，让压蒸釜90min内冷却至釜内压力小于0.1MPa。然后微开汽阀排出剩余蒸汽。打开压蒸釜，取出试件立即置于90</w:t>
      </w:r>
      <w:r>
        <w:rPr>
          <w:rFonts w:hint="eastAsia"/>
          <w:sz w:val="24"/>
        </w:rPr>
        <w:t>℃</w:t>
      </w:r>
      <w:r>
        <w:rPr>
          <w:sz w:val="24"/>
        </w:rPr>
        <w:t>以上热水中，然后在热水中均匀的注入冷水，在15min内使水温降至室温，再过15min取出试件，进行测长。如试件弯曲、过长、龟裂等应做记录，试件取出后，直接放入恒温室自然冷却1h~2h后测长。</w:t>
      </w:r>
    </w:p>
    <w:p w14:paraId="573A5630">
      <w:pPr>
        <w:pStyle w:val="5"/>
        <w:spacing w:after="0" w:line="360" w:lineRule="auto"/>
        <w:ind w:firstLine="420"/>
        <w:rPr>
          <w:rFonts w:hint="eastAsia"/>
          <w:sz w:val="24"/>
        </w:rPr>
      </w:pPr>
      <w:r>
        <w:rPr>
          <w:rFonts w:hint="eastAsia"/>
          <w:sz w:val="24"/>
        </w:rPr>
        <w:t>掺氧化镁膨胀剂混凝土安定性试验结果见表3.2-2。</w:t>
      </w:r>
    </w:p>
    <w:p w14:paraId="7C85A340">
      <w:pPr>
        <w:pStyle w:val="5"/>
        <w:spacing w:line="360" w:lineRule="auto"/>
        <w:jc w:val="center"/>
        <w:rPr>
          <w:rFonts w:hint="eastAsia"/>
          <w:b/>
          <w:bCs/>
          <w:szCs w:val="21"/>
        </w:rPr>
      </w:pPr>
      <w:r>
        <w:rPr>
          <w:b/>
          <w:bCs/>
          <w:szCs w:val="21"/>
        </w:rPr>
        <w:t>表</w:t>
      </w:r>
      <w:r>
        <w:rPr>
          <w:rFonts w:hint="eastAsia"/>
          <w:b/>
          <w:bCs/>
          <w:szCs w:val="21"/>
        </w:rPr>
        <w:t>3.2-2</w:t>
      </w:r>
      <w:r>
        <w:rPr>
          <w:b/>
          <w:bCs/>
          <w:szCs w:val="21"/>
        </w:rPr>
        <w:t xml:space="preserve"> 压蒸安定性试验结果</w:t>
      </w:r>
    </w:p>
    <w:tbl>
      <w:tblPr>
        <w:tblStyle w:val="10"/>
        <w:tblW w:w="5000" w:type="pct"/>
        <w:tblInd w:w="0" w:type="dxa"/>
        <w:tblLayout w:type="autofit"/>
        <w:tblCellMar>
          <w:top w:w="0" w:type="dxa"/>
          <w:left w:w="108" w:type="dxa"/>
          <w:bottom w:w="0" w:type="dxa"/>
          <w:right w:w="108" w:type="dxa"/>
        </w:tblCellMar>
      </w:tblPr>
      <w:tblGrid>
        <w:gridCol w:w="676"/>
        <w:gridCol w:w="1057"/>
        <w:gridCol w:w="1708"/>
        <w:gridCol w:w="2088"/>
        <w:gridCol w:w="2993"/>
      </w:tblGrid>
      <w:tr w14:paraId="384079A3">
        <w:tblPrEx>
          <w:tblCellMar>
            <w:top w:w="0" w:type="dxa"/>
            <w:left w:w="108" w:type="dxa"/>
            <w:bottom w:w="0" w:type="dxa"/>
            <w:right w:w="108" w:type="dxa"/>
          </w:tblCellMar>
        </w:tblPrEx>
        <w:trPr>
          <w:trHeight w:val="258" w:hRule="atLeast"/>
        </w:trPr>
        <w:tc>
          <w:tcPr>
            <w:tcW w:w="1016" w:type="pct"/>
            <w:gridSpan w:val="2"/>
            <w:tcBorders>
              <w:top w:val="single" w:color="auto" w:sz="12" w:space="0"/>
              <w:bottom w:val="single" w:color="auto" w:sz="4" w:space="0"/>
            </w:tcBorders>
            <w:vAlign w:val="center"/>
          </w:tcPr>
          <w:p w14:paraId="2DD4C4B7">
            <w:pPr>
              <w:pStyle w:val="5"/>
              <w:spacing w:after="0"/>
              <w:jc w:val="center"/>
              <w:rPr>
                <w:szCs w:val="21"/>
              </w:rPr>
            </w:pPr>
            <w:bookmarkStart w:id="74" w:name="_Hlk61792077"/>
            <w:bookmarkEnd w:id="74"/>
            <w:r>
              <w:rPr>
                <w:rFonts w:hint="eastAsia"/>
                <w:szCs w:val="21"/>
              </w:rPr>
              <w:t>氧化镁膨胀剂</w:t>
            </w:r>
          </w:p>
        </w:tc>
        <w:tc>
          <w:tcPr>
            <w:tcW w:w="1002" w:type="pct"/>
            <w:tcBorders>
              <w:top w:val="single" w:color="auto" w:sz="12" w:space="0"/>
              <w:bottom w:val="single" w:color="auto" w:sz="4" w:space="0"/>
            </w:tcBorders>
            <w:vAlign w:val="center"/>
          </w:tcPr>
          <w:p w14:paraId="568B5AB3">
            <w:pPr>
              <w:pStyle w:val="5"/>
              <w:spacing w:after="0"/>
              <w:jc w:val="center"/>
              <w:rPr>
                <w:szCs w:val="21"/>
              </w:rPr>
            </w:pPr>
            <w:r>
              <w:rPr>
                <w:szCs w:val="21"/>
              </w:rPr>
              <w:t>掺量/%</w:t>
            </w:r>
          </w:p>
        </w:tc>
        <w:tc>
          <w:tcPr>
            <w:tcW w:w="1225" w:type="pct"/>
            <w:tcBorders>
              <w:top w:val="single" w:color="auto" w:sz="12" w:space="0"/>
              <w:bottom w:val="single" w:color="auto" w:sz="4" w:space="0"/>
            </w:tcBorders>
            <w:vAlign w:val="center"/>
          </w:tcPr>
          <w:p w14:paraId="3B236409">
            <w:pPr>
              <w:pStyle w:val="5"/>
              <w:spacing w:after="0"/>
              <w:jc w:val="center"/>
              <w:rPr>
                <w:szCs w:val="21"/>
              </w:rPr>
            </w:pPr>
            <w:r>
              <w:rPr>
                <w:szCs w:val="21"/>
              </w:rPr>
              <w:t>膨胀率/%</w:t>
            </w:r>
          </w:p>
        </w:tc>
        <w:tc>
          <w:tcPr>
            <w:tcW w:w="1756" w:type="pct"/>
            <w:tcBorders>
              <w:top w:val="single" w:color="auto" w:sz="12" w:space="0"/>
              <w:bottom w:val="single" w:color="auto" w:sz="4" w:space="0"/>
            </w:tcBorders>
            <w:vAlign w:val="center"/>
          </w:tcPr>
          <w:p w14:paraId="57C19365">
            <w:pPr>
              <w:pStyle w:val="5"/>
              <w:spacing w:after="0"/>
              <w:jc w:val="center"/>
              <w:rPr>
                <w:szCs w:val="21"/>
              </w:rPr>
            </w:pPr>
            <w:r>
              <w:rPr>
                <w:szCs w:val="21"/>
              </w:rPr>
              <w:t>安定性</w:t>
            </w:r>
          </w:p>
        </w:tc>
      </w:tr>
      <w:tr w14:paraId="65926DD5">
        <w:tblPrEx>
          <w:tblCellMar>
            <w:top w:w="0" w:type="dxa"/>
            <w:left w:w="108" w:type="dxa"/>
            <w:bottom w:w="0" w:type="dxa"/>
            <w:right w:w="108" w:type="dxa"/>
          </w:tblCellMar>
        </w:tblPrEx>
        <w:trPr>
          <w:trHeight w:val="105" w:hRule="atLeast"/>
        </w:trPr>
        <w:tc>
          <w:tcPr>
            <w:tcW w:w="397" w:type="pct"/>
            <w:vMerge w:val="restart"/>
            <w:tcBorders>
              <w:top w:val="single" w:color="auto" w:sz="4" w:space="0"/>
            </w:tcBorders>
            <w:vAlign w:val="center"/>
          </w:tcPr>
          <w:p w14:paraId="1C8723EE">
            <w:pPr>
              <w:pStyle w:val="5"/>
              <w:spacing w:after="0"/>
              <w:jc w:val="center"/>
              <w:rPr>
                <w:szCs w:val="21"/>
              </w:rPr>
            </w:pPr>
            <w:r>
              <w:rPr>
                <w:szCs w:val="21"/>
              </w:rPr>
              <w:t>R</w:t>
            </w:r>
          </w:p>
        </w:tc>
        <w:tc>
          <w:tcPr>
            <w:tcW w:w="620" w:type="pct"/>
            <w:vMerge w:val="restart"/>
            <w:tcBorders>
              <w:top w:val="single" w:color="auto" w:sz="4" w:space="0"/>
            </w:tcBorders>
            <w:vAlign w:val="center"/>
          </w:tcPr>
          <w:p w14:paraId="077A2068">
            <w:pPr>
              <w:pStyle w:val="5"/>
              <w:spacing w:after="0"/>
              <w:jc w:val="center"/>
              <w:rPr>
                <w:szCs w:val="21"/>
              </w:rPr>
            </w:pPr>
            <w:r>
              <w:rPr>
                <w:szCs w:val="21"/>
              </w:rPr>
              <w:t>80s</w:t>
            </w:r>
          </w:p>
        </w:tc>
        <w:tc>
          <w:tcPr>
            <w:tcW w:w="1002" w:type="pct"/>
            <w:tcBorders>
              <w:top w:val="single" w:color="auto" w:sz="4" w:space="0"/>
            </w:tcBorders>
            <w:vAlign w:val="center"/>
          </w:tcPr>
          <w:p w14:paraId="7339D912">
            <w:pPr>
              <w:pStyle w:val="5"/>
              <w:spacing w:after="0"/>
              <w:jc w:val="center"/>
              <w:rPr>
                <w:szCs w:val="21"/>
              </w:rPr>
            </w:pPr>
            <w:r>
              <w:rPr>
                <w:szCs w:val="21"/>
              </w:rPr>
              <w:t>13%</w:t>
            </w:r>
          </w:p>
        </w:tc>
        <w:tc>
          <w:tcPr>
            <w:tcW w:w="1225" w:type="pct"/>
            <w:tcBorders>
              <w:top w:val="single" w:color="auto" w:sz="4" w:space="0"/>
            </w:tcBorders>
            <w:vAlign w:val="center"/>
          </w:tcPr>
          <w:p w14:paraId="0D497696">
            <w:pPr>
              <w:pStyle w:val="5"/>
              <w:spacing w:after="0"/>
              <w:jc w:val="center"/>
              <w:rPr>
                <w:szCs w:val="21"/>
              </w:rPr>
            </w:pPr>
            <w:r>
              <w:rPr>
                <w:szCs w:val="21"/>
              </w:rPr>
              <w:t>0.32</w:t>
            </w:r>
          </w:p>
        </w:tc>
        <w:tc>
          <w:tcPr>
            <w:tcW w:w="1756" w:type="pct"/>
            <w:vAlign w:val="center"/>
          </w:tcPr>
          <w:p w14:paraId="56571376">
            <w:pPr>
              <w:pStyle w:val="5"/>
              <w:spacing w:after="0"/>
              <w:jc w:val="center"/>
              <w:rPr>
                <w:szCs w:val="21"/>
              </w:rPr>
            </w:pPr>
            <w:r>
              <w:rPr>
                <w:szCs w:val="21"/>
              </w:rPr>
              <w:t>合格</w:t>
            </w:r>
          </w:p>
        </w:tc>
      </w:tr>
      <w:tr w14:paraId="51EAFCCD">
        <w:tblPrEx>
          <w:tblCellMar>
            <w:top w:w="0" w:type="dxa"/>
            <w:left w:w="108" w:type="dxa"/>
            <w:bottom w:w="0" w:type="dxa"/>
            <w:right w:w="108" w:type="dxa"/>
          </w:tblCellMar>
        </w:tblPrEx>
        <w:trPr>
          <w:trHeight w:val="105" w:hRule="atLeast"/>
        </w:trPr>
        <w:tc>
          <w:tcPr>
            <w:tcW w:w="397" w:type="pct"/>
            <w:vMerge w:val="continue"/>
            <w:vAlign w:val="center"/>
          </w:tcPr>
          <w:p w14:paraId="3D8C67A9">
            <w:pPr>
              <w:pStyle w:val="5"/>
              <w:spacing w:after="0"/>
              <w:jc w:val="center"/>
              <w:rPr>
                <w:szCs w:val="21"/>
              </w:rPr>
            </w:pPr>
          </w:p>
        </w:tc>
        <w:tc>
          <w:tcPr>
            <w:tcW w:w="620" w:type="pct"/>
            <w:vMerge w:val="continue"/>
            <w:vAlign w:val="center"/>
          </w:tcPr>
          <w:p w14:paraId="4E718BB8">
            <w:pPr>
              <w:pStyle w:val="5"/>
              <w:spacing w:after="0"/>
              <w:jc w:val="center"/>
              <w:rPr>
                <w:szCs w:val="21"/>
              </w:rPr>
            </w:pPr>
          </w:p>
        </w:tc>
        <w:tc>
          <w:tcPr>
            <w:tcW w:w="1002" w:type="pct"/>
            <w:vAlign w:val="center"/>
          </w:tcPr>
          <w:p w14:paraId="7509FD10">
            <w:pPr>
              <w:pStyle w:val="5"/>
              <w:spacing w:after="0"/>
              <w:jc w:val="center"/>
              <w:rPr>
                <w:szCs w:val="21"/>
              </w:rPr>
            </w:pPr>
            <w:r>
              <w:rPr>
                <w:szCs w:val="21"/>
              </w:rPr>
              <w:t>14%</w:t>
            </w:r>
          </w:p>
        </w:tc>
        <w:tc>
          <w:tcPr>
            <w:tcW w:w="1225" w:type="pct"/>
            <w:vAlign w:val="center"/>
          </w:tcPr>
          <w:p w14:paraId="1B3E4C3F">
            <w:pPr>
              <w:pStyle w:val="5"/>
              <w:spacing w:after="0"/>
              <w:jc w:val="center"/>
              <w:rPr>
                <w:szCs w:val="21"/>
              </w:rPr>
            </w:pPr>
            <w:r>
              <w:rPr>
                <w:szCs w:val="21"/>
              </w:rPr>
              <w:t>0.34</w:t>
            </w:r>
          </w:p>
        </w:tc>
        <w:tc>
          <w:tcPr>
            <w:tcW w:w="1756" w:type="pct"/>
            <w:vAlign w:val="center"/>
          </w:tcPr>
          <w:p w14:paraId="3FFFC30F">
            <w:pPr>
              <w:pStyle w:val="5"/>
              <w:spacing w:after="0"/>
              <w:jc w:val="center"/>
              <w:rPr>
                <w:szCs w:val="21"/>
              </w:rPr>
            </w:pPr>
            <w:r>
              <w:rPr>
                <w:szCs w:val="21"/>
              </w:rPr>
              <w:t>合格</w:t>
            </w:r>
          </w:p>
        </w:tc>
      </w:tr>
      <w:tr w14:paraId="27FBF958">
        <w:tblPrEx>
          <w:tblCellMar>
            <w:top w:w="0" w:type="dxa"/>
            <w:left w:w="108" w:type="dxa"/>
            <w:bottom w:w="0" w:type="dxa"/>
            <w:right w:w="108" w:type="dxa"/>
          </w:tblCellMar>
        </w:tblPrEx>
        <w:trPr>
          <w:trHeight w:val="105" w:hRule="atLeast"/>
        </w:trPr>
        <w:tc>
          <w:tcPr>
            <w:tcW w:w="397" w:type="pct"/>
            <w:vMerge w:val="continue"/>
            <w:tcBorders>
              <w:bottom w:val="single" w:color="auto" w:sz="4" w:space="0"/>
            </w:tcBorders>
            <w:vAlign w:val="center"/>
          </w:tcPr>
          <w:p w14:paraId="3EF122F5">
            <w:pPr>
              <w:pStyle w:val="5"/>
              <w:spacing w:after="0"/>
              <w:jc w:val="center"/>
              <w:rPr>
                <w:szCs w:val="21"/>
              </w:rPr>
            </w:pPr>
          </w:p>
        </w:tc>
        <w:tc>
          <w:tcPr>
            <w:tcW w:w="620" w:type="pct"/>
            <w:vMerge w:val="continue"/>
            <w:tcBorders>
              <w:bottom w:val="single" w:color="auto" w:sz="4" w:space="0"/>
            </w:tcBorders>
            <w:vAlign w:val="center"/>
          </w:tcPr>
          <w:p w14:paraId="43D6ECB7">
            <w:pPr>
              <w:pStyle w:val="5"/>
              <w:spacing w:after="0"/>
              <w:jc w:val="center"/>
              <w:rPr>
                <w:szCs w:val="21"/>
              </w:rPr>
            </w:pPr>
          </w:p>
        </w:tc>
        <w:tc>
          <w:tcPr>
            <w:tcW w:w="1002" w:type="pct"/>
            <w:tcBorders>
              <w:bottom w:val="single" w:color="auto" w:sz="4" w:space="0"/>
            </w:tcBorders>
            <w:vAlign w:val="center"/>
          </w:tcPr>
          <w:p w14:paraId="27440EE9">
            <w:pPr>
              <w:pStyle w:val="5"/>
              <w:spacing w:after="0"/>
              <w:jc w:val="center"/>
              <w:rPr>
                <w:szCs w:val="21"/>
              </w:rPr>
            </w:pPr>
            <w:r>
              <w:rPr>
                <w:szCs w:val="21"/>
              </w:rPr>
              <w:t>15%</w:t>
            </w:r>
          </w:p>
        </w:tc>
        <w:tc>
          <w:tcPr>
            <w:tcW w:w="1225" w:type="pct"/>
            <w:tcBorders>
              <w:bottom w:val="single" w:color="auto" w:sz="4" w:space="0"/>
            </w:tcBorders>
            <w:vAlign w:val="center"/>
          </w:tcPr>
          <w:p w14:paraId="78FCBFBB">
            <w:pPr>
              <w:pStyle w:val="5"/>
              <w:spacing w:after="0"/>
              <w:jc w:val="center"/>
              <w:rPr>
                <w:szCs w:val="21"/>
              </w:rPr>
            </w:pPr>
            <w:r>
              <w:rPr>
                <w:szCs w:val="21"/>
              </w:rPr>
              <w:t>0.55</w:t>
            </w:r>
          </w:p>
        </w:tc>
        <w:tc>
          <w:tcPr>
            <w:tcW w:w="1756" w:type="pct"/>
            <w:tcBorders>
              <w:bottom w:val="single" w:color="auto" w:sz="4" w:space="0"/>
            </w:tcBorders>
            <w:vAlign w:val="center"/>
          </w:tcPr>
          <w:p w14:paraId="135466E4">
            <w:pPr>
              <w:pStyle w:val="5"/>
              <w:spacing w:after="0"/>
              <w:jc w:val="center"/>
              <w:rPr>
                <w:szCs w:val="21"/>
              </w:rPr>
            </w:pPr>
            <w:r>
              <w:rPr>
                <w:szCs w:val="21"/>
              </w:rPr>
              <w:t>膨胀率不合格</w:t>
            </w:r>
          </w:p>
        </w:tc>
      </w:tr>
      <w:tr w14:paraId="5A3445F5">
        <w:tblPrEx>
          <w:tblCellMar>
            <w:top w:w="0" w:type="dxa"/>
            <w:left w:w="108" w:type="dxa"/>
            <w:bottom w:w="0" w:type="dxa"/>
            <w:right w:w="108" w:type="dxa"/>
          </w:tblCellMar>
        </w:tblPrEx>
        <w:trPr>
          <w:trHeight w:val="105" w:hRule="atLeast"/>
        </w:trPr>
        <w:tc>
          <w:tcPr>
            <w:tcW w:w="397" w:type="pct"/>
            <w:vMerge w:val="restart"/>
            <w:tcBorders>
              <w:top w:val="single" w:color="auto" w:sz="4" w:space="0"/>
            </w:tcBorders>
            <w:vAlign w:val="center"/>
          </w:tcPr>
          <w:p w14:paraId="08996782">
            <w:pPr>
              <w:pStyle w:val="5"/>
              <w:spacing w:after="0"/>
              <w:jc w:val="center"/>
              <w:rPr>
                <w:szCs w:val="21"/>
              </w:rPr>
            </w:pPr>
            <w:r>
              <w:rPr>
                <w:szCs w:val="21"/>
              </w:rPr>
              <w:t>M</w:t>
            </w:r>
          </w:p>
        </w:tc>
        <w:tc>
          <w:tcPr>
            <w:tcW w:w="620" w:type="pct"/>
            <w:vMerge w:val="restart"/>
            <w:tcBorders>
              <w:top w:val="single" w:color="auto" w:sz="4" w:space="0"/>
            </w:tcBorders>
            <w:vAlign w:val="center"/>
          </w:tcPr>
          <w:p w14:paraId="0024A518">
            <w:pPr>
              <w:pStyle w:val="5"/>
              <w:spacing w:after="0"/>
              <w:jc w:val="center"/>
              <w:rPr>
                <w:szCs w:val="21"/>
              </w:rPr>
            </w:pPr>
            <w:r>
              <w:rPr>
                <w:szCs w:val="21"/>
              </w:rPr>
              <w:t>120s</w:t>
            </w:r>
          </w:p>
        </w:tc>
        <w:tc>
          <w:tcPr>
            <w:tcW w:w="1002" w:type="pct"/>
            <w:tcBorders>
              <w:top w:val="single" w:color="auto" w:sz="4" w:space="0"/>
            </w:tcBorders>
            <w:vAlign w:val="center"/>
          </w:tcPr>
          <w:p w14:paraId="18DE4C68">
            <w:pPr>
              <w:pStyle w:val="5"/>
              <w:spacing w:after="0"/>
              <w:jc w:val="center"/>
              <w:rPr>
                <w:szCs w:val="21"/>
              </w:rPr>
            </w:pPr>
            <w:r>
              <w:rPr>
                <w:szCs w:val="21"/>
              </w:rPr>
              <w:t>7%</w:t>
            </w:r>
          </w:p>
        </w:tc>
        <w:tc>
          <w:tcPr>
            <w:tcW w:w="1225" w:type="pct"/>
            <w:tcBorders>
              <w:top w:val="single" w:color="auto" w:sz="4" w:space="0"/>
            </w:tcBorders>
            <w:vAlign w:val="center"/>
          </w:tcPr>
          <w:p w14:paraId="2325FE96">
            <w:pPr>
              <w:pStyle w:val="5"/>
              <w:spacing w:after="0"/>
              <w:jc w:val="center"/>
              <w:rPr>
                <w:szCs w:val="21"/>
              </w:rPr>
            </w:pPr>
            <w:r>
              <w:rPr>
                <w:szCs w:val="21"/>
              </w:rPr>
              <w:t>0.39</w:t>
            </w:r>
          </w:p>
        </w:tc>
        <w:tc>
          <w:tcPr>
            <w:tcW w:w="1756" w:type="pct"/>
            <w:tcBorders>
              <w:top w:val="single" w:color="auto" w:sz="4" w:space="0"/>
            </w:tcBorders>
            <w:vAlign w:val="center"/>
          </w:tcPr>
          <w:p w14:paraId="03A4894F">
            <w:pPr>
              <w:pStyle w:val="5"/>
              <w:spacing w:after="0"/>
              <w:jc w:val="center"/>
              <w:rPr>
                <w:szCs w:val="21"/>
              </w:rPr>
            </w:pPr>
            <w:r>
              <w:rPr>
                <w:szCs w:val="21"/>
              </w:rPr>
              <w:t>合格</w:t>
            </w:r>
          </w:p>
        </w:tc>
      </w:tr>
      <w:tr w14:paraId="56AC00A4">
        <w:tblPrEx>
          <w:tblCellMar>
            <w:top w:w="0" w:type="dxa"/>
            <w:left w:w="108" w:type="dxa"/>
            <w:bottom w:w="0" w:type="dxa"/>
            <w:right w:w="108" w:type="dxa"/>
          </w:tblCellMar>
        </w:tblPrEx>
        <w:trPr>
          <w:trHeight w:val="277" w:hRule="atLeast"/>
        </w:trPr>
        <w:tc>
          <w:tcPr>
            <w:tcW w:w="397" w:type="pct"/>
            <w:vMerge w:val="continue"/>
            <w:vAlign w:val="center"/>
          </w:tcPr>
          <w:p w14:paraId="226CB2EE">
            <w:pPr>
              <w:pStyle w:val="5"/>
              <w:spacing w:after="0"/>
              <w:jc w:val="center"/>
              <w:rPr>
                <w:szCs w:val="21"/>
              </w:rPr>
            </w:pPr>
          </w:p>
        </w:tc>
        <w:tc>
          <w:tcPr>
            <w:tcW w:w="620" w:type="pct"/>
            <w:vMerge w:val="continue"/>
            <w:vAlign w:val="center"/>
          </w:tcPr>
          <w:p w14:paraId="3F190FA8">
            <w:pPr>
              <w:pStyle w:val="5"/>
              <w:spacing w:after="0"/>
              <w:jc w:val="center"/>
              <w:rPr>
                <w:szCs w:val="21"/>
              </w:rPr>
            </w:pPr>
          </w:p>
        </w:tc>
        <w:tc>
          <w:tcPr>
            <w:tcW w:w="1002" w:type="pct"/>
            <w:vAlign w:val="center"/>
          </w:tcPr>
          <w:p w14:paraId="3F7A668A">
            <w:pPr>
              <w:pStyle w:val="5"/>
              <w:spacing w:after="0"/>
              <w:jc w:val="center"/>
              <w:rPr>
                <w:szCs w:val="21"/>
              </w:rPr>
            </w:pPr>
            <w:r>
              <w:rPr>
                <w:szCs w:val="21"/>
              </w:rPr>
              <w:t>8%</w:t>
            </w:r>
          </w:p>
        </w:tc>
        <w:tc>
          <w:tcPr>
            <w:tcW w:w="1225" w:type="pct"/>
            <w:vAlign w:val="center"/>
          </w:tcPr>
          <w:p w14:paraId="55BC930C">
            <w:pPr>
              <w:pStyle w:val="5"/>
              <w:spacing w:after="0"/>
              <w:jc w:val="center"/>
              <w:rPr>
                <w:szCs w:val="21"/>
              </w:rPr>
            </w:pPr>
            <w:r>
              <w:rPr>
                <w:szCs w:val="21"/>
              </w:rPr>
              <w:t>0.79</w:t>
            </w:r>
          </w:p>
        </w:tc>
        <w:tc>
          <w:tcPr>
            <w:tcW w:w="1756" w:type="pct"/>
            <w:vAlign w:val="center"/>
          </w:tcPr>
          <w:p w14:paraId="3E62282C">
            <w:pPr>
              <w:pStyle w:val="5"/>
              <w:spacing w:after="0"/>
              <w:jc w:val="center"/>
              <w:rPr>
                <w:szCs w:val="21"/>
              </w:rPr>
            </w:pPr>
            <w:r>
              <w:rPr>
                <w:szCs w:val="21"/>
              </w:rPr>
              <w:t>有裂纹，不合格</w:t>
            </w:r>
          </w:p>
        </w:tc>
      </w:tr>
      <w:tr w14:paraId="0C992BE9">
        <w:tblPrEx>
          <w:tblCellMar>
            <w:top w:w="0" w:type="dxa"/>
            <w:left w:w="108" w:type="dxa"/>
            <w:bottom w:w="0" w:type="dxa"/>
            <w:right w:w="108" w:type="dxa"/>
          </w:tblCellMar>
        </w:tblPrEx>
        <w:tc>
          <w:tcPr>
            <w:tcW w:w="397" w:type="pct"/>
            <w:vMerge w:val="continue"/>
            <w:vAlign w:val="center"/>
          </w:tcPr>
          <w:p w14:paraId="1FA1798F">
            <w:pPr>
              <w:pStyle w:val="5"/>
              <w:spacing w:after="0"/>
              <w:jc w:val="center"/>
              <w:rPr>
                <w:szCs w:val="21"/>
              </w:rPr>
            </w:pPr>
          </w:p>
        </w:tc>
        <w:tc>
          <w:tcPr>
            <w:tcW w:w="620" w:type="pct"/>
            <w:vMerge w:val="restart"/>
            <w:vAlign w:val="center"/>
          </w:tcPr>
          <w:p w14:paraId="10C11E98">
            <w:pPr>
              <w:pStyle w:val="5"/>
              <w:spacing w:after="0"/>
              <w:jc w:val="center"/>
              <w:rPr>
                <w:szCs w:val="21"/>
              </w:rPr>
            </w:pPr>
            <w:r>
              <w:rPr>
                <w:szCs w:val="21"/>
              </w:rPr>
              <w:t>160s</w:t>
            </w:r>
          </w:p>
        </w:tc>
        <w:tc>
          <w:tcPr>
            <w:tcW w:w="1002" w:type="pct"/>
            <w:vAlign w:val="center"/>
          </w:tcPr>
          <w:p w14:paraId="5BBF772C">
            <w:pPr>
              <w:pStyle w:val="5"/>
              <w:spacing w:after="0"/>
              <w:jc w:val="center"/>
              <w:rPr>
                <w:szCs w:val="21"/>
              </w:rPr>
            </w:pPr>
            <w:r>
              <w:rPr>
                <w:szCs w:val="21"/>
              </w:rPr>
              <w:t>8%</w:t>
            </w:r>
          </w:p>
        </w:tc>
        <w:tc>
          <w:tcPr>
            <w:tcW w:w="1225" w:type="pct"/>
            <w:vAlign w:val="center"/>
          </w:tcPr>
          <w:p w14:paraId="5B4BB789">
            <w:pPr>
              <w:pStyle w:val="5"/>
              <w:spacing w:after="0"/>
              <w:jc w:val="center"/>
              <w:rPr>
                <w:szCs w:val="21"/>
              </w:rPr>
            </w:pPr>
            <w:r>
              <w:rPr>
                <w:szCs w:val="21"/>
              </w:rPr>
              <w:t>0.36</w:t>
            </w:r>
          </w:p>
        </w:tc>
        <w:tc>
          <w:tcPr>
            <w:tcW w:w="1756" w:type="pct"/>
            <w:vAlign w:val="center"/>
          </w:tcPr>
          <w:p w14:paraId="02CCF9D6">
            <w:pPr>
              <w:pStyle w:val="5"/>
              <w:spacing w:after="0"/>
              <w:jc w:val="center"/>
              <w:rPr>
                <w:szCs w:val="21"/>
              </w:rPr>
            </w:pPr>
            <w:r>
              <w:rPr>
                <w:szCs w:val="21"/>
              </w:rPr>
              <w:t>合格</w:t>
            </w:r>
          </w:p>
        </w:tc>
      </w:tr>
      <w:tr w14:paraId="14D1B7C7">
        <w:tblPrEx>
          <w:tblCellMar>
            <w:top w:w="0" w:type="dxa"/>
            <w:left w:w="108" w:type="dxa"/>
            <w:bottom w:w="0" w:type="dxa"/>
            <w:right w:w="108" w:type="dxa"/>
          </w:tblCellMar>
        </w:tblPrEx>
        <w:tc>
          <w:tcPr>
            <w:tcW w:w="397" w:type="pct"/>
            <w:vMerge w:val="continue"/>
            <w:tcBorders>
              <w:bottom w:val="single" w:color="auto" w:sz="4" w:space="0"/>
            </w:tcBorders>
            <w:vAlign w:val="center"/>
          </w:tcPr>
          <w:p w14:paraId="6B3640B8">
            <w:pPr>
              <w:pStyle w:val="5"/>
              <w:spacing w:after="0"/>
              <w:jc w:val="center"/>
              <w:rPr>
                <w:szCs w:val="21"/>
              </w:rPr>
            </w:pPr>
          </w:p>
        </w:tc>
        <w:tc>
          <w:tcPr>
            <w:tcW w:w="620" w:type="pct"/>
            <w:vMerge w:val="continue"/>
            <w:tcBorders>
              <w:bottom w:val="single" w:color="auto" w:sz="4" w:space="0"/>
            </w:tcBorders>
            <w:vAlign w:val="center"/>
          </w:tcPr>
          <w:p w14:paraId="1B5DB0B9">
            <w:pPr>
              <w:pStyle w:val="5"/>
              <w:spacing w:after="0"/>
              <w:jc w:val="center"/>
              <w:rPr>
                <w:szCs w:val="21"/>
              </w:rPr>
            </w:pPr>
          </w:p>
        </w:tc>
        <w:tc>
          <w:tcPr>
            <w:tcW w:w="1002" w:type="pct"/>
            <w:tcBorders>
              <w:bottom w:val="single" w:color="auto" w:sz="4" w:space="0"/>
            </w:tcBorders>
            <w:vAlign w:val="center"/>
          </w:tcPr>
          <w:p w14:paraId="74516453">
            <w:pPr>
              <w:pStyle w:val="5"/>
              <w:spacing w:after="0"/>
              <w:jc w:val="center"/>
              <w:rPr>
                <w:szCs w:val="21"/>
              </w:rPr>
            </w:pPr>
            <w:r>
              <w:rPr>
                <w:szCs w:val="21"/>
              </w:rPr>
              <w:t>9%</w:t>
            </w:r>
          </w:p>
        </w:tc>
        <w:tc>
          <w:tcPr>
            <w:tcW w:w="1225" w:type="pct"/>
            <w:tcBorders>
              <w:bottom w:val="single" w:color="auto" w:sz="4" w:space="0"/>
            </w:tcBorders>
            <w:vAlign w:val="center"/>
          </w:tcPr>
          <w:p w14:paraId="7182AA0D">
            <w:pPr>
              <w:pStyle w:val="5"/>
              <w:spacing w:after="0"/>
              <w:jc w:val="center"/>
              <w:rPr>
                <w:szCs w:val="21"/>
              </w:rPr>
            </w:pPr>
            <w:r>
              <w:rPr>
                <w:szCs w:val="21"/>
              </w:rPr>
              <w:t>0.58</w:t>
            </w:r>
          </w:p>
        </w:tc>
        <w:tc>
          <w:tcPr>
            <w:tcW w:w="1756" w:type="pct"/>
            <w:tcBorders>
              <w:bottom w:val="single" w:color="auto" w:sz="4" w:space="0"/>
            </w:tcBorders>
            <w:vAlign w:val="center"/>
          </w:tcPr>
          <w:p w14:paraId="3CC2B620">
            <w:pPr>
              <w:pStyle w:val="5"/>
              <w:spacing w:after="0"/>
              <w:jc w:val="center"/>
              <w:rPr>
                <w:szCs w:val="21"/>
              </w:rPr>
            </w:pPr>
            <w:r>
              <w:rPr>
                <w:szCs w:val="21"/>
              </w:rPr>
              <w:t>有裂纹，不合格</w:t>
            </w:r>
          </w:p>
        </w:tc>
      </w:tr>
      <w:tr w14:paraId="06C02F12">
        <w:tblPrEx>
          <w:tblCellMar>
            <w:top w:w="0" w:type="dxa"/>
            <w:left w:w="108" w:type="dxa"/>
            <w:bottom w:w="0" w:type="dxa"/>
            <w:right w:w="108" w:type="dxa"/>
          </w:tblCellMar>
        </w:tblPrEx>
        <w:tc>
          <w:tcPr>
            <w:tcW w:w="397" w:type="pct"/>
            <w:vMerge w:val="restart"/>
            <w:tcBorders>
              <w:top w:val="single" w:color="auto" w:sz="4" w:space="0"/>
            </w:tcBorders>
            <w:vAlign w:val="center"/>
          </w:tcPr>
          <w:p w14:paraId="4C841214">
            <w:pPr>
              <w:pStyle w:val="5"/>
              <w:spacing w:after="0"/>
              <w:jc w:val="center"/>
              <w:rPr>
                <w:szCs w:val="21"/>
              </w:rPr>
            </w:pPr>
            <w:r>
              <w:rPr>
                <w:szCs w:val="21"/>
              </w:rPr>
              <w:t>S</w:t>
            </w:r>
          </w:p>
        </w:tc>
        <w:tc>
          <w:tcPr>
            <w:tcW w:w="620" w:type="pct"/>
            <w:vMerge w:val="restart"/>
            <w:tcBorders>
              <w:top w:val="single" w:color="auto" w:sz="4" w:space="0"/>
            </w:tcBorders>
            <w:vAlign w:val="center"/>
          </w:tcPr>
          <w:p w14:paraId="01B6595E">
            <w:pPr>
              <w:pStyle w:val="5"/>
              <w:spacing w:after="0"/>
              <w:jc w:val="center"/>
              <w:rPr>
                <w:szCs w:val="21"/>
              </w:rPr>
            </w:pPr>
            <w:r>
              <w:rPr>
                <w:szCs w:val="21"/>
              </w:rPr>
              <w:t>210s</w:t>
            </w:r>
          </w:p>
        </w:tc>
        <w:tc>
          <w:tcPr>
            <w:tcW w:w="1002" w:type="pct"/>
            <w:tcBorders>
              <w:top w:val="single" w:color="auto" w:sz="4" w:space="0"/>
            </w:tcBorders>
            <w:vAlign w:val="center"/>
          </w:tcPr>
          <w:p w14:paraId="4B8F254B">
            <w:pPr>
              <w:pStyle w:val="5"/>
              <w:spacing w:after="0"/>
              <w:jc w:val="center"/>
              <w:rPr>
                <w:szCs w:val="21"/>
              </w:rPr>
            </w:pPr>
            <w:r>
              <w:rPr>
                <w:szCs w:val="21"/>
              </w:rPr>
              <w:t>7%</w:t>
            </w:r>
          </w:p>
        </w:tc>
        <w:tc>
          <w:tcPr>
            <w:tcW w:w="1225" w:type="pct"/>
            <w:tcBorders>
              <w:top w:val="single" w:color="auto" w:sz="4" w:space="0"/>
            </w:tcBorders>
            <w:vAlign w:val="center"/>
          </w:tcPr>
          <w:p w14:paraId="4D96864A">
            <w:pPr>
              <w:pStyle w:val="5"/>
              <w:spacing w:after="0"/>
              <w:jc w:val="center"/>
              <w:rPr>
                <w:szCs w:val="21"/>
              </w:rPr>
            </w:pPr>
            <w:r>
              <w:rPr>
                <w:szCs w:val="21"/>
              </w:rPr>
              <w:t>0.20</w:t>
            </w:r>
          </w:p>
        </w:tc>
        <w:tc>
          <w:tcPr>
            <w:tcW w:w="1756" w:type="pct"/>
            <w:tcBorders>
              <w:top w:val="single" w:color="auto" w:sz="4" w:space="0"/>
            </w:tcBorders>
            <w:vAlign w:val="center"/>
          </w:tcPr>
          <w:p w14:paraId="22AA9FC6">
            <w:pPr>
              <w:pStyle w:val="5"/>
              <w:spacing w:after="0"/>
              <w:jc w:val="center"/>
              <w:rPr>
                <w:szCs w:val="21"/>
              </w:rPr>
            </w:pPr>
            <w:r>
              <w:rPr>
                <w:szCs w:val="21"/>
              </w:rPr>
              <w:t>合格</w:t>
            </w:r>
          </w:p>
        </w:tc>
      </w:tr>
      <w:tr w14:paraId="5F8F0844">
        <w:tblPrEx>
          <w:tblCellMar>
            <w:top w:w="0" w:type="dxa"/>
            <w:left w:w="108" w:type="dxa"/>
            <w:bottom w:w="0" w:type="dxa"/>
            <w:right w:w="108" w:type="dxa"/>
          </w:tblCellMar>
        </w:tblPrEx>
        <w:tc>
          <w:tcPr>
            <w:tcW w:w="397" w:type="pct"/>
            <w:vMerge w:val="continue"/>
            <w:vAlign w:val="center"/>
          </w:tcPr>
          <w:p w14:paraId="15DA8B9A">
            <w:pPr>
              <w:pStyle w:val="5"/>
              <w:spacing w:after="0"/>
              <w:jc w:val="center"/>
              <w:rPr>
                <w:szCs w:val="21"/>
              </w:rPr>
            </w:pPr>
          </w:p>
        </w:tc>
        <w:tc>
          <w:tcPr>
            <w:tcW w:w="620" w:type="pct"/>
            <w:vMerge w:val="continue"/>
            <w:vAlign w:val="center"/>
          </w:tcPr>
          <w:p w14:paraId="7C2A400C">
            <w:pPr>
              <w:pStyle w:val="5"/>
              <w:spacing w:after="0"/>
              <w:jc w:val="center"/>
              <w:rPr>
                <w:szCs w:val="21"/>
              </w:rPr>
            </w:pPr>
          </w:p>
        </w:tc>
        <w:tc>
          <w:tcPr>
            <w:tcW w:w="1002" w:type="pct"/>
            <w:vAlign w:val="center"/>
          </w:tcPr>
          <w:p w14:paraId="7BE819E5">
            <w:pPr>
              <w:pStyle w:val="5"/>
              <w:spacing w:after="0"/>
              <w:jc w:val="center"/>
              <w:rPr>
                <w:szCs w:val="21"/>
              </w:rPr>
            </w:pPr>
            <w:r>
              <w:rPr>
                <w:szCs w:val="21"/>
              </w:rPr>
              <w:t>8%</w:t>
            </w:r>
          </w:p>
        </w:tc>
        <w:tc>
          <w:tcPr>
            <w:tcW w:w="1225" w:type="pct"/>
            <w:vAlign w:val="center"/>
          </w:tcPr>
          <w:p w14:paraId="12366B0B">
            <w:pPr>
              <w:pStyle w:val="5"/>
              <w:spacing w:after="0"/>
              <w:jc w:val="center"/>
              <w:rPr>
                <w:szCs w:val="21"/>
              </w:rPr>
            </w:pPr>
            <w:r>
              <w:rPr>
                <w:szCs w:val="21"/>
              </w:rPr>
              <w:t>0.41</w:t>
            </w:r>
          </w:p>
        </w:tc>
        <w:tc>
          <w:tcPr>
            <w:tcW w:w="1756" w:type="pct"/>
            <w:vAlign w:val="center"/>
          </w:tcPr>
          <w:p w14:paraId="4CB53A6B">
            <w:pPr>
              <w:pStyle w:val="5"/>
              <w:spacing w:after="0"/>
              <w:jc w:val="center"/>
              <w:rPr>
                <w:szCs w:val="21"/>
              </w:rPr>
            </w:pPr>
            <w:r>
              <w:rPr>
                <w:szCs w:val="21"/>
              </w:rPr>
              <w:t>有裂纹，不合格</w:t>
            </w:r>
          </w:p>
        </w:tc>
      </w:tr>
      <w:tr w14:paraId="3C9C002B">
        <w:tblPrEx>
          <w:tblCellMar>
            <w:top w:w="0" w:type="dxa"/>
            <w:left w:w="108" w:type="dxa"/>
            <w:bottom w:w="0" w:type="dxa"/>
            <w:right w:w="108" w:type="dxa"/>
          </w:tblCellMar>
        </w:tblPrEx>
        <w:trPr>
          <w:trHeight w:val="210" w:hRule="atLeast"/>
        </w:trPr>
        <w:tc>
          <w:tcPr>
            <w:tcW w:w="397" w:type="pct"/>
            <w:vMerge w:val="continue"/>
            <w:vAlign w:val="center"/>
          </w:tcPr>
          <w:p w14:paraId="0D3CFA0A">
            <w:pPr>
              <w:pStyle w:val="5"/>
              <w:spacing w:after="0"/>
              <w:jc w:val="center"/>
              <w:rPr>
                <w:szCs w:val="21"/>
              </w:rPr>
            </w:pPr>
          </w:p>
        </w:tc>
        <w:tc>
          <w:tcPr>
            <w:tcW w:w="620" w:type="pct"/>
            <w:vMerge w:val="restart"/>
            <w:vAlign w:val="center"/>
          </w:tcPr>
          <w:p w14:paraId="7751033B">
            <w:pPr>
              <w:pStyle w:val="5"/>
              <w:spacing w:after="0"/>
              <w:jc w:val="center"/>
              <w:rPr>
                <w:szCs w:val="21"/>
              </w:rPr>
            </w:pPr>
            <w:r>
              <w:rPr>
                <w:szCs w:val="21"/>
              </w:rPr>
              <w:t>260s</w:t>
            </w:r>
          </w:p>
        </w:tc>
        <w:tc>
          <w:tcPr>
            <w:tcW w:w="1002" w:type="pct"/>
            <w:vAlign w:val="center"/>
          </w:tcPr>
          <w:p w14:paraId="79F5F813">
            <w:pPr>
              <w:pStyle w:val="5"/>
              <w:spacing w:after="0"/>
              <w:jc w:val="center"/>
              <w:rPr>
                <w:szCs w:val="21"/>
              </w:rPr>
            </w:pPr>
            <w:r>
              <w:rPr>
                <w:szCs w:val="21"/>
              </w:rPr>
              <w:t>4%</w:t>
            </w:r>
          </w:p>
        </w:tc>
        <w:tc>
          <w:tcPr>
            <w:tcW w:w="1225" w:type="pct"/>
            <w:vAlign w:val="center"/>
          </w:tcPr>
          <w:p w14:paraId="6C3AE4AA">
            <w:pPr>
              <w:pStyle w:val="5"/>
              <w:spacing w:after="0"/>
              <w:jc w:val="center"/>
              <w:rPr>
                <w:szCs w:val="21"/>
              </w:rPr>
            </w:pPr>
            <w:r>
              <w:rPr>
                <w:szCs w:val="21"/>
              </w:rPr>
              <w:t>0.10</w:t>
            </w:r>
          </w:p>
        </w:tc>
        <w:tc>
          <w:tcPr>
            <w:tcW w:w="1756" w:type="pct"/>
            <w:vAlign w:val="center"/>
          </w:tcPr>
          <w:p w14:paraId="2A634006">
            <w:pPr>
              <w:pStyle w:val="5"/>
              <w:spacing w:after="0"/>
              <w:jc w:val="center"/>
              <w:rPr>
                <w:szCs w:val="21"/>
              </w:rPr>
            </w:pPr>
            <w:r>
              <w:rPr>
                <w:szCs w:val="21"/>
              </w:rPr>
              <w:t>合格</w:t>
            </w:r>
          </w:p>
        </w:tc>
      </w:tr>
      <w:tr w14:paraId="4BD5990B">
        <w:tblPrEx>
          <w:tblCellMar>
            <w:top w:w="0" w:type="dxa"/>
            <w:left w:w="108" w:type="dxa"/>
            <w:bottom w:w="0" w:type="dxa"/>
            <w:right w:w="108" w:type="dxa"/>
          </w:tblCellMar>
        </w:tblPrEx>
        <w:trPr>
          <w:trHeight w:val="210" w:hRule="atLeast"/>
        </w:trPr>
        <w:tc>
          <w:tcPr>
            <w:tcW w:w="397" w:type="pct"/>
            <w:vMerge w:val="continue"/>
            <w:vAlign w:val="center"/>
          </w:tcPr>
          <w:p w14:paraId="47BF513B">
            <w:pPr>
              <w:pStyle w:val="5"/>
              <w:spacing w:after="0"/>
              <w:jc w:val="center"/>
              <w:rPr>
                <w:szCs w:val="21"/>
              </w:rPr>
            </w:pPr>
          </w:p>
        </w:tc>
        <w:tc>
          <w:tcPr>
            <w:tcW w:w="620" w:type="pct"/>
            <w:vMerge w:val="continue"/>
            <w:vAlign w:val="center"/>
          </w:tcPr>
          <w:p w14:paraId="119C1596">
            <w:pPr>
              <w:pStyle w:val="5"/>
              <w:spacing w:after="0"/>
              <w:jc w:val="center"/>
              <w:rPr>
                <w:szCs w:val="21"/>
              </w:rPr>
            </w:pPr>
          </w:p>
        </w:tc>
        <w:tc>
          <w:tcPr>
            <w:tcW w:w="1002" w:type="pct"/>
            <w:vAlign w:val="center"/>
          </w:tcPr>
          <w:p w14:paraId="2BF4C41B">
            <w:pPr>
              <w:pStyle w:val="5"/>
              <w:spacing w:after="0"/>
              <w:jc w:val="center"/>
              <w:rPr>
                <w:szCs w:val="21"/>
              </w:rPr>
            </w:pPr>
            <w:r>
              <w:rPr>
                <w:szCs w:val="21"/>
              </w:rPr>
              <w:t>5%</w:t>
            </w:r>
          </w:p>
        </w:tc>
        <w:tc>
          <w:tcPr>
            <w:tcW w:w="1225" w:type="pct"/>
            <w:vAlign w:val="center"/>
          </w:tcPr>
          <w:p w14:paraId="68140484">
            <w:pPr>
              <w:pStyle w:val="5"/>
              <w:spacing w:after="0"/>
              <w:jc w:val="center"/>
              <w:rPr>
                <w:szCs w:val="21"/>
              </w:rPr>
            </w:pPr>
            <w:r>
              <w:rPr>
                <w:szCs w:val="21"/>
              </w:rPr>
              <w:t>0.38</w:t>
            </w:r>
          </w:p>
        </w:tc>
        <w:tc>
          <w:tcPr>
            <w:tcW w:w="1756" w:type="pct"/>
            <w:vAlign w:val="center"/>
          </w:tcPr>
          <w:p w14:paraId="62FE2B72">
            <w:pPr>
              <w:pStyle w:val="5"/>
              <w:spacing w:after="0"/>
              <w:jc w:val="center"/>
              <w:rPr>
                <w:szCs w:val="21"/>
              </w:rPr>
            </w:pPr>
            <w:r>
              <w:rPr>
                <w:szCs w:val="21"/>
              </w:rPr>
              <w:t>合格</w:t>
            </w:r>
          </w:p>
        </w:tc>
      </w:tr>
      <w:tr w14:paraId="06B3D2D7">
        <w:tblPrEx>
          <w:tblCellMar>
            <w:top w:w="0" w:type="dxa"/>
            <w:left w:w="108" w:type="dxa"/>
            <w:bottom w:w="0" w:type="dxa"/>
            <w:right w:w="108" w:type="dxa"/>
          </w:tblCellMar>
        </w:tblPrEx>
        <w:trPr>
          <w:trHeight w:val="210" w:hRule="atLeast"/>
        </w:trPr>
        <w:tc>
          <w:tcPr>
            <w:tcW w:w="397" w:type="pct"/>
            <w:vMerge w:val="continue"/>
            <w:tcBorders>
              <w:bottom w:val="single" w:color="auto" w:sz="12" w:space="0"/>
            </w:tcBorders>
            <w:vAlign w:val="center"/>
          </w:tcPr>
          <w:p w14:paraId="5C5D12A9">
            <w:pPr>
              <w:pStyle w:val="5"/>
              <w:spacing w:after="0"/>
              <w:jc w:val="center"/>
              <w:rPr>
                <w:szCs w:val="21"/>
              </w:rPr>
            </w:pPr>
          </w:p>
        </w:tc>
        <w:tc>
          <w:tcPr>
            <w:tcW w:w="620" w:type="pct"/>
            <w:vMerge w:val="continue"/>
            <w:tcBorders>
              <w:bottom w:val="single" w:color="auto" w:sz="12" w:space="0"/>
            </w:tcBorders>
            <w:vAlign w:val="center"/>
          </w:tcPr>
          <w:p w14:paraId="79A1CB29">
            <w:pPr>
              <w:pStyle w:val="5"/>
              <w:spacing w:after="0"/>
              <w:jc w:val="center"/>
              <w:rPr>
                <w:szCs w:val="21"/>
              </w:rPr>
            </w:pPr>
          </w:p>
        </w:tc>
        <w:tc>
          <w:tcPr>
            <w:tcW w:w="1002" w:type="pct"/>
            <w:tcBorders>
              <w:bottom w:val="single" w:color="auto" w:sz="12" w:space="0"/>
            </w:tcBorders>
            <w:vAlign w:val="center"/>
          </w:tcPr>
          <w:p w14:paraId="4EFBE811">
            <w:pPr>
              <w:pStyle w:val="5"/>
              <w:spacing w:after="0"/>
              <w:jc w:val="center"/>
              <w:rPr>
                <w:szCs w:val="21"/>
              </w:rPr>
            </w:pPr>
            <w:r>
              <w:rPr>
                <w:szCs w:val="21"/>
              </w:rPr>
              <w:t>6%</w:t>
            </w:r>
          </w:p>
        </w:tc>
        <w:tc>
          <w:tcPr>
            <w:tcW w:w="1225" w:type="pct"/>
            <w:tcBorders>
              <w:bottom w:val="single" w:color="auto" w:sz="12" w:space="0"/>
            </w:tcBorders>
            <w:vAlign w:val="center"/>
          </w:tcPr>
          <w:p w14:paraId="3102BDE7">
            <w:pPr>
              <w:pStyle w:val="5"/>
              <w:spacing w:after="0"/>
              <w:jc w:val="center"/>
              <w:rPr>
                <w:szCs w:val="21"/>
              </w:rPr>
            </w:pPr>
            <w:r>
              <w:rPr>
                <w:szCs w:val="21"/>
              </w:rPr>
              <w:t>0.99</w:t>
            </w:r>
          </w:p>
        </w:tc>
        <w:tc>
          <w:tcPr>
            <w:tcW w:w="1756" w:type="pct"/>
            <w:tcBorders>
              <w:bottom w:val="single" w:color="auto" w:sz="12" w:space="0"/>
            </w:tcBorders>
            <w:vAlign w:val="center"/>
          </w:tcPr>
          <w:p w14:paraId="513C05B5">
            <w:pPr>
              <w:pStyle w:val="5"/>
              <w:spacing w:after="0"/>
              <w:jc w:val="center"/>
              <w:rPr>
                <w:szCs w:val="21"/>
              </w:rPr>
            </w:pPr>
            <w:r>
              <w:rPr>
                <w:szCs w:val="21"/>
              </w:rPr>
              <w:t>有裂纹，不合格</w:t>
            </w:r>
          </w:p>
        </w:tc>
      </w:tr>
    </w:tbl>
    <w:p w14:paraId="70BAD332">
      <w:pPr>
        <w:pStyle w:val="5"/>
        <w:spacing w:before="240" w:line="360" w:lineRule="auto"/>
        <w:ind w:firstLine="420"/>
        <w:rPr>
          <w:rFonts w:hint="eastAsia"/>
          <w:sz w:val="24"/>
        </w:rPr>
      </w:pPr>
      <w:r>
        <w:rPr>
          <w:sz w:val="24"/>
        </w:rPr>
        <w:t>随着</w:t>
      </w:r>
      <w:bookmarkStart w:id="75" w:name="OLE_LINK15"/>
      <w:r>
        <w:rPr>
          <w:rFonts w:hint="eastAsia"/>
          <w:sz w:val="24"/>
        </w:rPr>
        <w:t>氧化镁</w:t>
      </w:r>
      <w:bookmarkEnd w:id="75"/>
      <w:r>
        <w:rPr>
          <w:sz w:val="24"/>
        </w:rPr>
        <w:t>膨胀剂掺量增加，混凝土</w:t>
      </w:r>
      <w:r>
        <w:rPr>
          <w:rFonts w:hint="eastAsia"/>
          <w:sz w:val="24"/>
        </w:rPr>
        <w:t>压蒸</w:t>
      </w:r>
      <w:r>
        <w:rPr>
          <w:sz w:val="24"/>
        </w:rPr>
        <w:t>膨胀率增大。随着</w:t>
      </w:r>
      <w:r>
        <w:rPr>
          <w:rFonts w:hint="eastAsia"/>
          <w:sz w:val="24"/>
        </w:rPr>
        <w:t>氧化镁</w:t>
      </w:r>
      <w:r>
        <w:rPr>
          <w:sz w:val="24"/>
        </w:rPr>
        <w:t>活性降低，极限掺量逐渐变小；活性为80s的</w:t>
      </w:r>
      <w:r>
        <w:rPr>
          <w:rFonts w:hint="eastAsia"/>
          <w:sz w:val="24"/>
        </w:rPr>
        <w:t>氧化镁</w:t>
      </w:r>
      <w:r>
        <w:rPr>
          <w:sz w:val="24"/>
        </w:rPr>
        <w:t xml:space="preserve">膨胀剂极限掺量为14%；活性为120s </w:t>
      </w:r>
      <w:r>
        <w:rPr>
          <w:rFonts w:hint="eastAsia"/>
          <w:sz w:val="24"/>
        </w:rPr>
        <w:t>氧化镁</w:t>
      </w:r>
      <w:r>
        <w:rPr>
          <w:sz w:val="24"/>
        </w:rPr>
        <w:t>膨胀剂极限掺量为7 %；活性为160s的</w:t>
      </w:r>
      <w:r>
        <w:rPr>
          <w:rFonts w:hint="eastAsia"/>
          <w:sz w:val="24"/>
        </w:rPr>
        <w:t>氧化镁</w:t>
      </w:r>
      <w:r>
        <w:rPr>
          <w:sz w:val="24"/>
        </w:rPr>
        <w:t xml:space="preserve">膨胀剂极限掺量为8 %；活性为210s </w:t>
      </w:r>
      <w:r>
        <w:rPr>
          <w:rFonts w:hint="eastAsia"/>
          <w:sz w:val="24"/>
        </w:rPr>
        <w:t>氧化镁</w:t>
      </w:r>
      <w:r>
        <w:rPr>
          <w:sz w:val="24"/>
        </w:rPr>
        <w:t>膨胀剂极限掺量为7%；活性为210s的</w:t>
      </w:r>
      <w:r>
        <w:rPr>
          <w:rFonts w:hint="eastAsia"/>
          <w:sz w:val="24"/>
        </w:rPr>
        <w:t>氧化镁</w:t>
      </w:r>
      <w:r>
        <w:rPr>
          <w:sz w:val="24"/>
        </w:rPr>
        <w:t>膨胀剂极限掺量为5%。</w:t>
      </w:r>
    </w:p>
    <w:p w14:paraId="2F57CB57">
      <w:pPr>
        <w:pStyle w:val="5"/>
        <w:spacing w:line="360" w:lineRule="auto"/>
        <w:ind w:firstLine="420"/>
        <w:rPr>
          <w:rFonts w:hint="eastAsia"/>
          <w:b/>
          <w:bCs/>
          <w:color w:val="auto"/>
          <w:sz w:val="24"/>
        </w:rPr>
      </w:pPr>
      <w:r>
        <w:rPr>
          <w:rFonts w:hint="eastAsia"/>
          <w:sz w:val="24"/>
        </w:rPr>
        <w:t>安定性试验结果表明，通过压蒸法可有效评价掺氧化镁膨胀剂混凝土的安定性问题，该试验方法可行。</w:t>
      </w:r>
    </w:p>
    <w:p w14:paraId="6D7106E3">
      <w:pPr>
        <w:shd w:val="clear" w:color="auto" w:fill="FFFFFF"/>
        <w:spacing w:before="312" w:beforeLines="100" w:after="312" w:afterLines="100" w:line="300" w:lineRule="auto"/>
        <w:outlineLvl w:val="1"/>
        <w:rPr>
          <w:b/>
          <w:bCs/>
          <w:color w:val="auto"/>
          <w:sz w:val="32"/>
          <w:szCs w:val="28"/>
        </w:rPr>
      </w:pPr>
      <w:r>
        <w:rPr>
          <w:b/>
          <w:bCs/>
          <w:color w:val="auto"/>
          <w:sz w:val="32"/>
          <w:szCs w:val="28"/>
        </w:rPr>
        <w:t>4  标准中涉及专利、知识产权情况说明</w:t>
      </w:r>
    </w:p>
    <w:p w14:paraId="24221CF1">
      <w:pPr>
        <w:spacing w:line="360" w:lineRule="auto"/>
        <w:ind w:firstLine="480"/>
        <w:rPr>
          <w:rFonts w:eastAsiaTheme="minorEastAsia"/>
          <w:color w:val="000000" w:themeColor="text1"/>
          <w:sz w:val="24"/>
          <w14:textFill>
            <w14:solidFill>
              <w14:schemeClr w14:val="tx1"/>
            </w14:solidFill>
          </w14:textFill>
        </w:rPr>
      </w:pPr>
      <w:r>
        <w:rPr>
          <w:rFonts w:eastAsiaTheme="minorEastAsia"/>
          <w:color w:val="000000" w:themeColor="text1"/>
          <w:sz w:val="24"/>
          <w14:textFill>
            <w14:solidFill>
              <w14:schemeClr w14:val="tx1"/>
            </w14:solidFill>
          </w14:textFill>
        </w:rPr>
        <w:t>经检索，本标准所列技术内容没有涉及专利和知识产权的情况。</w:t>
      </w:r>
    </w:p>
    <w:p w14:paraId="4BBD015F">
      <w:pPr>
        <w:shd w:val="clear" w:color="auto" w:fill="FFFFFF"/>
        <w:spacing w:before="312" w:beforeLines="100" w:after="312" w:afterLines="100" w:line="300" w:lineRule="auto"/>
        <w:outlineLvl w:val="1"/>
        <w:rPr>
          <w:b/>
          <w:bCs/>
          <w:color w:val="auto"/>
          <w:sz w:val="32"/>
          <w:szCs w:val="28"/>
        </w:rPr>
      </w:pPr>
      <w:r>
        <w:rPr>
          <w:b/>
          <w:bCs/>
          <w:color w:val="auto"/>
          <w:sz w:val="32"/>
          <w:szCs w:val="28"/>
        </w:rPr>
        <w:t>5  产业化情况、推广应用论证和预期达到的经济效果等情况</w:t>
      </w:r>
    </w:p>
    <w:p w14:paraId="48CBCF60">
      <w:pPr>
        <w:snapToGrid w:val="0"/>
        <w:spacing w:line="360" w:lineRule="auto"/>
        <w:ind w:firstLine="480" w:firstLineChars="200"/>
        <w:rPr>
          <w:sz w:val="24"/>
        </w:rPr>
      </w:pPr>
      <w:r>
        <w:rPr>
          <w:rFonts w:hint="eastAsia"/>
          <w:sz w:val="24"/>
        </w:rPr>
        <w:t>我国建筑工程开裂渗漏问题十分严重，据统计，约52%的建筑存在开裂渗漏问题。混凝土膨胀剂是目前提升建筑工程抗裂抗渗性能最有效的材料之一，是解决混凝土工程开裂渗漏难题的重要技术手段。当前国内混凝土膨胀剂生产企业上百家，年生产能力近千万吨。2025年膨胀剂销量近200万吨，膨胀剂衍生产品近100余万吨，折合生产使用混凝土超1亿立方米。</w:t>
      </w:r>
    </w:p>
    <w:p w14:paraId="0C639593">
      <w:pPr>
        <w:snapToGrid w:val="0"/>
        <w:spacing w:line="360" w:lineRule="auto"/>
        <w:ind w:firstLine="480" w:firstLineChars="200"/>
        <w:rPr>
          <w:sz w:val="24"/>
        </w:rPr>
      </w:pPr>
      <w:r>
        <w:rPr>
          <w:rFonts w:hint="eastAsia"/>
          <w:sz w:val="24"/>
        </w:rPr>
        <w:t>当前，混凝土膨胀剂品种推陈出新，除了传统的硫铝酸钙类膨胀剂、氧化钙类膨胀剂、硫铝酸钙-氧化钙类膨胀剂外，氧化镁类膨胀剂、钙镁复合膨胀剂、膨胀型矿物掺合料以及具有抑温功能的复合膨胀剂逐渐占领较大的市场份额，</w:t>
      </w:r>
      <w:r>
        <w:rPr>
          <w:sz w:val="24"/>
        </w:rPr>
        <w:t>膨胀剂市场呈</w:t>
      </w:r>
      <w:r>
        <w:rPr>
          <w:rFonts w:hint="eastAsia"/>
          <w:sz w:val="24"/>
        </w:rPr>
        <w:t>现“高端产品供不应求、中低端产品竞争激烈”的特点，</w:t>
      </w:r>
      <w:r>
        <w:rPr>
          <w:sz w:val="24"/>
        </w:rPr>
        <w:t>绿色环保、高性</w:t>
      </w:r>
      <w:r>
        <w:rPr>
          <w:rFonts w:hint="eastAsia"/>
          <w:sz w:val="24"/>
        </w:rPr>
        <w:t>能、专用化成为市场竞争的核心焦点。我国混凝土膨胀剂市场集中度较高，呈现“头部引领、中小企业补充”的格局，</w:t>
      </w:r>
      <w:r>
        <w:rPr>
          <w:sz w:val="24"/>
        </w:rPr>
        <w:t>形成了以</w:t>
      </w:r>
      <w:r>
        <w:rPr>
          <w:rFonts w:hint="eastAsia"/>
          <w:sz w:val="24"/>
        </w:rPr>
        <w:t>武汉三源特种建材有限责任公司、天津豹鸣股份有限公司、</w:t>
      </w:r>
      <w:r>
        <w:rPr>
          <w:rFonts w:hint="eastAsia" w:eastAsiaTheme="majorEastAsia"/>
          <w:color w:val="000000" w:themeColor="text1"/>
          <w:sz w:val="24"/>
          <w14:textFill>
            <w14:solidFill>
              <w14:schemeClr w14:val="tx1"/>
            </w14:solidFill>
          </w14:textFill>
        </w:rPr>
        <w:t>江苏苏博特新材料股份有限公司等</w:t>
      </w:r>
      <w:r>
        <w:rPr>
          <w:sz w:val="24"/>
        </w:rPr>
        <w:t>龙头企业为主导的市场格局，这些企业凭借技术优势、品牌优势和</w:t>
      </w:r>
      <w:r>
        <w:rPr>
          <w:rFonts w:hint="eastAsia"/>
          <w:sz w:val="24"/>
        </w:rPr>
        <w:t>地域</w:t>
      </w:r>
      <w:r>
        <w:rPr>
          <w:sz w:val="24"/>
        </w:rPr>
        <w:t>布局优势，占据</w:t>
      </w:r>
      <w:r>
        <w:rPr>
          <w:rFonts w:hint="eastAsia"/>
          <w:sz w:val="24"/>
        </w:rPr>
        <w:t>我国</w:t>
      </w:r>
      <w:r>
        <w:rPr>
          <w:sz w:val="24"/>
        </w:rPr>
        <w:t>市场的主导地位。</w:t>
      </w:r>
    </w:p>
    <w:p w14:paraId="7C752021">
      <w:pPr>
        <w:snapToGrid w:val="0"/>
        <w:spacing w:line="360" w:lineRule="auto"/>
        <w:ind w:firstLine="480" w:firstLineChars="200"/>
        <w:rPr>
          <w:sz w:val="24"/>
        </w:rPr>
      </w:pPr>
      <w:r>
        <w:rPr>
          <w:rFonts w:hint="eastAsia"/>
          <w:sz w:val="24"/>
        </w:rPr>
        <w:t>与其它抗裂技术措施相比，混凝土膨胀剂技术优势明显、工程价值高，主要体现在：膨胀剂水化</w:t>
      </w:r>
      <w:r>
        <w:rPr>
          <w:sz w:val="24"/>
        </w:rPr>
        <w:t>生成</w:t>
      </w:r>
      <w:r>
        <w:rPr>
          <w:rFonts w:hint="eastAsia"/>
          <w:sz w:val="24"/>
        </w:rPr>
        <w:t>的</w:t>
      </w:r>
      <w:r>
        <w:rPr>
          <w:sz w:val="24"/>
        </w:rPr>
        <w:t>钙矾石</w:t>
      </w:r>
      <w:r>
        <w:rPr>
          <w:rFonts w:hint="eastAsia"/>
          <w:sz w:val="24"/>
        </w:rPr>
        <w:t>、</w:t>
      </w:r>
      <w:r>
        <w:rPr>
          <w:sz w:val="24"/>
        </w:rPr>
        <w:t xml:space="preserve"> 氢氧化钙</w:t>
      </w:r>
      <w:r>
        <w:rPr>
          <w:rFonts w:hint="eastAsia"/>
          <w:sz w:val="24"/>
        </w:rPr>
        <w:t>与氢氧化镁</w:t>
      </w:r>
      <w:r>
        <w:rPr>
          <w:sz w:val="24"/>
        </w:rPr>
        <w:t>产生微膨胀，</w:t>
      </w:r>
      <w:r>
        <w:rPr>
          <w:rFonts w:hint="eastAsia"/>
          <w:sz w:val="24"/>
        </w:rPr>
        <w:t>一方面可以有效</w:t>
      </w:r>
      <w:r>
        <w:rPr>
          <w:sz w:val="24"/>
        </w:rPr>
        <w:t>抵消混凝土干缩与温度收缩</w:t>
      </w:r>
      <w:r>
        <w:rPr>
          <w:rFonts w:hint="eastAsia"/>
          <w:sz w:val="24"/>
        </w:rPr>
        <w:t>，起到补偿收缩抗裂作用；另一方面，</w:t>
      </w:r>
      <w:r>
        <w:rPr>
          <w:sz w:val="24"/>
        </w:rPr>
        <w:t>晶体填充毛细孔形成致密结构，阻断水渗透路径</w:t>
      </w:r>
      <w:r>
        <w:rPr>
          <w:rFonts w:hint="eastAsia"/>
          <w:sz w:val="24"/>
        </w:rPr>
        <w:t>，</w:t>
      </w:r>
      <w:r>
        <w:rPr>
          <w:sz w:val="24"/>
        </w:rPr>
        <w:t>提高抗渗性能</w:t>
      </w:r>
      <w:r>
        <w:rPr>
          <w:rFonts w:hint="eastAsia"/>
          <w:sz w:val="24"/>
        </w:rPr>
        <w:t>；同时，</w:t>
      </w:r>
      <w:r>
        <w:rPr>
          <w:sz w:val="24"/>
        </w:rPr>
        <w:t>致密结构延缓氯离子、硫酸盐侵蚀，减少钢筋锈蚀</w:t>
      </w:r>
      <w:r>
        <w:rPr>
          <w:rFonts w:hint="eastAsia"/>
          <w:sz w:val="24"/>
        </w:rPr>
        <w:t>，提升混凝土结构耐久性，延长结构使用寿命。膨胀剂及衍生产品已广泛应用于地下抗裂防水混凝土、超长结构抗裂无缝施工、大体积混凝土抗裂施工等工程中。</w:t>
      </w:r>
    </w:p>
    <w:p w14:paraId="6AAB581E">
      <w:pPr>
        <w:snapToGrid w:val="0"/>
        <w:spacing w:line="360" w:lineRule="auto"/>
        <w:ind w:firstLine="480" w:firstLineChars="200"/>
        <w:rPr>
          <w:sz w:val="24"/>
        </w:rPr>
      </w:pPr>
      <w:r>
        <w:rPr>
          <w:sz w:val="24"/>
        </w:rPr>
        <w:t>混凝土膨胀剂</w:t>
      </w:r>
      <w:r>
        <w:rPr>
          <w:rFonts w:hint="eastAsia"/>
          <w:sz w:val="24"/>
        </w:rPr>
        <w:t>的推广应用具有良好的社会经济效益，主要体现在以下几方面：</w:t>
      </w:r>
    </w:p>
    <w:p w14:paraId="52D85424">
      <w:pPr>
        <w:snapToGrid w:val="0"/>
        <w:spacing w:line="360" w:lineRule="auto"/>
        <w:ind w:firstLine="480" w:firstLineChars="200"/>
        <w:rPr>
          <w:sz w:val="24"/>
        </w:rPr>
      </w:pPr>
      <w:r>
        <w:rPr>
          <w:rFonts w:hint="eastAsia"/>
          <w:sz w:val="24"/>
        </w:rPr>
        <w:t xml:space="preserve">（1）提高了我国建筑工程裂缝控制水平，为确保我国重大工程建设质量提供重要技术支撑。 </w:t>
      </w:r>
    </w:p>
    <w:p w14:paraId="1C7CB261">
      <w:pPr>
        <w:snapToGrid w:val="0"/>
        <w:spacing w:line="360" w:lineRule="auto"/>
        <w:ind w:firstLine="480" w:firstLineChars="200"/>
        <w:rPr>
          <w:sz w:val="24"/>
        </w:rPr>
      </w:pPr>
      <w:r>
        <w:rPr>
          <w:rFonts w:hint="eastAsia"/>
          <w:sz w:val="24"/>
        </w:rPr>
        <w:t>（2）推进重点建筑结构工程高耐久、长寿命，促进混凝土工业节能减排，符合国家绿色、低碳可持续发展战略。</w:t>
      </w:r>
      <w:r>
        <w:rPr>
          <w:sz w:val="24"/>
        </w:rPr>
        <w:cr/>
      </w:r>
      <w:r>
        <w:rPr>
          <w:rFonts w:hint="eastAsia"/>
          <w:sz w:val="24"/>
        </w:rPr>
        <w:t xml:space="preserve">     （3）应用于地下工程时，</w:t>
      </w:r>
      <w:r>
        <w:rPr>
          <w:sz w:val="24"/>
        </w:rPr>
        <w:t>减少卷材、防水涂料等</w:t>
      </w:r>
      <w:r>
        <w:rPr>
          <w:rFonts w:hint="eastAsia"/>
          <w:sz w:val="24"/>
        </w:rPr>
        <w:t>不可再生</w:t>
      </w:r>
      <w:r>
        <w:rPr>
          <w:sz w:val="24"/>
        </w:rPr>
        <w:t>化工产品使用，</w:t>
      </w:r>
      <w:r>
        <w:rPr>
          <w:rFonts w:hint="eastAsia"/>
          <w:sz w:val="24"/>
        </w:rPr>
        <w:t>防水成本降低15%左右，建设周期缩短30天左右。同时，有效减少裂缝处理，</w:t>
      </w:r>
      <w:r>
        <w:rPr>
          <w:sz w:val="24"/>
        </w:rPr>
        <w:t>结构使用寿命延长</w:t>
      </w:r>
      <w:r>
        <w:rPr>
          <w:rFonts w:hint="eastAsia"/>
          <w:sz w:val="24"/>
        </w:rPr>
        <w:t>，降低全生命周期维修成本，综合经济收益明显。</w:t>
      </w:r>
    </w:p>
    <w:p w14:paraId="1B4A3F71">
      <w:pPr>
        <w:snapToGrid w:val="0"/>
        <w:spacing w:line="360" w:lineRule="auto"/>
        <w:ind w:firstLine="480" w:firstLineChars="200"/>
        <w:rPr>
          <w:sz w:val="24"/>
        </w:rPr>
      </w:pPr>
      <w:r>
        <w:rPr>
          <w:rFonts w:hint="eastAsia"/>
          <w:sz w:val="24"/>
        </w:rPr>
        <w:t>（4）超长结构无缝施工技术，一方面减少了后浇带</w:t>
      </w:r>
      <w:r>
        <w:rPr>
          <w:sz w:val="24"/>
        </w:rPr>
        <w:t>凿毛、清理等工序，节省施工能耗1</w:t>
      </w:r>
      <w:r>
        <w:rPr>
          <w:rFonts w:hint="eastAsia"/>
          <w:sz w:val="24"/>
        </w:rPr>
        <w:t>0</w:t>
      </w:r>
      <w:r>
        <w:rPr>
          <w:sz w:val="24"/>
        </w:rPr>
        <w:t>%</w:t>
      </w:r>
      <w:r>
        <w:rPr>
          <w:rFonts w:hint="eastAsia"/>
          <w:sz w:val="24"/>
        </w:rPr>
        <w:t>，减少混凝土浪费，同时</w:t>
      </w:r>
      <w:r>
        <w:rPr>
          <w:sz w:val="24"/>
        </w:rPr>
        <w:t>减少</w:t>
      </w:r>
      <w:r>
        <w:rPr>
          <w:rFonts w:hint="eastAsia"/>
          <w:sz w:val="24"/>
        </w:rPr>
        <w:t>该部位的</w:t>
      </w:r>
      <w:r>
        <w:rPr>
          <w:sz w:val="24"/>
        </w:rPr>
        <w:t>混凝土结构裂缝与渗漏，提高建筑安全性与居住舒适度，降低工程质量投诉率</w:t>
      </w:r>
      <w:r>
        <w:rPr>
          <w:rFonts w:hint="eastAsia"/>
          <w:sz w:val="24"/>
        </w:rPr>
        <w:t>。</w:t>
      </w:r>
    </w:p>
    <w:p w14:paraId="0B840A72">
      <w:pPr>
        <w:snapToGrid w:val="0"/>
        <w:spacing w:line="360" w:lineRule="auto"/>
        <w:ind w:firstLine="480" w:firstLineChars="200"/>
        <w:rPr>
          <w:sz w:val="24"/>
        </w:rPr>
      </w:pPr>
      <w:r>
        <w:rPr>
          <w:rFonts w:hint="eastAsia"/>
          <w:sz w:val="24"/>
        </w:rPr>
        <w:t>综上所述，</w:t>
      </w:r>
      <w:r>
        <w:rPr>
          <w:sz w:val="24"/>
        </w:rPr>
        <w:t>混凝土膨胀剂产业具备技术成熟、成本可控、效益显著的推广基础</w:t>
      </w:r>
      <w:r>
        <w:rPr>
          <w:rFonts w:hint="eastAsia"/>
          <w:sz w:val="24"/>
        </w:rPr>
        <w:t>，</w:t>
      </w:r>
      <w:r>
        <w:rPr>
          <w:sz w:val="24"/>
        </w:rPr>
        <w:t>通过推广应用，可实现工程质量提升、成本节约、节能减排三重目标，符合</w:t>
      </w:r>
      <w:r>
        <w:rPr>
          <w:rFonts w:hint="eastAsia"/>
          <w:sz w:val="24"/>
        </w:rPr>
        <w:t>“</w:t>
      </w:r>
      <w:r>
        <w:rPr>
          <w:sz w:val="24"/>
        </w:rPr>
        <w:t>绿色建筑、低碳发展</w:t>
      </w:r>
      <w:r>
        <w:rPr>
          <w:rFonts w:hint="eastAsia"/>
          <w:sz w:val="24"/>
        </w:rPr>
        <w:t>”</w:t>
      </w:r>
      <w:r>
        <w:rPr>
          <w:sz w:val="24"/>
        </w:rPr>
        <w:t>的国家战略</w:t>
      </w:r>
      <w:r>
        <w:rPr>
          <w:rFonts w:hint="eastAsia"/>
          <w:sz w:val="24"/>
        </w:rPr>
        <w:t>，具有良好的社会经济效益。</w:t>
      </w:r>
    </w:p>
    <w:p w14:paraId="5F397A2E">
      <w:pPr>
        <w:pStyle w:val="14"/>
        <w:spacing w:before="156" w:after="156"/>
        <w:outlineLvl w:val="0"/>
        <w:rPr>
          <w:rFonts w:ascii="Times New Roman" w:eastAsia="宋体"/>
          <w:b/>
          <w:bCs/>
          <w:kern w:val="2"/>
          <w:sz w:val="32"/>
          <w:szCs w:val="28"/>
        </w:rPr>
      </w:pPr>
      <w:r>
        <w:rPr>
          <w:rFonts w:ascii="Times New Roman" w:eastAsia="宋体"/>
          <w:b/>
          <w:bCs/>
          <w:kern w:val="2"/>
          <w:sz w:val="32"/>
          <w:szCs w:val="28"/>
        </w:rPr>
        <w:t>6  采用国际标准，与国际、国外同类标准水平的对比情况，国内外关键指标对比分析或与测试的国外样品、样机的相关数据对比情况</w:t>
      </w:r>
    </w:p>
    <w:p w14:paraId="3B1129E0">
      <w:pPr>
        <w:spacing w:line="360" w:lineRule="auto"/>
        <w:ind w:firstLine="480"/>
        <w:rPr>
          <w:rFonts w:eastAsiaTheme="minorEastAsia"/>
          <w:color w:val="000000" w:themeColor="text1"/>
          <w:sz w:val="24"/>
          <w14:textFill>
            <w14:solidFill>
              <w14:schemeClr w14:val="tx1"/>
            </w14:solidFill>
          </w14:textFill>
        </w:rPr>
      </w:pPr>
      <w:r>
        <w:rPr>
          <w:rFonts w:hint="eastAsia" w:eastAsiaTheme="minorEastAsia"/>
          <w:color w:val="000000" w:themeColor="text1"/>
          <w:sz w:val="24"/>
          <w14:textFill>
            <w14:solidFill>
              <w14:schemeClr w14:val="tx1"/>
            </w14:solidFill>
          </w14:textFill>
        </w:rPr>
        <w:t>无。</w:t>
      </w:r>
    </w:p>
    <w:p w14:paraId="56D33773">
      <w:pPr>
        <w:spacing w:line="360" w:lineRule="auto"/>
        <w:ind w:firstLine="480" w:firstLineChars="200"/>
        <w:rPr>
          <w:sz w:val="24"/>
          <w:lang w:val="zh-CN"/>
        </w:rPr>
      </w:pPr>
      <w:r>
        <w:rPr>
          <w:rFonts w:hint="eastAsia"/>
          <w:sz w:val="24"/>
          <w:lang w:val="zh-CN"/>
        </w:rPr>
        <w:t>综合调研国内外情况，未发现专门针对混凝土用膨胀剂应用制定的标准，属于行业空白。本标准中所涉及到的技术要求与试验方法与现行相关法律、法规、规章及相关标准保持一致，没有冲突的地方</w:t>
      </w:r>
      <w:r>
        <w:rPr>
          <w:rFonts w:hint="eastAsia"/>
          <w:sz w:val="24"/>
        </w:rPr>
        <w:t>，具有很好的协调性。</w:t>
      </w:r>
      <w:r>
        <w:rPr>
          <w:sz w:val="24"/>
        </w:rPr>
        <w:t>该标准</w:t>
      </w:r>
      <w:r>
        <w:rPr>
          <w:rFonts w:hint="eastAsia"/>
          <w:sz w:val="24"/>
        </w:rPr>
        <w:t>涉及</w:t>
      </w:r>
      <w:r>
        <w:rPr>
          <w:sz w:val="24"/>
        </w:rPr>
        <w:t>相关的</w:t>
      </w:r>
      <w:r>
        <w:rPr>
          <w:rFonts w:hint="eastAsia"/>
          <w:sz w:val="24"/>
        </w:rPr>
        <w:t>国家</w:t>
      </w:r>
      <w:r>
        <w:rPr>
          <w:sz w:val="24"/>
        </w:rPr>
        <w:t>行业标准</w:t>
      </w:r>
      <w:r>
        <w:rPr>
          <w:rFonts w:hint="eastAsia"/>
          <w:sz w:val="24"/>
        </w:rPr>
        <w:t>有</w:t>
      </w:r>
      <w:r>
        <w:rPr>
          <w:sz w:val="24"/>
        </w:rPr>
        <w:t>GB/T 23439</w:t>
      </w:r>
      <w:r>
        <w:rPr>
          <w:rFonts w:hint="eastAsia"/>
          <w:sz w:val="24"/>
        </w:rPr>
        <w:t>—</w:t>
      </w:r>
      <w:r>
        <w:rPr>
          <w:sz w:val="24"/>
        </w:rPr>
        <w:t>2017</w:t>
      </w:r>
      <w:r>
        <w:rPr>
          <w:rFonts w:hint="eastAsia"/>
          <w:sz w:val="24"/>
        </w:rPr>
        <w:t>《混凝土膨胀剂》、</w:t>
      </w:r>
      <w:r>
        <w:rPr>
          <w:sz w:val="24"/>
        </w:rPr>
        <w:t xml:space="preserve">JC/T </w:t>
      </w:r>
      <w:r>
        <w:rPr>
          <w:rFonts w:hint="eastAsia"/>
          <w:sz w:val="24"/>
        </w:rPr>
        <w:t>178—</w:t>
      </w:r>
      <w:r>
        <w:rPr>
          <w:sz w:val="24"/>
        </w:rPr>
        <w:t>20</w:t>
      </w:r>
      <w:r>
        <w:rPr>
          <w:rFonts w:hint="eastAsia"/>
          <w:sz w:val="24"/>
        </w:rPr>
        <w:t>09《补偿收缩混凝土应用技术规程》、</w:t>
      </w:r>
      <w:r>
        <w:rPr>
          <w:sz w:val="24"/>
        </w:rPr>
        <w:t>GB 50119</w:t>
      </w:r>
      <w:r>
        <w:rPr>
          <w:rFonts w:hint="eastAsia"/>
          <w:sz w:val="24"/>
        </w:rPr>
        <w:t>—</w:t>
      </w:r>
      <w:r>
        <w:rPr>
          <w:sz w:val="24"/>
        </w:rPr>
        <w:t>2013</w:t>
      </w:r>
      <w:r>
        <w:rPr>
          <w:rFonts w:hint="eastAsia"/>
          <w:sz w:val="24"/>
        </w:rPr>
        <w:t>《混凝土外加剂应用技术规范》</w:t>
      </w:r>
      <w:r>
        <w:rPr>
          <w:sz w:val="24"/>
        </w:rPr>
        <w:t>。</w:t>
      </w:r>
      <w:r>
        <w:rPr>
          <w:rFonts w:hint="eastAsia"/>
          <w:sz w:val="24"/>
        </w:rPr>
        <w:t>现行标准主要规定了硫铝酸钙、氧化钙、硫铝酸钙-氧化钙三类膨胀剂的技术要求，并对产品及补偿收缩混凝土工程应用做出了基本规定。此外，未涉及氧化镁膨胀剂、钙镁复合膨胀剂等主要产品。本标准侧重点在全面覆盖国内膨胀剂类型，对产品甄别真伪、不同膨胀剂应用的结构尺寸、环境温度、施工季节等技术条件、拆模温度、养护注意事项等重要环节进行细致规定，以更好的指导混凝土膨胀剂的应用。本标准与上述标准形成完整的技术体系，本标准与国内外相关标准的对比分析</w:t>
      </w:r>
      <w:r>
        <w:rPr>
          <w:rFonts w:hint="eastAsia"/>
          <w:sz w:val="24"/>
          <w:lang w:val="zh-CN"/>
        </w:rPr>
        <w:t>见</w:t>
      </w:r>
      <w:r>
        <w:rPr>
          <w:rFonts w:hint="eastAsia"/>
          <w:sz w:val="24"/>
        </w:rPr>
        <w:t>表6.1</w:t>
      </w:r>
      <w:r>
        <w:rPr>
          <w:rFonts w:hint="eastAsia"/>
          <w:sz w:val="24"/>
          <w:lang w:val="zh-CN"/>
        </w:rPr>
        <w:t>。</w:t>
      </w:r>
    </w:p>
    <w:p w14:paraId="706831F4">
      <w:pPr>
        <w:spacing w:line="360" w:lineRule="auto"/>
        <w:rPr>
          <w:sz w:val="24"/>
        </w:rPr>
        <w:sectPr>
          <w:footerReference r:id="rId7" w:type="default"/>
          <w:pgSz w:w="11906" w:h="16838"/>
          <w:pgMar w:top="1440" w:right="1800" w:bottom="1440" w:left="1800" w:header="851" w:footer="992" w:gutter="0"/>
          <w:cols w:space="425" w:num="1"/>
          <w:docGrid w:type="lines" w:linePitch="312" w:charSpace="0"/>
        </w:sectPr>
      </w:pPr>
    </w:p>
    <w:p w14:paraId="2AA9E4B6">
      <w:pPr>
        <w:spacing w:line="360" w:lineRule="auto"/>
        <w:jc w:val="center"/>
        <w:rPr>
          <w:b/>
          <w:bCs/>
          <w:szCs w:val="21"/>
          <w:lang w:val="zh-CN"/>
        </w:rPr>
      </w:pPr>
      <w:r>
        <w:rPr>
          <w:rFonts w:hint="eastAsia"/>
          <w:b/>
          <w:bCs/>
          <w:szCs w:val="21"/>
        </w:rPr>
        <w:t>表6.1标准对比分析</w:t>
      </w:r>
    </w:p>
    <w:tbl>
      <w:tblPr>
        <w:tblStyle w:val="1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89"/>
        <w:gridCol w:w="2258"/>
        <w:gridCol w:w="2079"/>
        <w:gridCol w:w="1830"/>
        <w:gridCol w:w="1796"/>
        <w:gridCol w:w="1756"/>
        <w:gridCol w:w="1628"/>
        <w:gridCol w:w="1712"/>
      </w:tblGrid>
      <w:tr w14:paraId="044261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9" w:type="dxa"/>
            <w:vAlign w:val="center"/>
          </w:tcPr>
          <w:p w14:paraId="52B7EFB0">
            <w:pPr>
              <w:jc w:val="center"/>
              <w:rPr>
                <w:szCs w:val="21"/>
              </w:rPr>
            </w:pPr>
            <w:r>
              <w:rPr>
                <w:rFonts w:hint="eastAsia"/>
                <w:szCs w:val="21"/>
              </w:rPr>
              <w:t>项目</w:t>
            </w:r>
          </w:p>
        </w:tc>
        <w:tc>
          <w:tcPr>
            <w:tcW w:w="2258" w:type="dxa"/>
            <w:vAlign w:val="center"/>
          </w:tcPr>
          <w:p w14:paraId="75730E0C">
            <w:pPr>
              <w:jc w:val="center"/>
              <w:rPr>
                <w:szCs w:val="21"/>
                <w:lang w:val="zh-CN"/>
              </w:rPr>
            </w:pPr>
            <w:bookmarkStart w:id="76" w:name="OLE_LINK13"/>
            <w:r>
              <w:rPr>
                <w:rFonts w:hint="eastAsia"/>
                <w:szCs w:val="21"/>
                <w:lang w:val="zh-CN"/>
              </w:rPr>
              <w:t>GB</w:t>
            </w:r>
            <w:r>
              <w:rPr>
                <w:szCs w:val="21"/>
                <w:lang w:val="zh-CN"/>
              </w:rPr>
              <w:t>/T 2</w:t>
            </w:r>
            <w:r>
              <w:rPr>
                <w:rFonts w:hint="eastAsia"/>
                <w:szCs w:val="21"/>
                <w:lang w:val="zh-CN"/>
              </w:rPr>
              <w:t>3439</w:t>
            </w:r>
            <w:r>
              <w:rPr>
                <w:rFonts w:hint="eastAsia" w:eastAsiaTheme="majorEastAsia"/>
                <w:color w:val="000000" w:themeColor="text1"/>
                <w:szCs w:val="21"/>
                <w14:textFill>
                  <w14:solidFill>
                    <w14:schemeClr w14:val="tx1"/>
                  </w14:solidFill>
                </w14:textFill>
              </w:rPr>
              <w:t>—</w:t>
            </w:r>
            <w:r>
              <w:rPr>
                <w:szCs w:val="21"/>
                <w:lang w:val="zh-CN"/>
              </w:rPr>
              <w:t>201</w:t>
            </w:r>
            <w:r>
              <w:rPr>
                <w:rFonts w:hint="eastAsia"/>
                <w:szCs w:val="21"/>
                <w:lang w:val="zh-CN"/>
              </w:rPr>
              <w:t>7</w:t>
            </w:r>
            <w:bookmarkEnd w:id="76"/>
          </w:p>
        </w:tc>
        <w:tc>
          <w:tcPr>
            <w:tcW w:w="2079" w:type="dxa"/>
            <w:vAlign w:val="center"/>
          </w:tcPr>
          <w:p w14:paraId="59EEDDC4">
            <w:pPr>
              <w:jc w:val="center"/>
              <w:rPr>
                <w:szCs w:val="21"/>
                <w:lang w:val="zh-CN"/>
              </w:rPr>
            </w:pPr>
            <w:r>
              <w:rPr>
                <w:szCs w:val="21"/>
                <w:lang w:val="zh-CN"/>
              </w:rPr>
              <w:t xml:space="preserve">JC/T </w:t>
            </w:r>
            <w:r>
              <w:rPr>
                <w:rFonts w:hint="eastAsia"/>
                <w:szCs w:val="21"/>
                <w:lang w:val="zh-CN"/>
              </w:rPr>
              <w:t>178</w:t>
            </w:r>
            <w:r>
              <w:rPr>
                <w:rFonts w:hint="eastAsia" w:eastAsiaTheme="majorEastAsia"/>
                <w:color w:val="000000" w:themeColor="text1"/>
                <w:szCs w:val="21"/>
                <w14:textFill>
                  <w14:solidFill>
                    <w14:schemeClr w14:val="tx1"/>
                  </w14:solidFill>
                </w14:textFill>
              </w:rPr>
              <w:t>—</w:t>
            </w:r>
            <w:r>
              <w:rPr>
                <w:szCs w:val="21"/>
                <w:lang w:val="zh-CN"/>
              </w:rPr>
              <w:t>20</w:t>
            </w:r>
            <w:r>
              <w:rPr>
                <w:rFonts w:hint="eastAsia"/>
                <w:szCs w:val="21"/>
                <w:lang w:val="zh-CN"/>
              </w:rPr>
              <w:t>09</w:t>
            </w:r>
          </w:p>
        </w:tc>
        <w:tc>
          <w:tcPr>
            <w:tcW w:w="1830" w:type="dxa"/>
            <w:vAlign w:val="center"/>
          </w:tcPr>
          <w:p w14:paraId="3BBE8856">
            <w:pPr>
              <w:jc w:val="center"/>
              <w:rPr>
                <w:szCs w:val="21"/>
              </w:rPr>
            </w:pPr>
            <w:r>
              <w:rPr>
                <w:rFonts w:eastAsiaTheme="majorEastAsia"/>
                <w:color w:val="000000" w:themeColor="text1"/>
                <w:szCs w:val="21"/>
                <w14:textFill>
                  <w14:solidFill>
                    <w14:schemeClr w14:val="tx1"/>
                  </w14:solidFill>
                </w14:textFill>
              </w:rPr>
              <w:t>GB 50119</w:t>
            </w:r>
            <w:r>
              <w:rPr>
                <w:rFonts w:hint="eastAsia" w:eastAsiaTheme="majorEastAsia"/>
                <w:color w:val="000000" w:themeColor="text1"/>
                <w:szCs w:val="21"/>
                <w14:textFill>
                  <w14:solidFill>
                    <w14:schemeClr w14:val="tx1"/>
                  </w14:solidFill>
                </w14:textFill>
              </w:rPr>
              <w:t>—</w:t>
            </w:r>
            <w:r>
              <w:rPr>
                <w:rFonts w:eastAsiaTheme="majorEastAsia"/>
                <w:color w:val="000000" w:themeColor="text1"/>
                <w:szCs w:val="21"/>
                <w14:textFill>
                  <w14:solidFill>
                    <w14:schemeClr w14:val="tx1"/>
                  </w14:solidFill>
                </w14:textFill>
              </w:rPr>
              <w:t>2013</w:t>
            </w:r>
          </w:p>
        </w:tc>
        <w:tc>
          <w:tcPr>
            <w:tcW w:w="1796" w:type="dxa"/>
            <w:vAlign w:val="center"/>
          </w:tcPr>
          <w:p w14:paraId="178126CF">
            <w:pPr>
              <w:jc w:val="center"/>
              <w:rPr>
                <w:szCs w:val="21"/>
              </w:rPr>
            </w:pPr>
            <w:r>
              <w:rPr>
                <w:rFonts w:eastAsiaTheme="majorEastAsia"/>
                <w:color w:val="000000" w:themeColor="text1"/>
                <w:szCs w:val="21"/>
                <w14:textFill>
                  <w14:solidFill>
                    <w14:schemeClr w14:val="tx1"/>
                  </w14:solidFill>
                </w14:textFill>
              </w:rPr>
              <w:t>JIS A 6202</w:t>
            </w:r>
            <w:r>
              <w:rPr>
                <w:rFonts w:hint="eastAsia" w:eastAsiaTheme="majorEastAsia"/>
                <w:color w:val="000000" w:themeColor="text1"/>
                <w:szCs w:val="21"/>
                <w14:textFill>
                  <w14:solidFill>
                    <w14:schemeClr w14:val="tx1"/>
                  </w14:solidFill>
                </w14:textFill>
              </w:rPr>
              <w:t>：2017</w:t>
            </w:r>
          </w:p>
        </w:tc>
        <w:tc>
          <w:tcPr>
            <w:tcW w:w="1756" w:type="dxa"/>
          </w:tcPr>
          <w:p w14:paraId="50BA8553">
            <w:pPr>
              <w:jc w:val="center"/>
              <w:rPr>
                <w:szCs w:val="21"/>
              </w:rPr>
            </w:pPr>
            <w:r>
              <w:rPr>
                <w:rFonts w:eastAsiaTheme="majorEastAsia"/>
                <w:color w:val="000000" w:themeColor="text1"/>
                <w:szCs w:val="21"/>
                <w14:textFill>
                  <w14:solidFill>
                    <w14:schemeClr w14:val="tx1"/>
                  </w14:solidFill>
                </w14:textFill>
              </w:rPr>
              <w:t>EAD 260055-00-0301</w:t>
            </w:r>
          </w:p>
        </w:tc>
        <w:tc>
          <w:tcPr>
            <w:tcW w:w="1628" w:type="dxa"/>
          </w:tcPr>
          <w:p w14:paraId="1E99AEDA">
            <w:pPr>
              <w:jc w:val="center"/>
              <w:rPr>
                <w:szCs w:val="21"/>
              </w:rPr>
            </w:pPr>
            <w:r>
              <w:rPr>
                <w:szCs w:val="21"/>
              </w:rPr>
              <w:t>ACI PRC-223-21</w:t>
            </w:r>
          </w:p>
        </w:tc>
        <w:tc>
          <w:tcPr>
            <w:tcW w:w="1712" w:type="dxa"/>
            <w:vAlign w:val="center"/>
          </w:tcPr>
          <w:p w14:paraId="08D591AD">
            <w:pPr>
              <w:jc w:val="center"/>
              <w:rPr>
                <w:szCs w:val="21"/>
              </w:rPr>
            </w:pPr>
            <w:r>
              <w:rPr>
                <w:rFonts w:hint="eastAsia"/>
                <w:szCs w:val="21"/>
              </w:rPr>
              <w:t>本标准</w:t>
            </w:r>
          </w:p>
        </w:tc>
      </w:tr>
      <w:tr w14:paraId="31A0F7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9" w:type="dxa"/>
            <w:vAlign w:val="center"/>
          </w:tcPr>
          <w:p w14:paraId="019CB84C">
            <w:pPr>
              <w:rPr>
                <w:szCs w:val="21"/>
              </w:rPr>
            </w:pPr>
            <w:r>
              <w:rPr>
                <w:rFonts w:hint="eastAsia"/>
                <w:szCs w:val="21"/>
              </w:rPr>
              <w:t>标准</w:t>
            </w:r>
          </w:p>
          <w:p w14:paraId="7456FAD9">
            <w:pPr>
              <w:rPr>
                <w:szCs w:val="21"/>
              </w:rPr>
            </w:pPr>
            <w:r>
              <w:rPr>
                <w:rFonts w:hint="eastAsia"/>
                <w:szCs w:val="21"/>
              </w:rPr>
              <w:t>类别</w:t>
            </w:r>
          </w:p>
        </w:tc>
        <w:tc>
          <w:tcPr>
            <w:tcW w:w="2258" w:type="dxa"/>
            <w:vAlign w:val="center"/>
          </w:tcPr>
          <w:p w14:paraId="47E23C5C">
            <w:pPr>
              <w:rPr>
                <w:szCs w:val="21"/>
              </w:rPr>
            </w:pPr>
            <w:r>
              <w:rPr>
                <w:rFonts w:hint="eastAsia"/>
                <w:szCs w:val="21"/>
              </w:rPr>
              <w:t>产品标准</w:t>
            </w:r>
          </w:p>
        </w:tc>
        <w:tc>
          <w:tcPr>
            <w:tcW w:w="2079" w:type="dxa"/>
            <w:vAlign w:val="center"/>
          </w:tcPr>
          <w:p w14:paraId="4D327F98">
            <w:pPr>
              <w:rPr>
                <w:szCs w:val="21"/>
              </w:rPr>
            </w:pPr>
            <w:r>
              <w:rPr>
                <w:rFonts w:hint="eastAsia"/>
                <w:szCs w:val="21"/>
              </w:rPr>
              <w:t>工程建设标准</w:t>
            </w:r>
          </w:p>
        </w:tc>
        <w:tc>
          <w:tcPr>
            <w:tcW w:w="1830" w:type="dxa"/>
            <w:vAlign w:val="center"/>
          </w:tcPr>
          <w:p w14:paraId="2555D2D2">
            <w:pPr>
              <w:rPr>
                <w:szCs w:val="21"/>
              </w:rPr>
            </w:pPr>
            <w:r>
              <w:rPr>
                <w:rFonts w:hint="eastAsia"/>
                <w:szCs w:val="21"/>
              </w:rPr>
              <w:t>工程建设标准</w:t>
            </w:r>
          </w:p>
        </w:tc>
        <w:tc>
          <w:tcPr>
            <w:tcW w:w="1796" w:type="dxa"/>
            <w:vAlign w:val="center"/>
          </w:tcPr>
          <w:p w14:paraId="68858BA4">
            <w:pPr>
              <w:rPr>
                <w:szCs w:val="21"/>
              </w:rPr>
            </w:pPr>
            <w:r>
              <w:rPr>
                <w:rFonts w:hint="eastAsia"/>
                <w:szCs w:val="21"/>
              </w:rPr>
              <w:t>产品标准</w:t>
            </w:r>
          </w:p>
        </w:tc>
        <w:tc>
          <w:tcPr>
            <w:tcW w:w="1756" w:type="dxa"/>
            <w:vAlign w:val="center"/>
          </w:tcPr>
          <w:p w14:paraId="664B0C1C">
            <w:pPr>
              <w:rPr>
                <w:szCs w:val="21"/>
              </w:rPr>
            </w:pPr>
            <w:r>
              <w:rPr>
                <w:rFonts w:hint="eastAsia"/>
                <w:szCs w:val="21"/>
              </w:rPr>
              <w:t>产品标准</w:t>
            </w:r>
          </w:p>
        </w:tc>
        <w:tc>
          <w:tcPr>
            <w:tcW w:w="1628" w:type="dxa"/>
            <w:vAlign w:val="center"/>
          </w:tcPr>
          <w:p w14:paraId="681C7FD6">
            <w:pPr>
              <w:rPr>
                <w:szCs w:val="21"/>
              </w:rPr>
            </w:pPr>
            <w:r>
              <w:rPr>
                <w:rFonts w:hint="eastAsia"/>
                <w:szCs w:val="21"/>
              </w:rPr>
              <w:t>工程建设标准</w:t>
            </w:r>
          </w:p>
        </w:tc>
        <w:tc>
          <w:tcPr>
            <w:tcW w:w="1712" w:type="dxa"/>
            <w:vAlign w:val="center"/>
          </w:tcPr>
          <w:p w14:paraId="286123A3">
            <w:pPr>
              <w:rPr>
                <w:szCs w:val="21"/>
              </w:rPr>
            </w:pPr>
            <w:r>
              <w:rPr>
                <w:rFonts w:hint="eastAsia"/>
                <w:szCs w:val="21"/>
              </w:rPr>
              <w:t>工程建设标准</w:t>
            </w:r>
          </w:p>
        </w:tc>
      </w:tr>
      <w:tr w14:paraId="28FDEF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9" w:type="dxa"/>
            <w:vAlign w:val="center"/>
          </w:tcPr>
          <w:p w14:paraId="07423C24">
            <w:pPr>
              <w:rPr>
                <w:szCs w:val="21"/>
              </w:rPr>
            </w:pPr>
            <w:r>
              <w:rPr>
                <w:rFonts w:hint="eastAsia"/>
                <w:szCs w:val="21"/>
              </w:rPr>
              <w:t>产品</w:t>
            </w:r>
          </w:p>
          <w:p w14:paraId="1309F57E">
            <w:pPr>
              <w:rPr>
                <w:szCs w:val="21"/>
              </w:rPr>
            </w:pPr>
            <w:r>
              <w:rPr>
                <w:rFonts w:hint="eastAsia"/>
                <w:szCs w:val="21"/>
              </w:rPr>
              <w:t>类别</w:t>
            </w:r>
          </w:p>
        </w:tc>
        <w:tc>
          <w:tcPr>
            <w:tcW w:w="2258" w:type="dxa"/>
            <w:vAlign w:val="center"/>
          </w:tcPr>
          <w:p w14:paraId="001B9009">
            <w:pPr>
              <w:rPr>
                <w:szCs w:val="21"/>
              </w:rPr>
            </w:pPr>
            <w:r>
              <w:rPr>
                <w:rFonts w:hint="eastAsia"/>
                <w:szCs w:val="21"/>
              </w:rPr>
              <w:t>硫铝酸钙类、氧化钙类、硫铝酸钙-氧化钙类</w:t>
            </w:r>
          </w:p>
        </w:tc>
        <w:tc>
          <w:tcPr>
            <w:tcW w:w="2079" w:type="dxa"/>
            <w:vAlign w:val="center"/>
          </w:tcPr>
          <w:p w14:paraId="3C7151A8">
            <w:pPr>
              <w:rPr>
                <w:szCs w:val="21"/>
              </w:rPr>
            </w:pPr>
            <w:r>
              <w:rPr>
                <w:rFonts w:hint="eastAsia"/>
                <w:szCs w:val="21"/>
              </w:rPr>
              <w:t>硫铝酸钙类、氧化钙类、硫铝酸钙-氧化钙类</w:t>
            </w:r>
          </w:p>
        </w:tc>
        <w:tc>
          <w:tcPr>
            <w:tcW w:w="1830" w:type="dxa"/>
            <w:vAlign w:val="center"/>
          </w:tcPr>
          <w:p w14:paraId="62567033">
            <w:pPr>
              <w:rPr>
                <w:szCs w:val="21"/>
              </w:rPr>
            </w:pPr>
            <w:r>
              <w:rPr>
                <w:rFonts w:hint="eastAsia"/>
                <w:szCs w:val="21"/>
              </w:rPr>
              <w:t>硫铝酸钙类、氧化钙类、硫铝酸钙-氧化钙类</w:t>
            </w:r>
          </w:p>
        </w:tc>
        <w:tc>
          <w:tcPr>
            <w:tcW w:w="1796" w:type="dxa"/>
            <w:vAlign w:val="center"/>
          </w:tcPr>
          <w:p w14:paraId="291B3869">
            <w:pPr>
              <w:rPr>
                <w:szCs w:val="21"/>
              </w:rPr>
            </w:pPr>
            <w:r>
              <w:rPr>
                <w:rFonts w:hint="eastAsia"/>
                <w:szCs w:val="21"/>
              </w:rPr>
              <w:t>硫铝酸钙类、氧化钙类/</w:t>
            </w:r>
          </w:p>
          <w:p w14:paraId="144FCC7E">
            <w:pPr>
              <w:rPr>
                <w:szCs w:val="21"/>
              </w:rPr>
            </w:pPr>
            <w:r>
              <w:rPr>
                <w:rFonts w:hint="eastAsia"/>
                <w:szCs w:val="21"/>
              </w:rPr>
              <w:t>20型与30型</w:t>
            </w:r>
          </w:p>
        </w:tc>
        <w:tc>
          <w:tcPr>
            <w:tcW w:w="1756" w:type="dxa"/>
            <w:vAlign w:val="center"/>
          </w:tcPr>
          <w:p w14:paraId="5464C807">
            <w:pPr>
              <w:rPr>
                <w:szCs w:val="21"/>
              </w:rPr>
            </w:pPr>
            <w:r>
              <w:rPr>
                <w:rFonts w:hint="eastAsia"/>
                <w:szCs w:val="21"/>
              </w:rPr>
              <w:t>氧化钙类</w:t>
            </w:r>
          </w:p>
        </w:tc>
        <w:tc>
          <w:tcPr>
            <w:tcW w:w="1628" w:type="dxa"/>
            <w:vAlign w:val="center"/>
          </w:tcPr>
          <w:p w14:paraId="395A8E9C">
            <w:pPr>
              <w:rPr>
                <w:szCs w:val="21"/>
              </w:rPr>
            </w:pPr>
            <w:r>
              <w:rPr>
                <w:rFonts w:hint="eastAsia"/>
                <w:szCs w:val="21"/>
              </w:rPr>
              <w:t>膨胀水泥</w:t>
            </w:r>
          </w:p>
        </w:tc>
        <w:tc>
          <w:tcPr>
            <w:tcW w:w="1712" w:type="dxa"/>
            <w:vAlign w:val="center"/>
          </w:tcPr>
          <w:p w14:paraId="621DB6E2">
            <w:pPr>
              <w:rPr>
                <w:szCs w:val="21"/>
              </w:rPr>
            </w:pPr>
            <w:r>
              <w:rPr>
                <w:rFonts w:hint="eastAsia"/>
                <w:szCs w:val="21"/>
              </w:rPr>
              <w:t>硫铝酸钙类、氧化钙类、硫铝酸钙-氧化钙类、氧化镁类、钙镁复合膨胀剂、温控型抗裂剂等</w:t>
            </w:r>
          </w:p>
        </w:tc>
      </w:tr>
      <w:tr w14:paraId="24515C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9" w:type="dxa"/>
            <w:vAlign w:val="center"/>
          </w:tcPr>
          <w:p w14:paraId="30D98420">
            <w:pPr>
              <w:rPr>
                <w:szCs w:val="21"/>
              </w:rPr>
            </w:pPr>
            <w:r>
              <w:rPr>
                <w:rFonts w:hint="eastAsia"/>
                <w:szCs w:val="21"/>
              </w:rPr>
              <w:t>性能</w:t>
            </w:r>
          </w:p>
          <w:p w14:paraId="23AE80D1">
            <w:pPr>
              <w:rPr>
                <w:szCs w:val="21"/>
              </w:rPr>
            </w:pPr>
            <w:r>
              <w:rPr>
                <w:rFonts w:hint="eastAsia"/>
                <w:szCs w:val="21"/>
              </w:rPr>
              <w:t>指标</w:t>
            </w:r>
          </w:p>
        </w:tc>
        <w:tc>
          <w:tcPr>
            <w:tcW w:w="2258" w:type="dxa"/>
            <w:vAlign w:val="center"/>
          </w:tcPr>
          <w:p w14:paraId="78908673">
            <w:pPr>
              <w:rPr>
                <w:szCs w:val="21"/>
              </w:rPr>
            </w:pPr>
            <w:r>
              <w:rPr>
                <w:rFonts w:hint="eastAsia"/>
                <w:szCs w:val="21"/>
              </w:rPr>
              <w:t>化学成分：氧化镁、碱含量；物理性能：细度、凝结时间、限制膨胀率、抗压强度。</w:t>
            </w:r>
          </w:p>
        </w:tc>
        <w:tc>
          <w:tcPr>
            <w:tcW w:w="2079" w:type="dxa"/>
            <w:vAlign w:val="center"/>
          </w:tcPr>
          <w:p w14:paraId="5B82D047">
            <w:pPr>
              <w:rPr>
                <w:szCs w:val="21"/>
                <w:lang w:val="zh-CN"/>
              </w:rPr>
            </w:pPr>
            <w:r>
              <w:rPr>
                <w:rFonts w:hint="eastAsia"/>
                <w:szCs w:val="21"/>
                <w:lang w:val="zh-CN"/>
              </w:rPr>
              <w:t>不同结构部位补偿收缩混凝土限制膨胀率</w:t>
            </w:r>
          </w:p>
        </w:tc>
        <w:tc>
          <w:tcPr>
            <w:tcW w:w="1830" w:type="dxa"/>
            <w:vAlign w:val="center"/>
          </w:tcPr>
          <w:p w14:paraId="447D2037">
            <w:pPr>
              <w:rPr>
                <w:szCs w:val="21"/>
              </w:rPr>
            </w:pPr>
            <w:r>
              <w:rPr>
                <w:rFonts w:hint="eastAsia"/>
                <w:szCs w:val="21"/>
              </w:rPr>
              <w:t>补偿收缩混凝土限制膨胀率，灌浆用膨胀砂浆扩展度、竖向膨胀率及抗压强度</w:t>
            </w:r>
          </w:p>
        </w:tc>
        <w:tc>
          <w:tcPr>
            <w:tcW w:w="1796" w:type="dxa"/>
            <w:vAlign w:val="center"/>
          </w:tcPr>
          <w:p w14:paraId="0F49B174">
            <w:pPr>
              <w:rPr>
                <w:szCs w:val="21"/>
              </w:rPr>
            </w:pPr>
            <w:r>
              <w:rPr>
                <w:rFonts w:hint="eastAsia"/>
                <w:szCs w:val="21"/>
              </w:rPr>
              <w:t>化学成分：氧化镁、烧失量、碱含量及氯离子；物理性能：细度、凝结时间、限制膨胀率、抗压强度。</w:t>
            </w:r>
          </w:p>
        </w:tc>
        <w:tc>
          <w:tcPr>
            <w:tcW w:w="1756" w:type="dxa"/>
            <w:vAlign w:val="center"/>
          </w:tcPr>
          <w:p w14:paraId="19296FF5">
            <w:pPr>
              <w:rPr>
                <w:szCs w:val="21"/>
              </w:rPr>
            </w:pPr>
            <w:r>
              <w:rPr>
                <w:rFonts w:hint="eastAsia"/>
                <w:szCs w:val="21"/>
              </w:rPr>
              <w:t>细度、氯离子含量、碱含量、SO</w:t>
            </w:r>
            <w:r>
              <w:rPr>
                <w:rFonts w:hint="eastAsia"/>
                <w:szCs w:val="21"/>
                <w:vertAlign w:val="subscript"/>
              </w:rPr>
              <w:t>3</w:t>
            </w:r>
            <w:r>
              <w:rPr>
                <w:rFonts w:hint="eastAsia"/>
                <w:szCs w:val="21"/>
              </w:rPr>
              <w:t>含量、氧化钙含量、游离氧化钙含量、Al</w:t>
            </w:r>
            <w:r>
              <w:rPr>
                <w:rFonts w:hint="eastAsia"/>
                <w:szCs w:val="21"/>
                <w:vertAlign w:val="subscript"/>
              </w:rPr>
              <w:t>2</w:t>
            </w:r>
            <w:r>
              <w:rPr>
                <w:rFonts w:hint="eastAsia"/>
                <w:szCs w:val="21"/>
              </w:rPr>
              <w:t>O</w:t>
            </w:r>
            <w:r>
              <w:rPr>
                <w:rFonts w:hint="eastAsia"/>
                <w:szCs w:val="21"/>
                <w:vertAlign w:val="subscript"/>
              </w:rPr>
              <w:t>3</w:t>
            </w:r>
            <w:r>
              <w:rPr>
                <w:rFonts w:hint="eastAsia"/>
                <w:szCs w:val="21"/>
              </w:rPr>
              <w:t>含量，抗压强度、限制膨胀率和锈蚀形为</w:t>
            </w:r>
          </w:p>
        </w:tc>
        <w:tc>
          <w:tcPr>
            <w:tcW w:w="1628" w:type="dxa"/>
            <w:vAlign w:val="center"/>
          </w:tcPr>
          <w:p w14:paraId="65B8C20C">
            <w:pPr>
              <w:rPr>
                <w:szCs w:val="21"/>
              </w:rPr>
            </w:pPr>
            <w:r>
              <w:rPr>
                <w:rFonts w:hint="eastAsia"/>
                <w:szCs w:val="21"/>
              </w:rPr>
              <w:t>混凝土泌水、凝时间、强度、干缩、热膨胀系数等性能要求</w:t>
            </w:r>
          </w:p>
        </w:tc>
        <w:tc>
          <w:tcPr>
            <w:tcW w:w="1712" w:type="dxa"/>
            <w:vAlign w:val="center"/>
          </w:tcPr>
          <w:p w14:paraId="7BF94177">
            <w:pPr>
              <w:rPr>
                <w:szCs w:val="21"/>
              </w:rPr>
            </w:pPr>
            <w:r>
              <w:rPr>
                <w:rFonts w:hint="eastAsia"/>
                <w:szCs w:val="21"/>
              </w:rPr>
              <w:t>掺膨胀剂混凝土限制膨胀率、氧化镁膨胀剂性能、钙镁复合膨胀剂性能、温控型镁质抗裂剂性能。</w:t>
            </w:r>
          </w:p>
        </w:tc>
      </w:tr>
      <w:tr w14:paraId="51991F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9" w:type="dxa"/>
            <w:vAlign w:val="center"/>
          </w:tcPr>
          <w:p w14:paraId="60612385">
            <w:pPr>
              <w:rPr>
                <w:szCs w:val="21"/>
              </w:rPr>
            </w:pPr>
            <w:r>
              <w:rPr>
                <w:rFonts w:hint="eastAsia"/>
                <w:szCs w:val="21"/>
              </w:rPr>
              <w:t>试验</w:t>
            </w:r>
          </w:p>
          <w:p w14:paraId="099C8E5F">
            <w:pPr>
              <w:rPr>
                <w:szCs w:val="21"/>
              </w:rPr>
            </w:pPr>
            <w:r>
              <w:rPr>
                <w:rFonts w:hint="eastAsia"/>
                <w:szCs w:val="21"/>
              </w:rPr>
              <w:t>方法</w:t>
            </w:r>
          </w:p>
        </w:tc>
        <w:tc>
          <w:tcPr>
            <w:tcW w:w="2258" w:type="dxa"/>
            <w:vAlign w:val="center"/>
          </w:tcPr>
          <w:p w14:paraId="560E78F3">
            <w:pPr>
              <w:rPr>
                <w:szCs w:val="21"/>
                <w:lang w:val="zh-CN"/>
              </w:rPr>
            </w:pPr>
            <w:r>
              <w:rPr>
                <w:rFonts w:hint="eastAsia"/>
                <w:szCs w:val="21"/>
                <w:lang w:val="zh-CN"/>
              </w:rPr>
              <w:t>膨胀剂限制膨胀率、抗压强度，掺膨胀剂的混凝土限制膨胀率和收缩，膨胀剂和掺膨胀剂混凝土膨胀性能快速试验方法</w:t>
            </w:r>
          </w:p>
        </w:tc>
        <w:tc>
          <w:tcPr>
            <w:tcW w:w="2079" w:type="dxa"/>
            <w:vAlign w:val="center"/>
          </w:tcPr>
          <w:p w14:paraId="0442E317">
            <w:pPr>
              <w:rPr>
                <w:szCs w:val="21"/>
              </w:rPr>
            </w:pPr>
            <w:r>
              <w:rPr>
                <w:rFonts w:hint="eastAsia"/>
                <w:szCs w:val="21"/>
              </w:rPr>
              <w:t>按GB 50119</w:t>
            </w:r>
            <w:r>
              <w:rPr>
                <w:szCs w:val="21"/>
                <w:lang w:val="zh-CN"/>
              </w:rPr>
              <w:t>1</w:t>
            </w:r>
            <w:r>
              <w:rPr>
                <w:rFonts w:hint="eastAsia"/>
                <w:szCs w:val="21"/>
              </w:rPr>
              <w:t>和其他标准的规定进行</w:t>
            </w:r>
          </w:p>
        </w:tc>
        <w:tc>
          <w:tcPr>
            <w:tcW w:w="1830" w:type="dxa"/>
            <w:vAlign w:val="center"/>
          </w:tcPr>
          <w:p w14:paraId="150E908C">
            <w:pPr>
              <w:rPr>
                <w:szCs w:val="21"/>
              </w:rPr>
            </w:pPr>
            <w:r>
              <w:rPr>
                <w:rFonts w:hint="eastAsia"/>
                <w:szCs w:val="21"/>
              </w:rPr>
              <w:t>补偿收缩混凝土限制膨胀率测定方法</w:t>
            </w:r>
          </w:p>
        </w:tc>
        <w:tc>
          <w:tcPr>
            <w:tcW w:w="1796" w:type="dxa"/>
            <w:vAlign w:val="center"/>
          </w:tcPr>
          <w:p w14:paraId="6ACBFE42">
            <w:pPr>
              <w:rPr>
                <w:szCs w:val="21"/>
              </w:rPr>
            </w:pPr>
            <w:r>
              <w:rPr>
                <w:rFonts w:hint="eastAsia"/>
                <w:szCs w:val="21"/>
                <w:lang w:val="zh-CN"/>
              </w:rPr>
              <w:t>膨胀剂限制膨胀率、抗压强度，掺膨胀剂的混凝土限制膨胀率和收缩，约束状态掺膨胀剂混凝土抗压强度试验方法</w:t>
            </w:r>
          </w:p>
        </w:tc>
        <w:tc>
          <w:tcPr>
            <w:tcW w:w="1756" w:type="dxa"/>
            <w:vAlign w:val="center"/>
          </w:tcPr>
          <w:p w14:paraId="2EE61B0B">
            <w:pPr>
              <w:rPr>
                <w:szCs w:val="21"/>
              </w:rPr>
            </w:pPr>
            <w:r>
              <w:rPr>
                <w:rFonts w:hint="eastAsia"/>
                <w:szCs w:val="21"/>
              </w:rPr>
              <w:t>给出上述性能测试方法</w:t>
            </w:r>
          </w:p>
        </w:tc>
        <w:tc>
          <w:tcPr>
            <w:tcW w:w="1628" w:type="dxa"/>
            <w:vAlign w:val="center"/>
          </w:tcPr>
          <w:p w14:paraId="4CA85295">
            <w:pPr>
              <w:rPr>
                <w:szCs w:val="21"/>
              </w:rPr>
            </w:pPr>
            <w:r>
              <w:rPr>
                <w:rFonts w:hint="eastAsia"/>
                <w:szCs w:val="21"/>
              </w:rPr>
              <w:t>给出混凝土结构应变测试方法</w:t>
            </w:r>
          </w:p>
        </w:tc>
        <w:tc>
          <w:tcPr>
            <w:tcW w:w="1712" w:type="dxa"/>
            <w:vAlign w:val="center"/>
          </w:tcPr>
          <w:p w14:paraId="7074F2F2">
            <w:pPr>
              <w:rPr>
                <w:szCs w:val="21"/>
                <w:lang w:val="zh-CN"/>
              </w:rPr>
            </w:pPr>
            <w:r>
              <w:rPr>
                <w:rFonts w:hint="eastAsia"/>
                <w:szCs w:val="21"/>
              </w:rPr>
              <w:t>氧化镁膨胀剂、钙镁复合膨胀剂和温控型镁质抗裂剂的限制膨胀率试验方法，掺氧化镁膨胀剂混凝土的限制膨胀率及安定性试验方法</w:t>
            </w:r>
          </w:p>
        </w:tc>
      </w:tr>
      <w:tr w14:paraId="5D260D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9" w:type="dxa"/>
            <w:vAlign w:val="center"/>
          </w:tcPr>
          <w:p w14:paraId="7A579FFD">
            <w:pPr>
              <w:rPr>
                <w:szCs w:val="21"/>
              </w:rPr>
            </w:pPr>
            <w:r>
              <w:rPr>
                <w:rFonts w:hint="eastAsia"/>
                <w:szCs w:val="21"/>
              </w:rPr>
              <w:t>设计</w:t>
            </w:r>
          </w:p>
          <w:p w14:paraId="0EA1B5BC">
            <w:pPr>
              <w:rPr>
                <w:szCs w:val="21"/>
              </w:rPr>
            </w:pPr>
            <w:r>
              <w:rPr>
                <w:rFonts w:hint="eastAsia"/>
                <w:szCs w:val="21"/>
              </w:rPr>
              <w:t>施工</w:t>
            </w:r>
          </w:p>
        </w:tc>
        <w:tc>
          <w:tcPr>
            <w:tcW w:w="2258" w:type="dxa"/>
            <w:vAlign w:val="center"/>
          </w:tcPr>
          <w:p w14:paraId="6CC5947B">
            <w:pPr>
              <w:rPr>
                <w:szCs w:val="21"/>
              </w:rPr>
            </w:pPr>
            <w:r>
              <w:rPr>
                <w:rFonts w:hint="eastAsia"/>
                <w:szCs w:val="21"/>
              </w:rPr>
              <w:t>不涉及</w:t>
            </w:r>
          </w:p>
        </w:tc>
        <w:tc>
          <w:tcPr>
            <w:tcW w:w="2079" w:type="dxa"/>
            <w:vAlign w:val="center"/>
          </w:tcPr>
          <w:p w14:paraId="72DE32CF">
            <w:pPr>
              <w:rPr>
                <w:szCs w:val="21"/>
              </w:rPr>
            </w:pPr>
            <w:r>
              <w:rPr>
                <w:rFonts w:hint="eastAsia"/>
                <w:szCs w:val="21"/>
              </w:rPr>
              <w:t>给出硫铝酸钙类、氧化钙类、硫铝酸钙-氧化钙类三种膨胀剂制备补偿收缩混凝土的原材料选择、配合比、生产和运输、浇筑和养护等。</w:t>
            </w:r>
          </w:p>
        </w:tc>
        <w:tc>
          <w:tcPr>
            <w:tcW w:w="1830" w:type="dxa"/>
            <w:vAlign w:val="center"/>
          </w:tcPr>
          <w:p w14:paraId="5150206A">
            <w:pPr>
              <w:rPr>
                <w:szCs w:val="21"/>
              </w:rPr>
            </w:pPr>
            <w:r>
              <w:rPr>
                <w:rFonts w:hint="eastAsia"/>
                <w:szCs w:val="21"/>
              </w:rPr>
              <w:t>概括性提出进场检验、施工要求</w:t>
            </w:r>
          </w:p>
        </w:tc>
        <w:tc>
          <w:tcPr>
            <w:tcW w:w="1796" w:type="dxa"/>
            <w:vAlign w:val="center"/>
          </w:tcPr>
          <w:p w14:paraId="09F86E09">
            <w:pPr>
              <w:rPr>
                <w:szCs w:val="21"/>
              </w:rPr>
            </w:pPr>
            <w:r>
              <w:rPr>
                <w:rFonts w:hint="eastAsia"/>
                <w:szCs w:val="21"/>
              </w:rPr>
              <w:t>不涉及</w:t>
            </w:r>
          </w:p>
        </w:tc>
        <w:tc>
          <w:tcPr>
            <w:tcW w:w="1756" w:type="dxa"/>
            <w:vAlign w:val="center"/>
          </w:tcPr>
          <w:p w14:paraId="1AA1F57C">
            <w:pPr>
              <w:rPr>
                <w:szCs w:val="21"/>
              </w:rPr>
            </w:pPr>
            <w:r>
              <w:rPr>
                <w:rFonts w:hint="eastAsia"/>
                <w:szCs w:val="21"/>
              </w:rPr>
              <w:t>不涉及</w:t>
            </w:r>
          </w:p>
        </w:tc>
        <w:tc>
          <w:tcPr>
            <w:tcW w:w="1628" w:type="dxa"/>
            <w:vAlign w:val="center"/>
          </w:tcPr>
          <w:p w14:paraId="525361F3">
            <w:pPr>
              <w:rPr>
                <w:szCs w:val="21"/>
              </w:rPr>
            </w:pPr>
            <w:r>
              <w:rPr>
                <w:szCs w:val="21"/>
                <w:lang w:val="zh-CN"/>
              </w:rPr>
              <w:t>结构设计细节和应用、混凝土混合料配比、浇筑、饰面和养护</w:t>
            </w:r>
          </w:p>
        </w:tc>
        <w:tc>
          <w:tcPr>
            <w:tcW w:w="1712" w:type="dxa"/>
            <w:vAlign w:val="center"/>
          </w:tcPr>
          <w:p w14:paraId="63E18130">
            <w:pPr>
              <w:rPr>
                <w:szCs w:val="21"/>
              </w:rPr>
            </w:pPr>
            <w:r>
              <w:rPr>
                <w:rFonts w:hint="eastAsia"/>
                <w:szCs w:val="21"/>
                <w:lang w:val="zh-CN"/>
              </w:rPr>
              <w:t>除了常规的</w:t>
            </w:r>
            <w:r>
              <w:rPr>
                <w:szCs w:val="21"/>
                <w:lang w:val="zh-CN"/>
              </w:rPr>
              <w:t>配</w:t>
            </w:r>
            <w:r>
              <w:rPr>
                <w:rFonts w:hint="eastAsia"/>
                <w:szCs w:val="21"/>
                <w:lang w:val="zh-CN"/>
              </w:rPr>
              <w:t>合</w:t>
            </w:r>
            <w:r>
              <w:rPr>
                <w:szCs w:val="21"/>
                <w:lang w:val="zh-CN"/>
              </w:rPr>
              <w:t>比、浇筑和养护</w:t>
            </w:r>
            <w:r>
              <w:rPr>
                <w:rFonts w:hint="eastAsia"/>
                <w:szCs w:val="21"/>
                <w:lang w:val="zh-CN"/>
              </w:rPr>
              <w:t>，创新性给出</w:t>
            </w:r>
            <w:r>
              <w:rPr>
                <w:rFonts w:hint="eastAsia"/>
                <w:szCs w:val="21"/>
              </w:rPr>
              <w:t>产品甄别真伪、不同膨胀剂应用的结构尺寸、环境温度、施工季节等技术条件、拆模温度、养护注意事项，以及</w:t>
            </w:r>
            <w:r>
              <w:rPr>
                <w:szCs w:val="21"/>
                <w:lang w:val="zh-CN"/>
              </w:rPr>
              <w:t>结构设计细节和应用</w:t>
            </w:r>
            <w:r>
              <w:rPr>
                <w:rFonts w:hint="eastAsia"/>
                <w:szCs w:val="21"/>
                <w:lang w:val="zh-CN"/>
              </w:rPr>
              <w:t>。</w:t>
            </w:r>
          </w:p>
        </w:tc>
      </w:tr>
    </w:tbl>
    <w:p w14:paraId="14227DE0">
      <w:pPr>
        <w:spacing w:line="360" w:lineRule="auto"/>
        <w:rPr>
          <w:sz w:val="24"/>
        </w:rPr>
      </w:pPr>
    </w:p>
    <w:p w14:paraId="1CBFA579">
      <w:pPr>
        <w:snapToGrid w:val="0"/>
        <w:spacing w:line="360" w:lineRule="auto"/>
        <w:ind w:firstLine="480" w:firstLineChars="200"/>
        <w:rPr>
          <w:sz w:val="24"/>
        </w:rPr>
      </w:pPr>
      <w:r>
        <w:rPr>
          <w:rFonts w:hint="eastAsia"/>
          <w:sz w:val="24"/>
        </w:rPr>
        <w:t>本标准的制定，一方面弥补了现有工程建设标准的缺失，让混凝土膨胀剂使用单位深入了解膨胀剂类型、特性、使用范围、应用技术，设计、施工、材料等各个环节联动，实现精准裂渗控制。另一方面，促进膨胀剂的发展和应用。通过制定本标准，可加快产品技术进步，指导工程应用，显著提升我国建筑工程质量，对混凝土膨胀剂的发展和应用有很好的促进作用。</w:t>
      </w:r>
    </w:p>
    <w:p w14:paraId="0331DAF7">
      <w:pPr>
        <w:spacing w:line="360" w:lineRule="auto"/>
        <w:rPr>
          <w:sz w:val="24"/>
        </w:rPr>
        <w:sectPr>
          <w:pgSz w:w="16838" w:h="11906" w:orient="landscape"/>
          <w:pgMar w:top="1800" w:right="1440" w:bottom="1800" w:left="1440" w:header="851" w:footer="992" w:gutter="0"/>
          <w:cols w:space="425" w:num="1"/>
          <w:docGrid w:type="lines" w:linePitch="312" w:charSpace="0"/>
        </w:sectPr>
      </w:pPr>
    </w:p>
    <w:p w14:paraId="1C80572F">
      <w:pPr>
        <w:pStyle w:val="14"/>
        <w:spacing w:before="156" w:after="156"/>
        <w:outlineLvl w:val="0"/>
        <w:rPr>
          <w:rFonts w:ascii="Times New Roman" w:eastAsia="宋体"/>
          <w:b/>
          <w:bCs/>
          <w:kern w:val="2"/>
          <w:sz w:val="32"/>
          <w:szCs w:val="28"/>
        </w:rPr>
      </w:pPr>
      <w:r>
        <w:rPr>
          <w:rFonts w:ascii="Times New Roman" w:eastAsia="宋体"/>
          <w:b/>
          <w:bCs/>
          <w:kern w:val="2"/>
          <w:sz w:val="32"/>
          <w:szCs w:val="28"/>
        </w:rPr>
        <w:t>7  与现行相关法律、法规、规章及相关标准，特别是强制性标准的协调性</w:t>
      </w:r>
    </w:p>
    <w:p w14:paraId="4EC48514">
      <w:pPr>
        <w:spacing w:line="360" w:lineRule="auto"/>
        <w:ind w:firstLine="480" w:firstLineChars="200"/>
        <w:rPr>
          <w:iCs/>
          <w:sz w:val="24"/>
        </w:rPr>
      </w:pPr>
      <w:r>
        <w:rPr>
          <w:rFonts w:hint="eastAsia"/>
          <w:iCs/>
          <w:sz w:val="24"/>
        </w:rPr>
        <w:t>混凝土结构开裂是困扰工程界的世界性难题，建筑防裂与建筑安全和使用寿命有强关联性，关系到“住有所居”的民生问题、国家重大工程的安全服役与国家双碳战略的实施。混凝土膨胀剂是目前最有效的抗裂抗渗材料之一，是解决混凝土工程收缩裂缝难题的重要技术手段。为此，《混凝土用膨胀剂应用技术规范》的出台，侧重全面覆盖国内膨胀剂类型，</w:t>
      </w:r>
      <w:bookmarkStart w:id="77" w:name="OLE_LINK5"/>
      <w:r>
        <w:rPr>
          <w:rFonts w:hint="eastAsia"/>
          <w:iCs/>
          <w:sz w:val="24"/>
        </w:rPr>
        <w:t>旨在提高混凝土膨胀剂的质量和应用技术水平，实现设计、施工、材料等各个环节的配合，根据不同工程类型、结构类型，更好地指导混凝土膨胀剂的应用，实现精准裂渗控制，从而引导行业健康高质发展。</w:t>
      </w:r>
      <w:bookmarkEnd w:id="77"/>
      <w:r>
        <w:rPr>
          <w:rFonts w:hint="eastAsia"/>
          <w:iCs/>
          <w:sz w:val="24"/>
        </w:rPr>
        <w:t>本文将从现行相关法律、法规、规章及相关标准的角度出发，探讨该本标准颁布实施后的协调性。</w:t>
      </w:r>
    </w:p>
    <w:p w14:paraId="64324288">
      <w:pPr>
        <w:spacing w:line="360" w:lineRule="auto"/>
        <w:ind w:firstLine="480" w:firstLineChars="200"/>
        <w:rPr>
          <w:iCs/>
          <w:sz w:val="24"/>
        </w:rPr>
      </w:pPr>
      <w:r>
        <w:rPr>
          <w:rFonts w:hint="eastAsia"/>
          <w:iCs/>
          <w:sz w:val="24"/>
        </w:rPr>
        <w:t>1 与现行法律、法规的协调性</w:t>
      </w:r>
    </w:p>
    <w:p w14:paraId="772F3551">
      <w:pPr>
        <w:spacing w:line="360" w:lineRule="auto"/>
        <w:ind w:firstLine="480" w:firstLineChars="200"/>
        <w:rPr>
          <w:iCs/>
          <w:sz w:val="24"/>
        </w:rPr>
      </w:pPr>
      <w:r>
        <w:rPr>
          <w:rFonts w:hint="eastAsia"/>
          <w:iCs/>
          <w:sz w:val="24"/>
        </w:rPr>
        <w:t>我国现行法律体系中，关于建筑工程质量的法律条款，如《</w:t>
      </w:r>
      <w:r>
        <w:rPr>
          <w:iCs/>
          <w:sz w:val="24"/>
        </w:rPr>
        <w:t>中华人民共和国建筑法</w:t>
      </w:r>
      <w:r>
        <w:rPr>
          <w:rFonts w:hint="eastAsia"/>
          <w:iCs/>
          <w:sz w:val="24"/>
        </w:rPr>
        <w:t>》《建设工程质量管理条例》《建设工程质量检测管理办法》等，均对工程结构开裂、渗漏等质量缺陷与建筑材料的选用、</w:t>
      </w:r>
      <w:r>
        <w:rPr>
          <w:iCs/>
          <w:sz w:val="24"/>
        </w:rPr>
        <w:t>检验、施工过程控制、质量验收等环节</w:t>
      </w:r>
      <w:r>
        <w:rPr>
          <w:rFonts w:hint="eastAsia"/>
          <w:iCs/>
          <w:sz w:val="24"/>
        </w:rPr>
        <w:t>进行了</w:t>
      </w:r>
      <w:r>
        <w:rPr>
          <w:iCs/>
          <w:sz w:val="24"/>
        </w:rPr>
        <w:t>规定，确保</w:t>
      </w:r>
      <w:r>
        <w:rPr>
          <w:rFonts w:hint="eastAsia"/>
          <w:iCs/>
          <w:sz w:val="24"/>
        </w:rPr>
        <w:t>建筑材料</w:t>
      </w:r>
      <w:r>
        <w:rPr>
          <w:iCs/>
          <w:sz w:val="24"/>
        </w:rPr>
        <w:t>应用符合工程建设基本法律要求</w:t>
      </w:r>
      <w:r>
        <w:rPr>
          <w:rFonts w:hint="eastAsia"/>
          <w:iCs/>
          <w:sz w:val="24"/>
        </w:rPr>
        <w:t>。而《混凝土用膨胀剂应用技术规范》的出台，正是对这些法律要求的细化和补充。该规范通过明确不同类型混凝土膨胀剂的技术要求、适用范围及施工与验收等具体细节，为建筑工程抗裂、膨胀剂的合理应用提供了详细的技术指导，确保工程实施符合法律要求，提升了建筑工程的质量与安全性。</w:t>
      </w:r>
    </w:p>
    <w:p w14:paraId="691D636D">
      <w:pPr>
        <w:spacing w:line="360" w:lineRule="auto"/>
        <w:ind w:firstLine="480" w:firstLineChars="200"/>
        <w:rPr>
          <w:iCs/>
          <w:sz w:val="24"/>
        </w:rPr>
      </w:pPr>
      <w:r>
        <w:rPr>
          <w:rFonts w:hint="eastAsia"/>
          <w:iCs/>
          <w:sz w:val="24"/>
        </w:rPr>
        <w:t>2 与现行规章的协调性</w:t>
      </w:r>
    </w:p>
    <w:p w14:paraId="277C484E">
      <w:pPr>
        <w:spacing w:line="360" w:lineRule="auto"/>
        <w:ind w:firstLine="480" w:firstLineChars="200"/>
        <w:rPr>
          <w:iCs/>
          <w:sz w:val="24"/>
        </w:rPr>
      </w:pPr>
      <w:r>
        <w:rPr>
          <w:rFonts w:hint="eastAsia"/>
          <w:iCs/>
          <w:sz w:val="24"/>
        </w:rPr>
        <w:t>在规章层面，如中华人民共和国住房和城乡建设部发布的《建设工程质量检测管理办法》、GB 55030-2022《建筑与市政工程防水通用规范》等规章和标准，为建筑工程裂缝控制、抗裂材料检测等工作提供了基本的技术规范。《混凝土用膨胀剂应用技术规范》标准的颁布实施，不仅与这些规章在目标上保持一致，即提高建筑工程质量、建筑材料选用与检验，还在技术上进行了细化和补充。本标准为膨胀剂在工程中应用提供了更加全面、细致的技术指导，有助于提升建筑工程质量和技术水平。</w:t>
      </w:r>
    </w:p>
    <w:p w14:paraId="10926165">
      <w:pPr>
        <w:spacing w:line="360" w:lineRule="auto"/>
        <w:ind w:firstLine="480" w:firstLineChars="200"/>
        <w:rPr>
          <w:iCs/>
          <w:sz w:val="24"/>
        </w:rPr>
      </w:pPr>
      <w:r>
        <w:rPr>
          <w:rFonts w:hint="eastAsia"/>
          <w:iCs/>
          <w:sz w:val="24"/>
        </w:rPr>
        <w:t xml:space="preserve"> 3 与相关标准的协调性</w:t>
      </w:r>
    </w:p>
    <w:p w14:paraId="3F0BBA23">
      <w:pPr>
        <w:spacing w:line="360" w:lineRule="auto"/>
        <w:ind w:firstLine="480" w:firstLineChars="200"/>
        <w:rPr>
          <w:iCs/>
          <w:sz w:val="24"/>
        </w:rPr>
      </w:pPr>
      <w:r>
        <w:rPr>
          <w:rFonts w:hint="eastAsia"/>
          <w:iCs/>
          <w:sz w:val="24"/>
        </w:rPr>
        <w:t>在标准层面，现行涉及膨胀剂应用的国家、行业标准有GB/T 23439—2017《混凝土膨胀剂》、JGJ/T 178—2009《补偿收缩混凝土应用技术规程》、GB 50119—2013 《混凝土外加剂应用技术规范》，一定程度上规范了我国膨胀剂在工程中的规模化应用与行业发展。但是现行标准主要规定了硫铝酸钙、氧化钙、硫铝酸钙-氧化钙三类膨胀剂的技术要求，并对产品及补偿收缩混凝土工程应用做出了基本规定，且未涉及逐渐占据市场主导的氧化镁膨胀剂、钙镁复合膨胀剂等主要产品。《混凝土用膨胀剂应用技术规范》标准的侧重点在全面覆盖国内膨胀剂类型，对产品甄别真伪、不同膨胀剂应用的结构尺寸、环境温度、施工季节等技术条件、拆模温度、养护注意事项等重要环节进行细致规定，以更好的指导混凝土膨胀剂的应用。</w:t>
      </w:r>
      <w:r>
        <w:rPr>
          <w:iCs/>
          <w:sz w:val="24"/>
        </w:rPr>
        <w:cr/>
      </w:r>
      <w:r>
        <w:rPr>
          <w:rFonts w:hint="eastAsia"/>
          <w:iCs/>
          <w:sz w:val="24"/>
        </w:rPr>
        <w:t xml:space="preserve">    此外，本标准与现行的强制性标准形成了完整的技术体系，协调性良好：</w:t>
      </w:r>
    </w:p>
    <w:tbl>
      <w:tblPr>
        <w:tblStyle w:val="1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46"/>
        <w:gridCol w:w="1559"/>
        <w:gridCol w:w="1843"/>
        <w:gridCol w:w="4048"/>
      </w:tblGrid>
      <w:tr w14:paraId="03F239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vAlign w:val="center"/>
          </w:tcPr>
          <w:p w14:paraId="6F108436">
            <w:pPr>
              <w:spacing w:line="276" w:lineRule="auto"/>
              <w:jc w:val="center"/>
              <w:rPr>
                <w:iCs/>
                <w:szCs w:val="21"/>
              </w:rPr>
            </w:pPr>
            <w:r>
              <w:rPr>
                <w:rFonts w:hint="eastAsia"/>
                <w:iCs/>
                <w:szCs w:val="21"/>
              </w:rPr>
              <w:t>序号</w:t>
            </w:r>
          </w:p>
        </w:tc>
        <w:tc>
          <w:tcPr>
            <w:tcW w:w="1559" w:type="dxa"/>
            <w:vAlign w:val="center"/>
          </w:tcPr>
          <w:p w14:paraId="7330E597">
            <w:pPr>
              <w:spacing w:line="276" w:lineRule="auto"/>
              <w:jc w:val="center"/>
              <w:rPr>
                <w:iCs/>
                <w:szCs w:val="21"/>
              </w:rPr>
            </w:pPr>
            <w:r>
              <w:rPr>
                <w:iCs/>
                <w:szCs w:val="21"/>
              </w:rPr>
              <w:t>强制性</w:t>
            </w:r>
          </w:p>
          <w:p w14:paraId="67AD030D">
            <w:pPr>
              <w:spacing w:line="276" w:lineRule="auto"/>
              <w:jc w:val="center"/>
              <w:rPr>
                <w:iCs/>
                <w:szCs w:val="21"/>
              </w:rPr>
            </w:pPr>
            <w:r>
              <w:rPr>
                <w:iCs/>
                <w:szCs w:val="21"/>
              </w:rPr>
              <w:t>标准名称</w:t>
            </w:r>
          </w:p>
        </w:tc>
        <w:tc>
          <w:tcPr>
            <w:tcW w:w="1843" w:type="dxa"/>
            <w:vAlign w:val="center"/>
          </w:tcPr>
          <w:p w14:paraId="735AF83D">
            <w:pPr>
              <w:spacing w:line="276" w:lineRule="auto"/>
              <w:jc w:val="center"/>
              <w:rPr>
                <w:iCs/>
                <w:szCs w:val="21"/>
              </w:rPr>
            </w:pPr>
            <w:r>
              <w:rPr>
                <w:iCs/>
                <w:szCs w:val="21"/>
              </w:rPr>
              <w:t>标准号</w:t>
            </w:r>
          </w:p>
        </w:tc>
        <w:tc>
          <w:tcPr>
            <w:tcW w:w="4048" w:type="dxa"/>
            <w:vAlign w:val="center"/>
          </w:tcPr>
          <w:p w14:paraId="243349DB">
            <w:pPr>
              <w:spacing w:line="276" w:lineRule="auto"/>
              <w:jc w:val="center"/>
              <w:rPr>
                <w:iCs/>
                <w:szCs w:val="21"/>
              </w:rPr>
            </w:pPr>
            <w:r>
              <w:rPr>
                <w:iCs/>
                <w:szCs w:val="21"/>
              </w:rPr>
              <w:t>协调要点</w:t>
            </w:r>
          </w:p>
        </w:tc>
      </w:tr>
      <w:tr w14:paraId="385CE3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vAlign w:val="center"/>
          </w:tcPr>
          <w:p w14:paraId="7E8CB2E8">
            <w:pPr>
              <w:spacing w:line="276" w:lineRule="auto"/>
              <w:jc w:val="center"/>
              <w:rPr>
                <w:iCs/>
                <w:szCs w:val="21"/>
              </w:rPr>
            </w:pPr>
            <w:r>
              <w:rPr>
                <w:rFonts w:hint="eastAsia"/>
                <w:iCs/>
                <w:szCs w:val="21"/>
              </w:rPr>
              <w:t>1</w:t>
            </w:r>
          </w:p>
        </w:tc>
        <w:tc>
          <w:tcPr>
            <w:tcW w:w="1559" w:type="dxa"/>
            <w:vAlign w:val="center"/>
          </w:tcPr>
          <w:p w14:paraId="76B8651D">
            <w:pPr>
              <w:spacing w:line="276" w:lineRule="auto"/>
              <w:jc w:val="center"/>
              <w:rPr>
                <w:iCs/>
                <w:szCs w:val="21"/>
              </w:rPr>
            </w:pPr>
            <w:r>
              <w:rPr>
                <w:iCs/>
                <w:szCs w:val="21"/>
              </w:rPr>
              <w:t>建筑与市政工程防水通用规范</w:t>
            </w:r>
          </w:p>
        </w:tc>
        <w:tc>
          <w:tcPr>
            <w:tcW w:w="1843" w:type="dxa"/>
            <w:vAlign w:val="center"/>
          </w:tcPr>
          <w:p w14:paraId="1B0C0D09">
            <w:pPr>
              <w:spacing w:line="276" w:lineRule="auto"/>
              <w:jc w:val="center"/>
              <w:rPr>
                <w:iCs/>
                <w:szCs w:val="21"/>
              </w:rPr>
            </w:pPr>
            <w:r>
              <w:rPr>
                <w:iCs/>
                <w:szCs w:val="21"/>
              </w:rPr>
              <w:t>GB 55030-202</w:t>
            </w:r>
            <w:r>
              <w:rPr>
                <w:rFonts w:hint="eastAsia"/>
                <w:iCs/>
                <w:szCs w:val="21"/>
              </w:rPr>
              <w:t>2</w:t>
            </w:r>
          </w:p>
        </w:tc>
        <w:tc>
          <w:tcPr>
            <w:tcW w:w="4048" w:type="dxa"/>
            <w:vAlign w:val="center"/>
          </w:tcPr>
          <w:p w14:paraId="0180D344">
            <w:pPr>
              <w:spacing w:line="276" w:lineRule="auto"/>
              <w:rPr>
                <w:iCs/>
                <w:szCs w:val="21"/>
              </w:rPr>
            </w:pPr>
            <w:r>
              <w:rPr>
                <w:rFonts w:hint="eastAsia"/>
                <w:iCs/>
                <w:szCs w:val="21"/>
              </w:rPr>
              <w:t>本</w:t>
            </w:r>
            <w:r>
              <w:rPr>
                <w:iCs/>
                <w:szCs w:val="21"/>
              </w:rPr>
              <w:t>标准中补偿收缩混凝土</w:t>
            </w:r>
            <w:r>
              <w:rPr>
                <w:rFonts w:hint="eastAsia"/>
                <w:iCs/>
                <w:szCs w:val="21"/>
              </w:rPr>
              <w:t>限制膨胀率</w:t>
            </w:r>
            <w:r>
              <w:rPr>
                <w:iCs/>
                <w:szCs w:val="21"/>
              </w:rPr>
              <w:t>的技术要求，与该规范中结构自防水的设计工作年限、防水性能等级要求完全匹配</w:t>
            </w:r>
            <w:r>
              <w:rPr>
                <w:rFonts w:hint="eastAsia"/>
                <w:iCs/>
                <w:szCs w:val="21"/>
              </w:rPr>
              <w:t>。</w:t>
            </w:r>
          </w:p>
        </w:tc>
      </w:tr>
      <w:tr w14:paraId="52521C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vAlign w:val="center"/>
          </w:tcPr>
          <w:p w14:paraId="5E98CE54">
            <w:pPr>
              <w:spacing w:line="276" w:lineRule="auto"/>
              <w:jc w:val="center"/>
              <w:rPr>
                <w:iCs/>
                <w:szCs w:val="21"/>
              </w:rPr>
            </w:pPr>
            <w:r>
              <w:rPr>
                <w:rFonts w:hint="eastAsia"/>
                <w:iCs/>
                <w:szCs w:val="21"/>
              </w:rPr>
              <w:t>2</w:t>
            </w:r>
          </w:p>
        </w:tc>
        <w:tc>
          <w:tcPr>
            <w:tcW w:w="1559" w:type="dxa"/>
            <w:vAlign w:val="center"/>
          </w:tcPr>
          <w:p w14:paraId="2730471B">
            <w:pPr>
              <w:spacing w:line="276" w:lineRule="auto"/>
              <w:jc w:val="center"/>
              <w:rPr>
                <w:iCs/>
                <w:szCs w:val="21"/>
              </w:rPr>
            </w:pPr>
            <w:r>
              <w:rPr>
                <w:iCs/>
                <w:szCs w:val="21"/>
              </w:rPr>
              <w:t>混凝土结构通用规范</w:t>
            </w:r>
          </w:p>
        </w:tc>
        <w:tc>
          <w:tcPr>
            <w:tcW w:w="1843" w:type="dxa"/>
            <w:vAlign w:val="center"/>
          </w:tcPr>
          <w:p w14:paraId="0224A171">
            <w:pPr>
              <w:spacing w:line="276" w:lineRule="auto"/>
              <w:jc w:val="center"/>
              <w:rPr>
                <w:iCs/>
                <w:szCs w:val="21"/>
              </w:rPr>
            </w:pPr>
            <w:r>
              <w:rPr>
                <w:iCs/>
                <w:szCs w:val="21"/>
              </w:rPr>
              <w:t>GB 55008-2021</w:t>
            </w:r>
          </w:p>
        </w:tc>
        <w:tc>
          <w:tcPr>
            <w:tcW w:w="4048" w:type="dxa"/>
            <w:vAlign w:val="center"/>
          </w:tcPr>
          <w:p w14:paraId="0F9C3037">
            <w:pPr>
              <w:spacing w:line="276" w:lineRule="auto"/>
              <w:rPr>
                <w:iCs/>
                <w:szCs w:val="21"/>
              </w:rPr>
            </w:pPr>
            <w:r>
              <w:rPr>
                <w:iCs/>
                <w:szCs w:val="21"/>
              </w:rPr>
              <w:t>标准中膨胀剂应用于钢筋混凝土工程的技术规定，与该规范中混凝土结构安全性、适用性、耐久性的基本要求保持一致</w:t>
            </w:r>
            <w:r>
              <w:rPr>
                <w:rFonts w:hint="eastAsia"/>
                <w:iCs/>
                <w:szCs w:val="21"/>
              </w:rPr>
              <w:t>。</w:t>
            </w:r>
          </w:p>
        </w:tc>
      </w:tr>
      <w:tr w14:paraId="573B55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vAlign w:val="center"/>
          </w:tcPr>
          <w:p w14:paraId="3311D569">
            <w:pPr>
              <w:spacing w:line="276" w:lineRule="auto"/>
              <w:jc w:val="center"/>
              <w:rPr>
                <w:iCs/>
                <w:szCs w:val="21"/>
              </w:rPr>
            </w:pPr>
            <w:r>
              <w:rPr>
                <w:rFonts w:hint="eastAsia"/>
                <w:iCs/>
                <w:szCs w:val="21"/>
              </w:rPr>
              <w:t>3</w:t>
            </w:r>
          </w:p>
        </w:tc>
        <w:tc>
          <w:tcPr>
            <w:tcW w:w="1559" w:type="dxa"/>
            <w:vAlign w:val="center"/>
          </w:tcPr>
          <w:p w14:paraId="4E34DCAF">
            <w:pPr>
              <w:spacing w:line="276" w:lineRule="auto"/>
              <w:jc w:val="center"/>
              <w:rPr>
                <w:iCs/>
                <w:szCs w:val="21"/>
              </w:rPr>
            </w:pPr>
            <w:r>
              <w:rPr>
                <w:iCs/>
                <w:szCs w:val="21"/>
              </w:rPr>
              <w:t>地下工程防水技术规范</w:t>
            </w:r>
          </w:p>
        </w:tc>
        <w:tc>
          <w:tcPr>
            <w:tcW w:w="1843" w:type="dxa"/>
            <w:vAlign w:val="center"/>
          </w:tcPr>
          <w:p w14:paraId="5D03009C">
            <w:pPr>
              <w:spacing w:line="276" w:lineRule="auto"/>
              <w:jc w:val="center"/>
              <w:rPr>
                <w:iCs/>
                <w:szCs w:val="21"/>
              </w:rPr>
            </w:pPr>
            <w:r>
              <w:rPr>
                <w:iCs/>
                <w:szCs w:val="21"/>
              </w:rPr>
              <w:t>GB 50108-2011</w:t>
            </w:r>
          </w:p>
        </w:tc>
        <w:tc>
          <w:tcPr>
            <w:tcW w:w="4048" w:type="dxa"/>
            <w:vAlign w:val="center"/>
          </w:tcPr>
          <w:p w14:paraId="6E8337D2">
            <w:pPr>
              <w:spacing w:line="276" w:lineRule="auto"/>
              <w:rPr>
                <w:iCs/>
                <w:szCs w:val="21"/>
              </w:rPr>
            </w:pPr>
            <w:r>
              <w:rPr>
                <w:iCs/>
                <w:szCs w:val="21"/>
              </w:rPr>
              <w:t>补偿收缩混凝土在地下工程中的应用要求与该规范中结构自防水、后浇带防水等规定相协调</w:t>
            </w:r>
            <w:r>
              <w:rPr>
                <w:rFonts w:hint="eastAsia"/>
                <w:iCs/>
                <w:szCs w:val="21"/>
              </w:rPr>
              <w:t>。</w:t>
            </w:r>
          </w:p>
        </w:tc>
      </w:tr>
      <w:tr w14:paraId="372470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vAlign w:val="center"/>
          </w:tcPr>
          <w:p w14:paraId="1A3CF75B">
            <w:pPr>
              <w:spacing w:line="276" w:lineRule="auto"/>
              <w:jc w:val="center"/>
              <w:rPr>
                <w:iCs/>
                <w:szCs w:val="21"/>
              </w:rPr>
            </w:pPr>
            <w:r>
              <w:rPr>
                <w:rFonts w:hint="eastAsia"/>
                <w:iCs/>
                <w:szCs w:val="21"/>
              </w:rPr>
              <w:t>4</w:t>
            </w:r>
          </w:p>
        </w:tc>
        <w:tc>
          <w:tcPr>
            <w:tcW w:w="1559" w:type="dxa"/>
            <w:vAlign w:val="center"/>
          </w:tcPr>
          <w:p w14:paraId="2FEA0BEB">
            <w:pPr>
              <w:spacing w:line="276" w:lineRule="auto"/>
              <w:jc w:val="center"/>
              <w:rPr>
                <w:iCs/>
                <w:szCs w:val="21"/>
              </w:rPr>
            </w:pPr>
            <w:r>
              <w:rPr>
                <w:iCs/>
                <w:szCs w:val="21"/>
              </w:rPr>
              <w:t>混凝土质量控制标准</w:t>
            </w:r>
          </w:p>
        </w:tc>
        <w:tc>
          <w:tcPr>
            <w:tcW w:w="1843" w:type="dxa"/>
            <w:vAlign w:val="center"/>
          </w:tcPr>
          <w:p w14:paraId="40D7F024">
            <w:pPr>
              <w:spacing w:line="276" w:lineRule="auto"/>
              <w:jc w:val="center"/>
              <w:rPr>
                <w:iCs/>
                <w:szCs w:val="21"/>
              </w:rPr>
            </w:pPr>
            <w:r>
              <w:rPr>
                <w:iCs/>
                <w:szCs w:val="21"/>
              </w:rPr>
              <w:t>GB 50164-2011</w:t>
            </w:r>
          </w:p>
        </w:tc>
        <w:tc>
          <w:tcPr>
            <w:tcW w:w="4048" w:type="dxa"/>
            <w:vAlign w:val="center"/>
          </w:tcPr>
          <w:p w14:paraId="3F00D9D1">
            <w:pPr>
              <w:spacing w:line="276" w:lineRule="auto"/>
              <w:rPr>
                <w:iCs/>
                <w:szCs w:val="21"/>
              </w:rPr>
            </w:pPr>
            <w:r>
              <w:rPr>
                <w:rFonts w:hint="eastAsia"/>
                <w:iCs/>
                <w:szCs w:val="21"/>
              </w:rPr>
              <w:t>掺</w:t>
            </w:r>
            <w:r>
              <w:rPr>
                <w:iCs/>
                <w:szCs w:val="21"/>
              </w:rPr>
              <w:t>膨胀剂混凝土的原材料控制、配合比设计、施工过程控制等要求与该标准保持一致</w:t>
            </w:r>
            <w:r>
              <w:rPr>
                <w:rFonts w:hint="eastAsia"/>
                <w:iCs/>
                <w:szCs w:val="21"/>
              </w:rPr>
              <w:t>。</w:t>
            </w:r>
          </w:p>
        </w:tc>
      </w:tr>
      <w:tr w14:paraId="4106C3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vAlign w:val="center"/>
          </w:tcPr>
          <w:p w14:paraId="0C021C12">
            <w:pPr>
              <w:spacing w:line="276" w:lineRule="auto"/>
              <w:jc w:val="center"/>
              <w:rPr>
                <w:iCs/>
                <w:szCs w:val="21"/>
              </w:rPr>
            </w:pPr>
            <w:r>
              <w:rPr>
                <w:rFonts w:hint="eastAsia"/>
                <w:iCs/>
                <w:szCs w:val="21"/>
              </w:rPr>
              <w:t>5</w:t>
            </w:r>
          </w:p>
        </w:tc>
        <w:tc>
          <w:tcPr>
            <w:tcW w:w="1559" w:type="dxa"/>
            <w:vAlign w:val="center"/>
          </w:tcPr>
          <w:p w14:paraId="47FBA5DF">
            <w:pPr>
              <w:spacing w:line="276" w:lineRule="auto"/>
              <w:jc w:val="center"/>
              <w:rPr>
                <w:iCs/>
                <w:szCs w:val="21"/>
              </w:rPr>
            </w:pPr>
            <w:r>
              <w:rPr>
                <w:iCs/>
                <w:szCs w:val="21"/>
              </w:rPr>
              <w:t>混凝土结构工程施工质量验收规范</w:t>
            </w:r>
          </w:p>
        </w:tc>
        <w:tc>
          <w:tcPr>
            <w:tcW w:w="1843" w:type="dxa"/>
            <w:vAlign w:val="center"/>
          </w:tcPr>
          <w:p w14:paraId="1C1732DB">
            <w:pPr>
              <w:spacing w:line="276" w:lineRule="auto"/>
              <w:jc w:val="center"/>
              <w:rPr>
                <w:iCs/>
                <w:szCs w:val="21"/>
              </w:rPr>
            </w:pPr>
            <w:r>
              <w:rPr>
                <w:iCs/>
                <w:szCs w:val="21"/>
              </w:rPr>
              <w:t>GB 50204-2015</w:t>
            </w:r>
          </w:p>
        </w:tc>
        <w:tc>
          <w:tcPr>
            <w:tcW w:w="4048" w:type="dxa"/>
            <w:vAlign w:val="center"/>
          </w:tcPr>
          <w:p w14:paraId="086B85E3">
            <w:pPr>
              <w:spacing w:line="276" w:lineRule="auto"/>
              <w:rPr>
                <w:iCs/>
                <w:szCs w:val="21"/>
              </w:rPr>
            </w:pPr>
            <w:r>
              <w:rPr>
                <w:rFonts w:hint="eastAsia"/>
                <w:iCs/>
                <w:szCs w:val="21"/>
              </w:rPr>
              <w:t>掺</w:t>
            </w:r>
            <w:r>
              <w:rPr>
                <w:iCs/>
                <w:szCs w:val="21"/>
              </w:rPr>
              <w:t>膨胀剂混凝土的施工质量验收要求与该规范中混凝土结构实体验收等规定完全一致</w:t>
            </w:r>
            <w:r>
              <w:rPr>
                <w:rFonts w:hint="eastAsia"/>
                <w:iCs/>
                <w:szCs w:val="21"/>
              </w:rPr>
              <w:t>。</w:t>
            </w:r>
          </w:p>
        </w:tc>
      </w:tr>
    </w:tbl>
    <w:p w14:paraId="2845C3A0">
      <w:pPr>
        <w:spacing w:before="240" w:line="360" w:lineRule="auto"/>
        <w:rPr>
          <w:iCs/>
          <w:sz w:val="24"/>
        </w:rPr>
      </w:pPr>
      <w:r>
        <w:rPr>
          <w:rFonts w:hint="eastAsia"/>
          <w:iCs/>
          <w:sz w:val="24"/>
        </w:rPr>
        <w:t xml:space="preserve">    因此，《混凝土用膨胀剂应用技术规范》标准与现行涉及膨胀剂的产品和工程建设国家行业标准的完善，与涉及混凝土质量、工程防水的强制性标准协调性良好。</w:t>
      </w:r>
      <w:r>
        <w:rPr>
          <w:iCs/>
          <w:sz w:val="24"/>
        </w:rPr>
        <w:t xml:space="preserve"> </w:t>
      </w:r>
    </w:p>
    <w:p w14:paraId="0A2302ED">
      <w:pPr>
        <w:spacing w:line="360" w:lineRule="auto"/>
        <w:ind w:firstLine="480" w:firstLineChars="200"/>
        <w:rPr>
          <w:iCs/>
          <w:sz w:val="24"/>
        </w:rPr>
      </w:pPr>
      <w:r>
        <w:rPr>
          <w:rFonts w:hint="eastAsia"/>
          <w:iCs/>
          <w:sz w:val="24"/>
        </w:rPr>
        <w:t>4 协调性的重要意义</w:t>
      </w:r>
    </w:p>
    <w:p w14:paraId="7C33EC66">
      <w:pPr>
        <w:spacing w:line="360" w:lineRule="auto"/>
        <w:ind w:firstLine="480" w:firstLineChars="200"/>
        <w:rPr>
          <w:iCs/>
          <w:sz w:val="24"/>
        </w:rPr>
      </w:pPr>
      <w:r>
        <w:rPr>
          <w:rFonts w:hint="eastAsia"/>
          <w:iCs/>
          <w:sz w:val="24"/>
        </w:rPr>
        <w:t>《混凝土用膨胀剂应用技术规范》的颁布实施，对于提升建筑工程抗裂性和质量和安全性，合理指导膨胀剂工程应用具有重要意义。通过与现行法律、法规、规章及相关标准的协调一致，本标准为混凝土膨胀剂在工程中应用提供了全面、细致的技术指导，有助于确保工程实施符合法律法规要求，提升工程质量和技术水平。</w:t>
      </w:r>
    </w:p>
    <w:p w14:paraId="6F010EFF">
      <w:pPr>
        <w:spacing w:line="360" w:lineRule="auto"/>
        <w:ind w:firstLine="480" w:firstLineChars="200"/>
        <w:rPr>
          <w:iCs/>
          <w:sz w:val="24"/>
        </w:rPr>
      </w:pPr>
      <w:r>
        <w:rPr>
          <w:rFonts w:hint="eastAsia"/>
          <w:iCs/>
          <w:sz w:val="24"/>
        </w:rPr>
        <w:t>因此，《</w:t>
      </w:r>
      <w:bookmarkStart w:id="78" w:name="OLE_LINK8"/>
      <w:r>
        <w:rPr>
          <w:rFonts w:hint="eastAsia"/>
          <w:iCs/>
          <w:sz w:val="24"/>
        </w:rPr>
        <w:t>混凝土用膨胀剂应用技术规范</w:t>
      </w:r>
      <w:bookmarkEnd w:id="78"/>
      <w:r>
        <w:rPr>
          <w:rFonts w:hint="eastAsia"/>
          <w:iCs/>
          <w:sz w:val="24"/>
        </w:rPr>
        <w:t>》与现行相关法律、法规、规章及相关标准保持了良好的协调性。这一举措不仅有助于提升混凝土膨胀剂的质量和应用技术水平，实现不同工程、结构类型的混凝土构筑物精准裂渗控制，显著提升我国建筑工程质量，为膨胀剂行业的可持续发展提供了有力支撑。</w:t>
      </w:r>
    </w:p>
    <w:p w14:paraId="124BFAA9">
      <w:pPr>
        <w:pStyle w:val="14"/>
        <w:spacing w:before="156" w:after="156"/>
        <w:outlineLvl w:val="0"/>
        <w:rPr>
          <w:rFonts w:ascii="Times New Roman" w:eastAsia="宋体"/>
          <w:b/>
          <w:bCs/>
          <w:kern w:val="2"/>
          <w:sz w:val="32"/>
          <w:szCs w:val="28"/>
        </w:rPr>
      </w:pPr>
      <w:r>
        <w:rPr>
          <w:rFonts w:ascii="Times New Roman" w:eastAsia="宋体"/>
          <w:b/>
          <w:bCs/>
          <w:kern w:val="2"/>
          <w:sz w:val="32"/>
          <w:szCs w:val="28"/>
        </w:rPr>
        <w:t>8  重大意见分歧的处理依据和结果</w:t>
      </w:r>
    </w:p>
    <w:p w14:paraId="07DBDD98">
      <w:pPr>
        <w:pStyle w:val="14"/>
        <w:spacing w:beforeLines="0" w:afterLines="0" w:line="360" w:lineRule="auto"/>
        <w:ind w:firstLine="480" w:firstLineChars="200"/>
        <w:outlineLvl w:val="9"/>
        <w:rPr>
          <w:rFonts w:ascii="Times New Roman"/>
          <w:color w:val="000000" w:themeColor="text1"/>
          <w:sz w:val="24"/>
          <w:szCs w:val="24"/>
          <w14:textFill>
            <w14:solidFill>
              <w14:schemeClr w14:val="tx1"/>
            </w14:solidFill>
          </w14:textFill>
        </w:rPr>
      </w:pPr>
      <w:bookmarkStart w:id="79" w:name="_Toc27479"/>
      <w:bookmarkStart w:id="80" w:name="_Toc15285"/>
      <w:bookmarkStart w:id="81" w:name="_Toc7565"/>
      <w:bookmarkStart w:id="82" w:name="_Toc2465"/>
      <w:r>
        <w:rPr>
          <w:rFonts w:hint="eastAsia" w:eastAsiaTheme="minorEastAsia"/>
          <w:color w:val="000000" w:themeColor="text1"/>
          <w:sz w:val="24"/>
          <w:szCs w:val="24"/>
          <w14:textFill>
            <w14:solidFill>
              <w14:schemeClr w14:val="tx1"/>
            </w14:solidFill>
          </w14:textFill>
        </w:rPr>
        <w:t>在标准的编制过程中，广泛征求了行业相关单位和业内专家的意见和建议，主要针对标准规定中各项技术指标的要求做了深入研讨，各家单位和行业专家结合自身的工作经验和实验验证提出了作为数据支撑的有力依据，最终对标准要求达成一致。编制过程中对标准的主要内容并未产生重大意见分歧。</w:t>
      </w:r>
      <w:bookmarkEnd w:id="79"/>
      <w:bookmarkEnd w:id="80"/>
      <w:bookmarkEnd w:id="81"/>
      <w:bookmarkEnd w:id="82"/>
    </w:p>
    <w:p w14:paraId="18D0CC8A">
      <w:pPr>
        <w:pStyle w:val="14"/>
        <w:spacing w:before="156" w:after="156"/>
        <w:outlineLvl w:val="0"/>
        <w:rPr>
          <w:rFonts w:ascii="Times New Roman" w:eastAsia="宋体"/>
          <w:b/>
          <w:bCs/>
          <w:kern w:val="2"/>
          <w:sz w:val="32"/>
          <w:szCs w:val="28"/>
        </w:rPr>
      </w:pPr>
      <w:r>
        <w:rPr>
          <w:rFonts w:ascii="Times New Roman" w:eastAsia="宋体"/>
          <w:b/>
          <w:bCs/>
          <w:kern w:val="2"/>
          <w:sz w:val="32"/>
          <w:szCs w:val="28"/>
        </w:rPr>
        <w:t>9  标准性质的建议说明</w:t>
      </w:r>
    </w:p>
    <w:p w14:paraId="1D438614">
      <w:pPr>
        <w:spacing w:line="360" w:lineRule="auto"/>
        <w:ind w:firstLine="480" w:firstLineChars="200"/>
        <w:rPr>
          <w:rFonts w:eastAsiaTheme="minorEastAsia"/>
          <w:color w:val="000000" w:themeColor="text1"/>
          <w:sz w:val="24"/>
          <w14:textFill>
            <w14:solidFill>
              <w14:schemeClr w14:val="tx1"/>
            </w14:solidFill>
          </w14:textFill>
        </w:rPr>
      </w:pPr>
      <w:r>
        <w:rPr>
          <w:rFonts w:eastAsiaTheme="minorEastAsia"/>
          <w:color w:val="000000" w:themeColor="text1"/>
          <w:sz w:val="24"/>
          <w14:textFill>
            <w14:solidFill>
              <w14:schemeClr w14:val="tx1"/>
            </w14:solidFill>
          </w14:textFill>
        </w:rPr>
        <w:t>建议本标准为推荐性，发布后立即实施。</w:t>
      </w:r>
    </w:p>
    <w:p w14:paraId="427B6CBB">
      <w:pPr>
        <w:pStyle w:val="14"/>
        <w:spacing w:before="156" w:after="156"/>
        <w:outlineLvl w:val="0"/>
        <w:rPr>
          <w:rFonts w:ascii="Times New Roman" w:eastAsia="宋体"/>
          <w:b/>
          <w:bCs/>
          <w:kern w:val="2"/>
          <w:sz w:val="32"/>
          <w:szCs w:val="28"/>
        </w:rPr>
      </w:pPr>
      <w:r>
        <w:rPr>
          <w:rFonts w:ascii="Times New Roman" w:eastAsia="宋体"/>
          <w:b/>
          <w:bCs/>
          <w:kern w:val="2"/>
          <w:sz w:val="32"/>
          <w:szCs w:val="28"/>
        </w:rPr>
        <w:t>10  贯彻标准的措施建议</w:t>
      </w:r>
    </w:p>
    <w:p w14:paraId="14071602">
      <w:pPr>
        <w:adjustRightInd w:val="0"/>
        <w:snapToGrid w:val="0"/>
        <w:spacing w:line="360" w:lineRule="auto"/>
        <w:ind w:firstLine="480" w:firstLineChars="200"/>
        <w:jc w:val="left"/>
        <w:rPr>
          <w:sz w:val="24"/>
        </w:rPr>
      </w:pPr>
      <w:r>
        <w:rPr>
          <w:rFonts w:hint="eastAsia"/>
          <w:sz w:val="24"/>
        </w:rPr>
        <w:t>建议在本标准正式发布后，针对混凝土用膨胀剂生产企业、设计单位、施工企业、检测单位等进行宣贯。具体实施措施建议补如下：</w:t>
      </w:r>
    </w:p>
    <w:p w14:paraId="6EE3F68F">
      <w:pPr>
        <w:adjustRightInd w:val="0"/>
        <w:snapToGrid w:val="0"/>
        <w:spacing w:line="360" w:lineRule="auto"/>
        <w:ind w:firstLine="480" w:firstLineChars="200"/>
        <w:jc w:val="left"/>
        <w:rPr>
          <w:sz w:val="24"/>
        </w:rPr>
      </w:pPr>
      <w:r>
        <w:rPr>
          <w:rFonts w:hint="eastAsia"/>
          <w:sz w:val="24"/>
        </w:rPr>
        <w:t>（1）加大标准宣传力度，提高认知度，建立信息公共平台，将有参考价值的案例、好的做法和经验等在行业内部公开发布，引起有关部门领导和相关企业单位的重视，使相关单位能够积极主动的购买标准和资料、参加培训、结合本单位实际情况学习研究标准并准备贯彻实施标准。</w:t>
      </w:r>
    </w:p>
    <w:p w14:paraId="3A76AFC1">
      <w:pPr>
        <w:adjustRightInd w:val="0"/>
        <w:snapToGrid w:val="0"/>
        <w:spacing w:line="360" w:lineRule="auto"/>
        <w:ind w:firstLine="480" w:firstLineChars="200"/>
        <w:jc w:val="left"/>
        <w:rPr>
          <w:sz w:val="24"/>
        </w:rPr>
      </w:pPr>
      <w:r>
        <w:rPr>
          <w:rFonts w:hint="eastAsia"/>
          <w:sz w:val="24"/>
        </w:rPr>
        <w:t>（2）标准归口单位进行贯标指导，组织标准宣贯培训班，由标准制定人员主讲。设立专门的答疑或咨询部门或网站，为贯标企业排忧解难，组织有关人员积极参加行业协会组织的各项活动，培训班等。及时了解标准制、修订信息。</w:t>
      </w:r>
    </w:p>
    <w:p w14:paraId="764156DA">
      <w:pPr>
        <w:adjustRightInd w:val="0"/>
        <w:snapToGrid w:val="0"/>
        <w:spacing w:line="360" w:lineRule="auto"/>
        <w:ind w:firstLine="480" w:firstLineChars="200"/>
        <w:jc w:val="left"/>
        <w:rPr>
          <w:sz w:val="24"/>
        </w:rPr>
      </w:pPr>
      <w:r>
        <w:rPr>
          <w:rFonts w:hint="eastAsia"/>
          <w:sz w:val="24"/>
        </w:rPr>
        <w:t>（3）鼓励行业相关企业或项目部成立标准贯彻实施小组，组员由技术负责人、质量负责人、标准化技术人员、设计人员、质检人员、施工技术人员等技术相关工作人员组成，进行明确的分工合作，适时组织标准宣贯会，使有关人员拥有标准、了解标准、熟悉标准，执行标准。</w:t>
      </w:r>
    </w:p>
    <w:p w14:paraId="43ADDDEF">
      <w:pPr>
        <w:adjustRightInd w:val="0"/>
        <w:snapToGrid w:val="0"/>
        <w:spacing w:line="360" w:lineRule="auto"/>
        <w:ind w:firstLine="480" w:firstLineChars="200"/>
        <w:jc w:val="left"/>
        <w:rPr>
          <w:rFonts w:eastAsiaTheme="minorEastAsia"/>
          <w:color w:val="000000" w:themeColor="text1"/>
          <w:sz w:val="24"/>
          <w14:textFill>
            <w14:solidFill>
              <w14:schemeClr w14:val="tx1"/>
            </w14:solidFill>
          </w14:textFill>
        </w:rPr>
      </w:pPr>
      <w:r>
        <w:rPr>
          <w:rFonts w:hint="eastAsia"/>
          <w:sz w:val="24"/>
        </w:rPr>
        <w:t>（4）标准化技术人员全面负责贯标实施工作，跟踪服务对贯标中出现的技术问题进行协调处理作好贯标记录，并进行长期监督检查工作。</w:t>
      </w:r>
    </w:p>
    <w:p w14:paraId="0027F3AB">
      <w:pPr>
        <w:pStyle w:val="14"/>
        <w:spacing w:before="156" w:after="156"/>
        <w:outlineLvl w:val="0"/>
        <w:rPr>
          <w:rFonts w:ascii="Times New Roman" w:eastAsia="宋体"/>
          <w:b/>
          <w:bCs/>
          <w:kern w:val="2"/>
          <w:sz w:val="32"/>
          <w:szCs w:val="28"/>
        </w:rPr>
      </w:pPr>
      <w:r>
        <w:rPr>
          <w:rFonts w:ascii="Times New Roman" w:eastAsia="宋体"/>
          <w:b/>
          <w:bCs/>
          <w:kern w:val="2"/>
          <w:sz w:val="32"/>
          <w:szCs w:val="28"/>
        </w:rPr>
        <w:t>11  废止现行有关标准的建议</w:t>
      </w:r>
    </w:p>
    <w:p w14:paraId="17BB926F">
      <w:pPr>
        <w:spacing w:line="360" w:lineRule="auto"/>
        <w:ind w:firstLine="480"/>
        <w:rPr>
          <w:rFonts w:eastAsiaTheme="minorEastAsia"/>
          <w:color w:val="000000" w:themeColor="text1"/>
          <w:sz w:val="24"/>
          <w14:textFill>
            <w14:solidFill>
              <w14:schemeClr w14:val="tx1"/>
            </w14:solidFill>
          </w14:textFill>
        </w:rPr>
      </w:pPr>
      <w:r>
        <w:rPr>
          <w:rFonts w:eastAsiaTheme="minorEastAsia"/>
          <w:color w:val="000000" w:themeColor="text1"/>
          <w:sz w:val="24"/>
          <w14:textFill>
            <w14:solidFill>
              <w14:schemeClr w14:val="tx1"/>
            </w14:solidFill>
          </w14:textFill>
        </w:rPr>
        <w:t>无。</w:t>
      </w:r>
    </w:p>
    <w:p w14:paraId="11ED5F5B">
      <w:pPr>
        <w:pStyle w:val="14"/>
        <w:spacing w:before="156" w:after="156"/>
        <w:outlineLvl w:val="0"/>
        <w:rPr>
          <w:rFonts w:ascii="Times New Roman" w:eastAsia="宋体"/>
          <w:b/>
          <w:bCs/>
          <w:kern w:val="2"/>
          <w:sz w:val="32"/>
          <w:szCs w:val="28"/>
        </w:rPr>
      </w:pPr>
      <w:r>
        <w:rPr>
          <w:rFonts w:ascii="Times New Roman" w:eastAsia="宋体"/>
          <w:b/>
          <w:bCs/>
          <w:kern w:val="2"/>
          <w:sz w:val="32"/>
          <w:szCs w:val="28"/>
        </w:rPr>
        <w:t>12  其他应说明的事项</w:t>
      </w:r>
    </w:p>
    <w:p w14:paraId="5A6FDC49">
      <w:pPr>
        <w:spacing w:line="360" w:lineRule="auto"/>
        <w:ind w:firstLine="495"/>
        <w:rPr>
          <w:rFonts w:eastAsiaTheme="minorEastAsia"/>
          <w:color w:val="000000" w:themeColor="text1"/>
          <w:sz w:val="24"/>
          <w14:textFill>
            <w14:solidFill>
              <w14:schemeClr w14:val="tx1"/>
            </w14:solidFill>
          </w14:textFill>
        </w:rPr>
      </w:pPr>
      <w:r>
        <w:rPr>
          <w:rFonts w:eastAsiaTheme="minorEastAsia"/>
          <w:color w:val="000000" w:themeColor="text1"/>
          <w:sz w:val="24"/>
          <w14:textFill>
            <w14:solidFill>
              <w14:schemeClr w14:val="tx1"/>
            </w14:solidFill>
          </w14:textFill>
        </w:rPr>
        <w:t>无。</w:t>
      </w:r>
    </w:p>
    <w:p w14:paraId="1062D1B1"/>
    <w:p w14:paraId="3A1331F1"/>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ourier New">
    <w:panose1 w:val="02070309020205020404"/>
    <w:charset w:val="00"/>
    <w:family w:val="modern"/>
    <w:pitch w:val="default"/>
    <w:sig w:usb0="E0002EFF" w:usb1="C0007843" w:usb2="00000009" w:usb3="00000000" w:csb0="400001FF" w:csb1="FFFF0000"/>
  </w:font>
  <w:font w:name="Batang">
    <w:altName w:val="Malgun Gothic"/>
    <w:panose1 w:val="02030600000101010101"/>
    <w:charset w:val="81"/>
    <w:family w:val="roman"/>
    <w:pitch w:val="default"/>
    <w:sig w:usb0="00000000" w:usb1="00000000" w:usb2="00000030" w:usb3="00000000" w:csb0="0008009F" w:csb1="00000000"/>
  </w:font>
  <w:font w:name="바탕">
    <w:altName w:val="Segoe Print"/>
    <w:panose1 w:val="00000000000000000000"/>
    <w:charset w:val="00"/>
    <w:family w:val="auto"/>
    <w:pitch w:val="default"/>
    <w:sig w:usb0="00000000" w:usb1="00000000" w:usb2="00000000" w:usb3="00000000" w:csb0="00000000" w:csb1="00000000"/>
  </w:font>
  <w:font w:name="仿宋">
    <w:panose1 w:val="02010609060101010101"/>
    <w:charset w:val="86"/>
    <w:family w:val="modern"/>
    <w:pitch w:val="default"/>
    <w:sig w:usb0="800002BF" w:usb1="38CF7CFA" w:usb2="00000016" w:usb3="00000000" w:csb0="00040001" w:csb1="00000000"/>
  </w:font>
  <w:font w:name="Malgun Gothic">
    <w:panose1 w:val="020B0503020000020004"/>
    <w:charset w:val="81"/>
    <w:family w:val="auto"/>
    <w:pitch w:val="default"/>
    <w:sig w:usb0="9000002F" w:usb1="29D77CFB" w:usb2="00000012" w:usb3="00000000" w:csb0="00080001" w:csb1="0000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BA0204">
    <w:pPr>
      <w:pStyle w:val="7"/>
      <w:framePr w:wrap="around" w:vAnchor="text" w:hAnchor="margin" w:xAlign="center" w:y="1"/>
      <w:rPr>
        <w:rStyle w:val="13"/>
      </w:rPr>
    </w:pPr>
    <w:r>
      <w:fldChar w:fldCharType="begin"/>
    </w:r>
    <w:r>
      <w:rPr>
        <w:rStyle w:val="13"/>
      </w:rPr>
      <w:instrText xml:space="preserve">PAGE  </w:instrText>
    </w:r>
    <w:r>
      <w:fldChar w:fldCharType="separate"/>
    </w:r>
    <w:r>
      <w:rPr>
        <w:rStyle w:val="13"/>
      </w:rPr>
      <w:t>2</w:t>
    </w:r>
    <w:r>
      <w:fldChar w:fldCharType="end"/>
    </w:r>
  </w:p>
  <w:p w14:paraId="69EC2D11">
    <w:pPr>
      <w:pStyle w:val="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A3CE7F">
    <w:pPr>
      <w:pStyle w:val="7"/>
      <w:framePr w:wrap="around" w:vAnchor="text" w:hAnchor="margin" w:xAlign="center" w:y="1"/>
      <w:rPr>
        <w:rStyle w:val="13"/>
      </w:rPr>
    </w:pPr>
    <w:r>
      <w:fldChar w:fldCharType="begin"/>
    </w:r>
    <w:r>
      <w:rPr>
        <w:rStyle w:val="13"/>
      </w:rPr>
      <w:instrText xml:space="preserve">PAGE  </w:instrText>
    </w:r>
    <w:r>
      <w:fldChar w:fldCharType="end"/>
    </w:r>
  </w:p>
  <w:p w14:paraId="0E358C39">
    <w:pPr>
      <w:pStyle w:val="7"/>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1E7314">
    <w:pPr>
      <w:pStyle w:val="7"/>
      <w:jc w:val="center"/>
    </w:pPr>
    <w:r>
      <w:fldChar w:fldCharType="begin"/>
    </w:r>
    <w:r>
      <w:instrText xml:space="preserve">PAGE   \* MERGEFORMAT</w:instrText>
    </w:r>
    <w:r>
      <w:fldChar w:fldCharType="separate"/>
    </w:r>
    <w:r>
      <w:rPr>
        <w:lang w:val="zh-CN"/>
      </w:rPr>
      <w:t>27</w:t>
    </w:r>
    <w:r>
      <w:fldChar w:fldCharType="end"/>
    </w:r>
  </w:p>
  <w:p w14:paraId="6831C198">
    <w:pPr>
      <w:pStyle w:val="7"/>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C68904">
    <w:pPr>
      <w:pStyle w:val="8"/>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D63E16">
    <w:pPr>
      <w:pStyle w:val="8"/>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95B06E5"/>
    <w:multiLevelType w:val="multilevel"/>
    <w:tmpl w:val="095B06E5"/>
    <w:lvl w:ilvl="0" w:tentative="0">
      <w:start w:val="1"/>
      <w:numFmt w:val="decimal"/>
      <w:lvlText w:val="%1."/>
      <w:lvlJc w:val="left"/>
      <w:pPr>
        <w:ind w:left="425" w:hanging="425"/>
      </w:pPr>
    </w:lvl>
    <w:lvl w:ilvl="1" w:tentative="0">
      <w:start w:val="1"/>
      <w:numFmt w:val="decimal"/>
      <w:pStyle w:val="3"/>
      <w:lvlText w:val="%1.%2."/>
      <w:lvlJc w:val="left"/>
      <w:pPr>
        <w:ind w:left="567" w:hanging="567"/>
      </w:p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1">
    <w:nsid w:val="3C857BE7"/>
    <w:multiLevelType w:val="multilevel"/>
    <w:tmpl w:val="3C857BE7"/>
    <w:lvl w:ilvl="0" w:tentative="0">
      <w:start w:val="1"/>
      <w:numFmt w:val="decimal"/>
      <w:pStyle w:val="22"/>
      <w:lvlText w:val="Figure %1."/>
      <w:lvlJc w:val="left"/>
      <w:pPr>
        <w:ind w:left="440" w:hanging="440"/>
      </w:pPr>
      <w:rPr>
        <w:rFonts w:hint="default" w:ascii="Times New Roman" w:hAnsi="Times New Roman" w:eastAsiaTheme="minorEastAsia"/>
        <w:b w:val="0"/>
        <w:i w:val="0"/>
        <w:sz w:val="24"/>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2">
    <w:nsid w:val="646260FA"/>
    <w:multiLevelType w:val="multilevel"/>
    <w:tmpl w:val="646260FA"/>
    <w:lvl w:ilvl="0" w:tentative="0">
      <w:start w:val="1"/>
      <w:numFmt w:val="decimal"/>
      <w:pStyle w:val="16"/>
      <w:suff w:val="nothing"/>
      <w:lvlText w:val="表%1　"/>
      <w:lvlJc w:val="left"/>
      <w:pPr>
        <w:ind w:left="0" w:firstLine="0"/>
      </w:pPr>
      <w:rPr>
        <w:rFonts w:hint="eastAsia" w:ascii="黑体" w:hAnsi="Times New Roman" w:eastAsia="黑体"/>
        <w:b w:val="0"/>
        <w:i w:val="0"/>
        <w:sz w:val="21"/>
      </w:rPr>
    </w:lvl>
    <w:lvl w:ilvl="1" w:tentative="0">
      <w:start w:val="1"/>
      <w:numFmt w:val="decimal"/>
      <w:lvlText w:val="%1.%2"/>
      <w:lvlJc w:val="left"/>
      <w:pPr>
        <w:tabs>
          <w:tab w:val="left" w:pos="992"/>
        </w:tabs>
        <w:ind w:left="992" w:hanging="567"/>
      </w:pPr>
      <w:rPr>
        <w:rFonts w:hint="eastAsia"/>
      </w:rPr>
    </w:lvl>
    <w:lvl w:ilvl="2" w:tentative="0">
      <w:start w:val="1"/>
      <w:numFmt w:val="decimal"/>
      <w:lvlText w:val="%1.%2.%3"/>
      <w:lvlJc w:val="left"/>
      <w:pPr>
        <w:tabs>
          <w:tab w:val="left" w:pos="1418"/>
        </w:tabs>
        <w:ind w:left="1418" w:hanging="567"/>
      </w:pPr>
      <w:rPr>
        <w:rFonts w:hint="eastAsia"/>
      </w:rPr>
    </w:lvl>
    <w:lvl w:ilvl="3" w:tentative="0">
      <w:start w:val="1"/>
      <w:numFmt w:val="decimal"/>
      <w:lvlText w:val="%1.%2.%3.%4"/>
      <w:lvlJc w:val="left"/>
      <w:pPr>
        <w:tabs>
          <w:tab w:val="left" w:pos="1984"/>
        </w:tabs>
        <w:ind w:left="1984" w:hanging="708"/>
      </w:pPr>
      <w:rPr>
        <w:rFonts w:hint="eastAsia"/>
      </w:rPr>
    </w:lvl>
    <w:lvl w:ilvl="4" w:tentative="0">
      <w:start w:val="1"/>
      <w:numFmt w:val="decimal"/>
      <w:lvlText w:val="%1.%2.%3.%4.%5"/>
      <w:lvlJc w:val="left"/>
      <w:pPr>
        <w:tabs>
          <w:tab w:val="left" w:pos="2551"/>
        </w:tabs>
        <w:ind w:left="2551" w:hanging="850"/>
      </w:pPr>
      <w:rPr>
        <w:rFonts w:hint="eastAsia"/>
      </w:rPr>
    </w:lvl>
    <w:lvl w:ilvl="5" w:tentative="0">
      <w:start w:val="1"/>
      <w:numFmt w:val="decimal"/>
      <w:lvlText w:val="%1.%2.%3.%4.%5.%6"/>
      <w:lvlJc w:val="left"/>
      <w:pPr>
        <w:tabs>
          <w:tab w:val="left" w:pos="3260"/>
        </w:tabs>
        <w:ind w:left="3260" w:hanging="1134"/>
      </w:pPr>
      <w:rPr>
        <w:rFonts w:hint="eastAsia"/>
      </w:rPr>
    </w:lvl>
    <w:lvl w:ilvl="6" w:tentative="0">
      <w:start w:val="1"/>
      <w:numFmt w:val="decimal"/>
      <w:lvlText w:val="%1.%2.%3.%4.%5.%6.%7"/>
      <w:lvlJc w:val="left"/>
      <w:pPr>
        <w:tabs>
          <w:tab w:val="left" w:pos="3827"/>
        </w:tabs>
        <w:ind w:left="3827" w:hanging="1276"/>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3">
    <w:nsid w:val="79464EF2"/>
    <w:multiLevelType w:val="multilevel"/>
    <w:tmpl w:val="79464EF2"/>
    <w:lvl w:ilvl="0" w:tentative="0">
      <w:start w:val="1"/>
      <w:numFmt w:val="lowerLetter"/>
      <w:lvlText w:val="(%1)"/>
      <w:lvlJc w:val="left"/>
      <w:pPr>
        <w:ind w:left="360" w:hanging="360"/>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num w:numId="1">
    <w:abstractNumId w:val="0"/>
  </w:num>
  <w:num w:numId="2">
    <w:abstractNumId w:val="2"/>
  </w:num>
  <w:num w:numId="3">
    <w:abstractNumId w:val="1"/>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embedSystemFonts/>
  <w:bordersDoNotSurroundHeader w:val="1"/>
  <w:bordersDoNotSurroundFooter w:val="1"/>
  <w:documentProtection w:enforcement="0"/>
  <w:defaultTabStop w:val="420"/>
  <w:drawingGridHorizontalSpacing w:val="105"/>
  <w:drawingGridVerticalSpacing w:val="156"/>
  <w:displayHorizontalDrawingGridEvery w:val="2"/>
  <w:displayVerticalDrawingGridEvery w:val="2"/>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3E9F79AE"/>
    <w:rsid w:val="0002649F"/>
    <w:rsid w:val="00027A58"/>
    <w:rsid w:val="00030AEE"/>
    <w:rsid w:val="000315D0"/>
    <w:rsid w:val="00032C5A"/>
    <w:rsid w:val="000335E6"/>
    <w:rsid w:val="000358FD"/>
    <w:rsid w:val="00044EB5"/>
    <w:rsid w:val="000512E1"/>
    <w:rsid w:val="0005236B"/>
    <w:rsid w:val="00052710"/>
    <w:rsid w:val="0006540D"/>
    <w:rsid w:val="000747E5"/>
    <w:rsid w:val="000805B4"/>
    <w:rsid w:val="000923EA"/>
    <w:rsid w:val="000956DD"/>
    <w:rsid w:val="00096DFA"/>
    <w:rsid w:val="000A51CA"/>
    <w:rsid w:val="000B20E8"/>
    <w:rsid w:val="000B59AC"/>
    <w:rsid w:val="000B6B6D"/>
    <w:rsid w:val="00102115"/>
    <w:rsid w:val="0010641D"/>
    <w:rsid w:val="00111FA0"/>
    <w:rsid w:val="00121135"/>
    <w:rsid w:val="00132749"/>
    <w:rsid w:val="00150B39"/>
    <w:rsid w:val="00157ECA"/>
    <w:rsid w:val="00167849"/>
    <w:rsid w:val="00170606"/>
    <w:rsid w:val="00173C24"/>
    <w:rsid w:val="00191850"/>
    <w:rsid w:val="001968C0"/>
    <w:rsid w:val="001B46BB"/>
    <w:rsid w:val="001D1C10"/>
    <w:rsid w:val="001D2490"/>
    <w:rsid w:val="001F511B"/>
    <w:rsid w:val="001F5E07"/>
    <w:rsid w:val="00217CDC"/>
    <w:rsid w:val="00246DC0"/>
    <w:rsid w:val="002479B8"/>
    <w:rsid w:val="00282B34"/>
    <w:rsid w:val="002910BA"/>
    <w:rsid w:val="002B225A"/>
    <w:rsid w:val="002B323C"/>
    <w:rsid w:val="002C5626"/>
    <w:rsid w:val="002D1932"/>
    <w:rsid w:val="002E68E0"/>
    <w:rsid w:val="002F3821"/>
    <w:rsid w:val="00320897"/>
    <w:rsid w:val="00323A2C"/>
    <w:rsid w:val="00333EE9"/>
    <w:rsid w:val="003352BC"/>
    <w:rsid w:val="00336657"/>
    <w:rsid w:val="00342B5E"/>
    <w:rsid w:val="003720BB"/>
    <w:rsid w:val="003877E9"/>
    <w:rsid w:val="0039614E"/>
    <w:rsid w:val="003A2E94"/>
    <w:rsid w:val="003B6AD9"/>
    <w:rsid w:val="003C6A3B"/>
    <w:rsid w:val="003E0698"/>
    <w:rsid w:val="003E222B"/>
    <w:rsid w:val="003E46AC"/>
    <w:rsid w:val="003F2DD6"/>
    <w:rsid w:val="003F46AE"/>
    <w:rsid w:val="00407CA1"/>
    <w:rsid w:val="00410AD2"/>
    <w:rsid w:val="00442723"/>
    <w:rsid w:val="00451179"/>
    <w:rsid w:val="004534BA"/>
    <w:rsid w:val="0048037C"/>
    <w:rsid w:val="004831D3"/>
    <w:rsid w:val="00496F57"/>
    <w:rsid w:val="00497523"/>
    <w:rsid w:val="004C4F29"/>
    <w:rsid w:val="004C7B51"/>
    <w:rsid w:val="004D5BD6"/>
    <w:rsid w:val="004E7026"/>
    <w:rsid w:val="005028C8"/>
    <w:rsid w:val="005137B2"/>
    <w:rsid w:val="0052133C"/>
    <w:rsid w:val="00525EE8"/>
    <w:rsid w:val="00554685"/>
    <w:rsid w:val="005667CC"/>
    <w:rsid w:val="00566C83"/>
    <w:rsid w:val="0057142F"/>
    <w:rsid w:val="00595527"/>
    <w:rsid w:val="005A32EA"/>
    <w:rsid w:val="005A5CD4"/>
    <w:rsid w:val="005A7C61"/>
    <w:rsid w:val="005C731C"/>
    <w:rsid w:val="005D2672"/>
    <w:rsid w:val="005D77B3"/>
    <w:rsid w:val="005E5CEA"/>
    <w:rsid w:val="005F0B27"/>
    <w:rsid w:val="00605DE8"/>
    <w:rsid w:val="006200FF"/>
    <w:rsid w:val="00626264"/>
    <w:rsid w:val="0063617A"/>
    <w:rsid w:val="0064274D"/>
    <w:rsid w:val="0064364A"/>
    <w:rsid w:val="006476F5"/>
    <w:rsid w:val="00662E0F"/>
    <w:rsid w:val="0067790C"/>
    <w:rsid w:val="00682E31"/>
    <w:rsid w:val="00684686"/>
    <w:rsid w:val="00693E03"/>
    <w:rsid w:val="00694751"/>
    <w:rsid w:val="006A0239"/>
    <w:rsid w:val="006A4D96"/>
    <w:rsid w:val="006B3A61"/>
    <w:rsid w:val="006C6350"/>
    <w:rsid w:val="006D1984"/>
    <w:rsid w:val="006E2873"/>
    <w:rsid w:val="006F2674"/>
    <w:rsid w:val="006F3446"/>
    <w:rsid w:val="00714C56"/>
    <w:rsid w:val="00715841"/>
    <w:rsid w:val="00720EF5"/>
    <w:rsid w:val="00723CDA"/>
    <w:rsid w:val="007310BD"/>
    <w:rsid w:val="00756222"/>
    <w:rsid w:val="0076363F"/>
    <w:rsid w:val="00774DD6"/>
    <w:rsid w:val="00785C06"/>
    <w:rsid w:val="00794BA7"/>
    <w:rsid w:val="007B4102"/>
    <w:rsid w:val="007C496A"/>
    <w:rsid w:val="007C538D"/>
    <w:rsid w:val="007C613A"/>
    <w:rsid w:val="007D06EF"/>
    <w:rsid w:val="007D7F26"/>
    <w:rsid w:val="007F606C"/>
    <w:rsid w:val="00800FF9"/>
    <w:rsid w:val="008030A9"/>
    <w:rsid w:val="0081462F"/>
    <w:rsid w:val="00814B7C"/>
    <w:rsid w:val="00814F7E"/>
    <w:rsid w:val="00815A93"/>
    <w:rsid w:val="00820E05"/>
    <w:rsid w:val="00825657"/>
    <w:rsid w:val="00826FD3"/>
    <w:rsid w:val="0083394C"/>
    <w:rsid w:val="00840073"/>
    <w:rsid w:val="008601B9"/>
    <w:rsid w:val="008845AC"/>
    <w:rsid w:val="00885625"/>
    <w:rsid w:val="0088772D"/>
    <w:rsid w:val="008916D7"/>
    <w:rsid w:val="0089542E"/>
    <w:rsid w:val="008A1912"/>
    <w:rsid w:val="008B4344"/>
    <w:rsid w:val="008C43A0"/>
    <w:rsid w:val="008D2032"/>
    <w:rsid w:val="008D6BEF"/>
    <w:rsid w:val="008E1BF6"/>
    <w:rsid w:val="008F48CE"/>
    <w:rsid w:val="00906DF1"/>
    <w:rsid w:val="00907FB2"/>
    <w:rsid w:val="00911CF7"/>
    <w:rsid w:val="00913759"/>
    <w:rsid w:val="009174D8"/>
    <w:rsid w:val="00921911"/>
    <w:rsid w:val="00924F9E"/>
    <w:rsid w:val="00927E72"/>
    <w:rsid w:val="00941C84"/>
    <w:rsid w:val="00942FD5"/>
    <w:rsid w:val="00966763"/>
    <w:rsid w:val="00972C7A"/>
    <w:rsid w:val="00974818"/>
    <w:rsid w:val="009863D2"/>
    <w:rsid w:val="00993D35"/>
    <w:rsid w:val="009B3EF5"/>
    <w:rsid w:val="009E2AC6"/>
    <w:rsid w:val="009E5124"/>
    <w:rsid w:val="00A13A97"/>
    <w:rsid w:val="00A25D57"/>
    <w:rsid w:val="00A37C95"/>
    <w:rsid w:val="00A47FF3"/>
    <w:rsid w:val="00A77049"/>
    <w:rsid w:val="00A82823"/>
    <w:rsid w:val="00A8338A"/>
    <w:rsid w:val="00A9377E"/>
    <w:rsid w:val="00A93FF2"/>
    <w:rsid w:val="00A9554C"/>
    <w:rsid w:val="00AA75A4"/>
    <w:rsid w:val="00AD0962"/>
    <w:rsid w:val="00AE07A8"/>
    <w:rsid w:val="00AF3E3D"/>
    <w:rsid w:val="00B30FA7"/>
    <w:rsid w:val="00B3153B"/>
    <w:rsid w:val="00B47234"/>
    <w:rsid w:val="00B54414"/>
    <w:rsid w:val="00B64B77"/>
    <w:rsid w:val="00B67CAD"/>
    <w:rsid w:val="00B70FE7"/>
    <w:rsid w:val="00B82FD8"/>
    <w:rsid w:val="00B90EE5"/>
    <w:rsid w:val="00B93194"/>
    <w:rsid w:val="00BB093D"/>
    <w:rsid w:val="00BC05D8"/>
    <w:rsid w:val="00BC106B"/>
    <w:rsid w:val="00BC2474"/>
    <w:rsid w:val="00BC3D9A"/>
    <w:rsid w:val="00BC6CE2"/>
    <w:rsid w:val="00BE7397"/>
    <w:rsid w:val="00C01BEB"/>
    <w:rsid w:val="00C04731"/>
    <w:rsid w:val="00C10F71"/>
    <w:rsid w:val="00C14675"/>
    <w:rsid w:val="00C1628C"/>
    <w:rsid w:val="00C37C02"/>
    <w:rsid w:val="00C409D5"/>
    <w:rsid w:val="00C5039C"/>
    <w:rsid w:val="00C67018"/>
    <w:rsid w:val="00C77C9C"/>
    <w:rsid w:val="00CF3104"/>
    <w:rsid w:val="00D06C1C"/>
    <w:rsid w:val="00D10512"/>
    <w:rsid w:val="00D13337"/>
    <w:rsid w:val="00D25D46"/>
    <w:rsid w:val="00D266E5"/>
    <w:rsid w:val="00D42B36"/>
    <w:rsid w:val="00D55633"/>
    <w:rsid w:val="00D91ACD"/>
    <w:rsid w:val="00D93515"/>
    <w:rsid w:val="00DA25AB"/>
    <w:rsid w:val="00DC5E58"/>
    <w:rsid w:val="00DD20DF"/>
    <w:rsid w:val="00DD250F"/>
    <w:rsid w:val="00DE6610"/>
    <w:rsid w:val="00DF0C0B"/>
    <w:rsid w:val="00DF5C44"/>
    <w:rsid w:val="00E03DF8"/>
    <w:rsid w:val="00E03E38"/>
    <w:rsid w:val="00E22555"/>
    <w:rsid w:val="00E240B4"/>
    <w:rsid w:val="00E400B7"/>
    <w:rsid w:val="00E561B5"/>
    <w:rsid w:val="00E64DEC"/>
    <w:rsid w:val="00E6610B"/>
    <w:rsid w:val="00E7795A"/>
    <w:rsid w:val="00E81491"/>
    <w:rsid w:val="00E825E5"/>
    <w:rsid w:val="00E87BD7"/>
    <w:rsid w:val="00E9656A"/>
    <w:rsid w:val="00EA0EB1"/>
    <w:rsid w:val="00EB4F19"/>
    <w:rsid w:val="00ED7AA9"/>
    <w:rsid w:val="00EE2709"/>
    <w:rsid w:val="00EF61E0"/>
    <w:rsid w:val="00F00575"/>
    <w:rsid w:val="00F0317E"/>
    <w:rsid w:val="00F13E8F"/>
    <w:rsid w:val="00F14281"/>
    <w:rsid w:val="00F3601C"/>
    <w:rsid w:val="00F40066"/>
    <w:rsid w:val="00F42893"/>
    <w:rsid w:val="00F43539"/>
    <w:rsid w:val="00F44393"/>
    <w:rsid w:val="00F64BDF"/>
    <w:rsid w:val="00F67D74"/>
    <w:rsid w:val="00FB1050"/>
    <w:rsid w:val="00FB2579"/>
    <w:rsid w:val="00FD1015"/>
    <w:rsid w:val="021663E2"/>
    <w:rsid w:val="03010C44"/>
    <w:rsid w:val="03907FFC"/>
    <w:rsid w:val="098D0766"/>
    <w:rsid w:val="0EEB3DD0"/>
    <w:rsid w:val="149E4410"/>
    <w:rsid w:val="1845080D"/>
    <w:rsid w:val="21644E50"/>
    <w:rsid w:val="2C740C8F"/>
    <w:rsid w:val="35122E48"/>
    <w:rsid w:val="352544AC"/>
    <w:rsid w:val="3B911029"/>
    <w:rsid w:val="3E9F79AE"/>
    <w:rsid w:val="4C772588"/>
    <w:rsid w:val="51F77641"/>
    <w:rsid w:val="53206AC2"/>
    <w:rsid w:val="610046C4"/>
    <w:rsid w:val="632E6FDA"/>
    <w:rsid w:val="66EF70C8"/>
    <w:rsid w:val="688E0EF4"/>
    <w:rsid w:val="7F4F101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9" w:semiHidden="0" w:name="heading 2"/>
    <w:lsdException w:qFormat="1" w:unhideWhenUsed="0" w:uiPriority="9"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semiHidden="0" w:name="Default Paragraph Font"/>
    <w:lsdException w:qFormat="1" w:unhideWhenUsed="0" w:uiPriority="99"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3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color w:val="000000"/>
      <w:kern w:val="2"/>
      <w:sz w:val="21"/>
      <w:szCs w:val="24"/>
      <w:lang w:val="en-US" w:eastAsia="zh-CN" w:bidi="ar-SA"/>
    </w:rPr>
  </w:style>
  <w:style w:type="paragraph" w:styleId="2">
    <w:name w:val="heading 1"/>
    <w:basedOn w:val="1"/>
    <w:next w:val="1"/>
    <w:qFormat/>
    <w:uiPriority w:val="9"/>
    <w:pPr>
      <w:keepNext/>
      <w:keepLines/>
      <w:spacing w:before="340" w:after="330" w:line="578" w:lineRule="auto"/>
      <w:outlineLvl w:val="0"/>
    </w:pPr>
    <w:rPr>
      <w:b/>
      <w:bCs/>
      <w:kern w:val="44"/>
      <w:sz w:val="44"/>
      <w:szCs w:val="44"/>
    </w:rPr>
  </w:style>
  <w:style w:type="paragraph" w:styleId="3">
    <w:name w:val="heading 2"/>
    <w:basedOn w:val="1"/>
    <w:next w:val="1"/>
    <w:link w:val="21"/>
    <w:autoRedefine/>
    <w:qFormat/>
    <w:uiPriority w:val="9"/>
    <w:pPr>
      <w:keepNext/>
      <w:keepLines/>
      <w:numPr>
        <w:ilvl w:val="1"/>
        <w:numId w:val="1"/>
      </w:numPr>
      <w:spacing w:before="120" w:after="120"/>
      <w:jc w:val="left"/>
      <w:outlineLvl w:val="1"/>
    </w:pPr>
    <w:rPr>
      <w:rFonts w:eastAsia="Times New Roman"/>
      <w:b/>
      <w:color w:val="auto"/>
      <w:kern w:val="0"/>
      <w:sz w:val="28"/>
    </w:rPr>
  </w:style>
  <w:style w:type="paragraph" w:styleId="4">
    <w:name w:val="heading 3"/>
    <w:basedOn w:val="1"/>
    <w:next w:val="1"/>
    <w:qFormat/>
    <w:uiPriority w:val="9"/>
    <w:pPr>
      <w:spacing w:line="360" w:lineRule="auto"/>
      <w:outlineLvl w:val="2"/>
    </w:pPr>
    <w:rPr>
      <w:b/>
      <w:bCs/>
      <w:szCs w:val="27"/>
    </w:rPr>
  </w:style>
  <w:style w:type="character" w:default="1" w:styleId="12">
    <w:name w:val="Default Paragraph Font"/>
    <w:unhideWhenUsed/>
    <w:qFormat/>
    <w:uiPriority w:val="1"/>
  </w:style>
  <w:style w:type="table" w:default="1" w:styleId="10">
    <w:name w:val="Normal Table"/>
    <w:semiHidden/>
    <w:unhideWhenUsed/>
    <w:qFormat/>
    <w:uiPriority w:val="99"/>
    <w:tblPr>
      <w:tblCellMar>
        <w:top w:w="0" w:type="dxa"/>
        <w:left w:w="108" w:type="dxa"/>
        <w:bottom w:w="0" w:type="dxa"/>
        <w:right w:w="108" w:type="dxa"/>
      </w:tblCellMar>
    </w:tblPr>
  </w:style>
  <w:style w:type="paragraph" w:styleId="5">
    <w:name w:val="Body Text"/>
    <w:basedOn w:val="1"/>
    <w:qFormat/>
    <w:uiPriority w:val="99"/>
    <w:pPr>
      <w:spacing w:after="120"/>
    </w:pPr>
  </w:style>
  <w:style w:type="paragraph" w:styleId="6">
    <w:name w:val="Plain Text"/>
    <w:basedOn w:val="1"/>
    <w:link w:val="37"/>
    <w:qFormat/>
    <w:uiPriority w:val="0"/>
    <w:rPr>
      <w:rFonts w:ascii="宋体" w:hAnsi="Courier New"/>
      <w:color w:val="auto"/>
      <w:szCs w:val="21"/>
    </w:rPr>
  </w:style>
  <w:style w:type="paragraph" w:styleId="7">
    <w:name w:val="footer"/>
    <w:basedOn w:val="1"/>
    <w:link w:val="38"/>
    <w:qFormat/>
    <w:uiPriority w:val="99"/>
    <w:pPr>
      <w:tabs>
        <w:tab w:val="center" w:pos="4153"/>
        <w:tab w:val="right" w:pos="8306"/>
      </w:tabs>
      <w:snapToGrid w:val="0"/>
      <w:jc w:val="left"/>
    </w:pPr>
    <w:rPr>
      <w:sz w:val="18"/>
      <w:szCs w:val="18"/>
    </w:rPr>
  </w:style>
  <w:style w:type="paragraph" w:styleId="8">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styleId="9">
    <w:name w:val="Normal (Web)"/>
    <w:basedOn w:val="1"/>
    <w:unhideWhenUsed/>
    <w:qFormat/>
    <w:uiPriority w:val="0"/>
    <w:pPr>
      <w:widowControl/>
      <w:spacing w:before="100" w:beforeAutospacing="1" w:after="100" w:afterAutospacing="1"/>
      <w:jc w:val="left"/>
    </w:pPr>
    <w:rPr>
      <w:rFonts w:ascii="宋体" w:hAnsi="宋体" w:cs="宋体"/>
      <w:color w:val="auto"/>
      <w:kern w:val="0"/>
      <w:sz w:val="24"/>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3">
    <w:name w:val="page number"/>
    <w:qFormat/>
    <w:uiPriority w:val="0"/>
  </w:style>
  <w:style w:type="paragraph" w:customStyle="1" w:styleId="14">
    <w:name w:val="章标题"/>
    <w:next w:val="1"/>
    <w:qFormat/>
    <w:uiPriority w:val="0"/>
    <w:pPr>
      <w:spacing w:beforeLines="50" w:afterLines="50"/>
      <w:jc w:val="both"/>
      <w:outlineLvl w:val="1"/>
    </w:pPr>
    <w:rPr>
      <w:rFonts w:ascii="黑体" w:hAnsi="Times New Roman" w:eastAsia="黑体" w:cs="Times New Roman"/>
      <w:sz w:val="21"/>
      <w:lang w:val="en-US" w:eastAsia="zh-CN" w:bidi="ar-SA"/>
    </w:rPr>
  </w:style>
  <w:style w:type="paragraph" w:customStyle="1" w:styleId="15">
    <w:name w:val="一级条标题"/>
    <w:next w:val="1"/>
    <w:qFormat/>
    <w:uiPriority w:val="0"/>
    <w:pPr>
      <w:outlineLvl w:val="2"/>
    </w:pPr>
    <w:rPr>
      <w:rFonts w:ascii="Times New Roman" w:hAnsi="Times New Roman" w:eastAsia="黑体" w:cs="Times New Roman"/>
      <w:sz w:val="21"/>
      <w:lang w:val="en-US" w:eastAsia="zh-CN" w:bidi="ar-SA"/>
    </w:rPr>
  </w:style>
  <w:style w:type="paragraph" w:customStyle="1" w:styleId="16">
    <w:name w:val="正文表标题"/>
    <w:next w:val="17"/>
    <w:qFormat/>
    <w:uiPriority w:val="0"/>
    <w:pPr>
      <w:numPr>
        <w:ilvl w:val="0"/>
        <w:numId w:val="2"/>
      </w:numPr>
      <w:tabs>
        <w:tab w:val="left" w:pos="360"/>
      </w:tabs>
      <w:jc w:val="center"/>
    </w:pPr>
    <w:rPr>
      <w:rFonts w:ascii="黑体" w:hAnsi="Times New Roman" w:eastAsia="黑体" w:cs="Times New Roman"/>
      <w:sz w:val="21"/>
      <w:lang w:val="en-US" w:eastAsia="zh-CN" w:bidi="ar-SA"/>
    </w:rPr>
  </w:style>
  <w:style w:type="paragraph" w:customStyle="1" w:styleId="17">
    <w:name w:val="段"/>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18">
    <w:name w:val="Table Paragraph"/>
    <w:basedOn w:val="1"/>
    <w:qFormat/>
    <w:uiPriority w:val="1"/>
    <w:pPr>
      <w:jc w:val="left"/>
    </w:pPr>
    <w:rPr>
      <w:rFonts w:ascii="宋体" w:hAnsi="宋体" w:cs="宋体"/>
      <w:kern w:val="0"/>
      <w:sz w:val="22"/>
      <w:lang w:eastAsia="en-US"/>
    </w:rPr>
  </w:style>
  <w:style w:type="paragraph" w:customStyle="1" w:styleId="19">
    <w:name w:val="ZW"/>
    <w:qFormat/>
    <w:uiPriority w:val="0"/>
    <w:pPr>
      <w:spacing w:line="480" w:lineRule="atLeast"/>
      <w:jc w:val="both"/>
    </w:pPr>
    <w:rPr>
      <w:rFonts w:ascii="Times New Roman" w:hAnsi="Times New Roman" w:eastAsia="宋体" w:cs="Times New Roman"/>
      <w:sz w:val="21"/>
      <w:szCs w:val="18"/>
      <w:lang w:val="en-US" w:eastAsia="zh-CN" w:bidi="ar-SA"/>
    </w:rPr>
  </w:style>
  <w:style w:type="paragraph" w:styleId="20">
    <w:name w:val="List Paragraph"/>
    <w:basedOn w:val="1"/>
    <w:qFormat/>
    <w:uiPriority w:val="34"/>
    <w:pPr>
      <w:ind w:firstLine="420" w:firstLineChars="200"/>
    </w:pPr>
    <w:rPr>
      <w:color w:val="auto"/>
    </w:rPr>
  </w:style>
  <w:style w:type="character" w:customStyle="1" w:styleId="21">
    <w:name w:val="标题 2 字符"/>
    <w:basedOn w:val="12"/>
    <w:link w:val="3"/>
    <w:qFormat/>
    <w:uiPriority w:val="9"/>
    <w:rPr>
      <w:rFonts w:ascii="Times New Roman" w:hAnsi="Times New Roman" w:eastAsia="Times New Roman" w:cs="Times New Roman"/>
      <w:b/>
      <w:sz w:val="28"/>
      <w:szCs w:val="24"/>
    </w:rPr>
  </w:style>
  <w:style w:type="paragraph" w:customStyle="1" w:styleId="22">
    <w:name w:val="图号"/>
    <w:basedOn w:val="1"/>
    <w:next w:val="1"/>
    <w:link w:val="23"/>
    <w:qFormat/>
    <w:uiPriority w:val="0"/>
    <w:pPr>
      <w:numPr>
        <w:ilvl w:val="0"/>
        <w:numId w:val="3"/>
      </w:numPr>
    </w:pPr>
    <w:rPr>
      <w:rFonts w:eastAsia="Times New Roman"/>
      <w:color w:val="auto"/>
      <w:sz w:val="24"/>
    </w:rPr>
  </w:style>
  <w:style w:type="character" w:customStyle="1" w:styleId="23">
    <w:name w:val="图号 字符"/>
    <w:basedOn w:val="12"/>
    <w:link w:val="22"/>
    <w:qFormat/>
    <w:uiPriority w:val="0"/>
    <w:rPr>
      <w:rFonts w:ascii="Times New Roman" w:hAnsi="Times New Roman" w:eastAsia="Times New Roman" w:cs="Times New Roman"/>
      <w:kern w:val="2"/>
      <w:sz w:val="24"/>
      <w:szCs w:val="24"/>
    </w:rPr>
  </w:style>
  <w:style w:type="character" w:customStyle="1" w:styleId="24">
    <w:name w:val="表格 Char"/>
    <w:link w:val="25"/>
    <w:qFormat/>
    <w:uiPriority w:val="0"/>
    <w:rPr>
      <w:kern w:val="2"/>
    </w:rPr>
  </w:style>
  <w:style w:type="paragraph" w:customStyle="1" w:styleId="25">
    <w:name w:val="表格"/>
    <w:basedOn w:val="1"/>
    <w:link w:val="24"/>
    <w:qFormat/>
    <w:uiPriority w:val="0"/>
    <w:pPr>
      <w:jc w:val="center"/>
    </w:pPr>
    <w:rPr>
      <w:rFonts w:asciiTheme="minorHAnsi" w:hAnsiTheme="minorHAnsi" w:eastAsiaTheme="minorEastAsia" w:cstheme="minorBidi"/>
      <w:color w:val="auto"/>
      <w:sz w:val="20"/>
      <w:szCs w:val="20"/>
    </w:rPr>
  </w:style>
  <w:style w:type="paragraph" w:customStyle="1" w:styleId="26">
    <w:name w:val="表名-学位论文"/>
    <w:basedOn w:val="1"/>
    <w:next w:val="1"/>
    <w:qFormat/>
    <w:uiPriority w:val="0"/>
    <w:pPr>
      <w:adjustRightInd w:val="0"/>
      <w:snapToGrid w:val="0"/>
      <w:spacing w:before="120" w:after="120"/>
      <w:jc w:val="center"/>
    </w:pPr>
    <w:rPr>
      <w:rFonts w:cs="宋体"/>
      <w:color w:val="auto"/>
      <w:szCs w:val="21"/>
    </w:rPr>
  </w:style>
  <w:style w:type="paragraph" w:customStyle="1" w:styleId="27">
    <w:name w:val="图名-学位论文"/>
    <w:basedOn w:val="5"/>
    <w:next w:val="5"/>
    <w:qFormat/>
    <w:uiPriority w:val="0"/>
    <w:pPr>
      <w:widowControl/>
      <w:spacing w:before="120" w:after="240"/>
      <w:jc w:val="center"/>
    </w:pPr>
    <w:rPr>
      <w:rFonts w:cs="宋体"/>
      <w:color w:val="auto"/>
      <w:kern w:val="0"/>
    </w:rPr>
  </w:style>
  <w:style w:type="paragraph" w:customStyle="1" w:styleId="28">
    <w:name w:val="插图"/>
    <w:basedOn w:val="1"/>
    <w:link w:val="29"/>
    <w:qFormat/>
    <w:uiPriority w:val="0"/>
    <w:pPr>
      <w:widowControl/>
      <w:jc w:val="center"/>
    </w:pPr>
    <w:rPr>
      <w:rFonts w:cs="宋体"/>
      <w:color w:val="auto"/>
      <w:kern w:val="0"/>
    </w:rPr>
  </w:style>
  <w:style w:type="character" w:customStyle="1" w:styleId="29">
    <w:name w:val="插图 字符"/>
    <w:link w:val="28"/>
    <w:qFormat/>
    <w:uiPriority w:val="0"/>
    <w:rPr>
      <w:rFonts w:ascii="Times New Roman" w:hAnsi="Times New Roman" w:eastAsia="宋体" w:cs="宋体"/>
      <w:sz w:val="21"/>
      <w:szCs w:val="24"/>
    </w:rPr>
  </w:style>
  <w:style w:type="character" w:customStyle="1" w:styleId="30">
    <w:name w:val="正文表格图名 Char1"/>
    <w:link w:val="31"/>
    <w:qFormat/>
    <w:uiPriority w:val="0"/>
    <w:rPr>
      <w:kern w:val="2"/>
      <w:sz w:val="21"/>
      <w:szCs w:val="21"/>
    </w:rPr>
  </w:style>
  <w:style w:type="paragraph" w:customStyle="1" w:styleId="31">
    <w:name w:val="正文表格图名"/>
    <w:link w:val="30"/>
    <w:qFormat/>
    <w:uiPriority w:val="0"/>
    <w:pPr>
      <w:jc w:val="center"/>
    </w:pPr>
    <w:rPr>
      <w:rFonts w:asciiTheme="minorHAnsi" w:hAnsiTheme="minorHAnsi" w:eastAsiaTheme="minorEastAsia" w:cstheme="minorBidi"/>
      <w:kern w:val="2"/>
      <w:sz w:val="21"/>
      <w:szCs w:val="21"/>
      <w:lang w:val="en-US" w:eastAsia="zh-CN" w:bidi="ar-SA"/>
    </w:rPr>
  </w:style>
  <w:style w:type="paragraph" w:customStyle="1" w:styleId="32">
    <w:name w:val="A 表名"/>
    <w:basedOn w:val="1"/>
    <w:qFormat/>
    <w:uiPriority w:val="0"/>
    <w:pPr>
      <w:spacing w:line="360" w:lineRule="auto"/>
      <w:jc w:val="center"/>
    </w:pPr>
    <w:rPr>
      <w:color w:val="auto"/>
      <w:szCs w:val="21"/>
    </w:rPr>
  </w:style>
  <w:style w:type="paragraph" w:customStyle="1" w:styleId="33">
    <w:name w:val="图"/>
    <w:basedOn w:val="1"/>
    <w:next w:val="1"/>
    <w:link w:val="34"/>
    <w:qFormat/>
    <w:uiPriority w:val="0"/>
    <w:pPr>
      <w:jc w:val="center"/>
    </w:pPr>
    <w:rPr>
      <w:color w:val="auto"/>
      <w:sz w:val="24"/>
    </w:rPr>
  </w:style>
  <w:style w:type="character" w:customStyle="1" w:styleId="34">
    <w:name w:val="图 字符"/>
    <w:basedOn w:val="12"/>
    <w:link w:val="33"/>
    <w:qFormat/>
    <w:uiPriority w:val="0"/>
    <w:rPr>
      <w:rFonts w:ascii="Times New Roman" w:hAnsi="Times New Roman" w:eastAsia="宋体" w:cs="Times New Roman"/>
      <w:kern w:val="2"/>
      <w:sz w:val="24"/>
      <w:szCs w:val="24"/>
    </w:rPr>
  </w:style>
  <w:style w:type="paragraph" w:customStyle="1" w:styleId="35">
    <w:name w:val="图片"/>
    <w:basedOn w:val="1"/>
    <w:link w:val="36"/>
    <w:qFormat/>
    <w:uiPriority w:val="0"/>
    <w:pPr>
      <w:jc w:val="center"/>
    </w:pPr>
    <w:rPr>
      <w:color w:val="auto"/>
      <w:sz w:val="24"/>
      <w:szCs w:val="22"/>
    </w:rPr>
  </w:style>
  <w:style w:type="character" w:customStyle="1" w:styleId="36">
    <w:name w:val="图片 字符"/>
    <w:link w:val="35"/>
    <w:qFormat/>
    <w:uiPriority w:val="0"/>
    <w:rPr>
      <w:rFonts w:ascii="Times New Roman" w:hAnsi="Times New Roman" w:eastAsia="宋体" w:cs="Times New Roman"/>
      <w:kern w:val="2"/>
      <w:sz w:val="24"/>
      <w:szCs w:val="22"/>
    </w:rPr>
  </w:style>
  <w:style w:type="character" w:customStyle="1" w:styleId="37">
    <w:name w:val="纯文本 字符"/>
    <w:basedOn w:val="12"/>
    <w:link w:val="6"/>
    <w:qFormat/>
    <w:uiPriority w:val="0"/>
    <w:rPr>
      <w:rFonts w:ascii="宋体" w:hAnsi="Courier New"/>
      <w:kern w:val="2"/>
      <w:sz w:val="21"/>
      <w:szCs w:val="21"/>
    </w:rPr>
  </w:style>
  <w:style w:type="character" w:customStyle="1" w:styleId="38">
    <w:name w:val="页脚 字符"/>
    <w:link w:val="7"/>
    <w:qFormat/>
    <w:uiPriority w:val="99"/>
    <w:rPr>
      <w:color w:val="000000"/>
      <w:kern w:val="2"/>
      <w:sz w:val="18"/>
      <w:szCs w:val="18"/>
    </w:rPr>
  </w:style>
  <w:style w:type="paragraph" w:customStyle="1" w:styleId="39">
    <w:name w:val="表格图表样式"/>
    <w:basedOn w:val="1"/>
    <w:link w:val="41"/>
    <w:qFormat/>
    <w:uiPriority w:val="0"/>
    <w:pPr>
      <w:jc w:val="center"/>
    </w:pPr>
    <w:rPr>
      <w:color w:val="auto"/>
    </w:rPr>
  </w:style>
  <w:style w:type="paragraph" w:customStyle="1" w:styleId="40">
    <w:name w:val="图表样式"/>
    <w:basedOn w:val="1"/>
    <w:link w:val="42"/>
    <w:qFormat/>
    <w:uiPriority w:val="0"/>
    <w:pPr>
      <w:jc w:val="center"/>
    </w:pPr>
    <w:rPr>
      <w:color w:val="auto"/>
    </w:rPr>
  </w:style>
  <w:style w:type="character" w:customStyle="1" w:styleId="41">
    <w:name w:val="表格图表样式 Char"/>
    <w:link w:val="39"/>
    <w:qFormat/>
    <w:uiPriority w:val="0"/>
    <w:rPr>
      <w:kern w:val="2"/>
      <w:sz w:val="21"/>
      <w:szCs w:val="24"/>
    </w:rPr>
  </w:style>
  <w:style w:type="character" w:customStyle="1" w:styleId="42">
    <w:name w:val="图表样式 Char"/>
    <w:link w:val="40"/>
    <w:qFormat/>
    <w:uiPriority w:val="0"/>
    <w:rPr>
      <w:kern w:val="2"/>
      <w:sz w:val="21"/>
      <w:szCs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1.jpeg"/><Relationship Id="rId8" Type="http://schemas.openxmlformats.org/officeDocument/2006/relationships/theme" Target="theme/theme1.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6" Type="http://schemas.openxmlformats.org/officeDocument/2006/relationships/fontTable" Target="fontTable.xml"/><Relationship Id="rId25" Type="http://schemas.openxmlformats.org/officeDocument/2006/relationships/numbering" Target="numbering.xml"/><Relationship Id="rId24" Type="http://schemas.openxmlformats.org/officeDocument/2006/relationships/image" Target="media/image16.wmf"/><Relationship Id="rId23" Type="http://schemas.openxmlformats.org/officeDocument/2006/relationships/image" Target="media/image15.wmf"/><Relationship Id="rId22" Type="http://schemas.openxmlformats.org/officeDocument/2006/relationships/image" Target="media/image14.wmf"/><Relationship Id="rId21" Type="http://schemas.openxmlformats.org/officeDocument/2006/relationships/image" Target="media/image13.wmf"/><Relationship Id="rId20" Type="http://schemas.openxmlformats.org/officeDocument/2006/relationships/image" Target="media/image12.jpeg"/><Relationship Id="rId2" Type="http://schemas.openxmlformats.org/officeDocument/2006/relationships/settings" Target="settings.xml"/><Relationship Id="rId19" Type="http://schemas.openxmlformats.org/officeDocument/2006/relationships/image" Target="media/image11.jpeg"/><Relationship Id="rId18" Type="http://schemas.openxmlformats.org/officeDocument/2006/relationships/image" Target="media/image10.jpeg"/><Relationship Id="rId17" Type="http://schemas.openxmlformats.org/officeDocument/2006/relationships/image" Target="media/image9.png"/><Relationship Id="rId16" Type="http://schemas.openxmlformats.org/officeDocument/2006/relationships/image" Target="media/image8.jpeg"/><Relationship Id="rId15" Type="http://schemas.openxmlformats.org/officeDocument/2006/relationships/image" Target="media/image7.jpeg"/><Relationship Id="rId14" Type="http://schemas.openxmlformats.org/officeDocument/2006/relationships/image" Target="media/image6.jpeg"/><Relationship Id="rId13" Type="http://schemas.openxmlformats.org/officeDocument/2006/relationships/image" Target="media/image5.jpeg"/><Relationship Id="rId12" Type="http://schemas.openxmlformats.org/officeDocument/2006/relationships/image" Target="media/image4.jpeg"/><Relationship Id="rId11" Type="http://schemas.openxmlformats.org/officeDocument/2006/relationships/image" Target="media/image3.jpeg"/><Relationship Id="rId10" Type="http://schemas.openxmlformats.org/officeDocument/2006/relationships/image" Target="media/image2.jpe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38</Pages>
  <Words>6899</Words>
  <Characters>7774</Characters>
  <Lines>1689</Lines>
  <Paragraphs>1820</Paragraphs>
  <TotalTime>2591</TotalTime>
  <ScaleCrop>false</ScaleCrop>
  <LinksUpToDate>false</LinksUpToDate>
  <CharactersWithSpaces>7881</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2025-06-28T07:26:00Z</dcterms:created>
  <dc:creator>小小郭</dc:creator>
  <cp:lastModifiedBy>长成</cp:lastModifiedBy>
  <dcterms:modified xsi:type="dcterms:W3CDTF">2026-02-25T06:30:54Z</dcterms:modified>
  <cp:revision>119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2052-12.1.0.24657</vt:lpwstr>
  </property>
  <property fmtid="{D5CDD505-2E9C-101B-9397-08002B2CF9AE}" pid="3" name="ICV">
    <vt:lpwstr>59F45F9EB6D04A9294CC059F2E165D76_11</vt:lpwstr>
  </property>
  <property fmtid="{D5CDD505-2E9C-101B-9397-08002B2CF9AE}" pid="4" name="KSOTemplateDocerSaveRecord">
    <vt:lpwstr>eyJoZGlkIjoiZDE5MjBkYmUyM2UzMDlhNGNiZDIyZGIzN2NiNDY2ZDciLCJ1c2VySWQiOiIzNzk3MjkxMDUifQ==</vt:lpwstr>
  </property>
</Properties>
</file>