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4BA23">
      <w:pPr>
        <w:ind w:right="1280"/>
        <w:rPr>
          <w:color w:val="000000"/>
          <w:szCs w:val="32"/>
        </w:rPr>
      </w:pPr>
      <w:bookmarkStart w:id="0" w:name="_Toc10674"/>
      <w:bookmarkStart w:id="1" w:name="_Toc117066874"/>
      <w:bookmarkStart w:id="2" w:name="char1"/>
      <w:r>
        <mc:AlternateContent>
          <mc:Choice Requires="wps">
            <w:drawing>
              <wp:anchor distT="45720" distB="45720" distL="114300" distR="114300" simplePos="0" relativeHeight="251661312" behindDoc="0" locked="0" layoutInCell="1" allowOverlap="1">
                <wp:simplePos x="0" y="0"/>
                <wp:positionH relativeFrom="column">
                  <wp:posOffset>4255770</wp:posOffset>
                </wp:positionH>
                <wp:positionV relativeFrom="paragraph">
                  <wp:posOffset>-145415</wp:posOffset>
                </wp:positionV>
                <wp:extent cx="1428115" cy="1051560"/>
                <wp:effectExtent l="0" t="0" r="635" b="15240"/>
                <wp:wrapSquare wrapText="bothSides"/>
                <wp:docPr id="3" name="文本框 3"/>
                <wp:cNvGraphicFramePr/>
                <a:graphic xmlns:a="http://schemas.openxmlformats.org/drawingml/2006/main">
                  <a:graphicData uri="http://schemas.microsoft.com/office/word/2010/wordprocessingShape">
                    <wps:wsp>
                      <wps:cNvSpPr txBox="1"/>
                      <wps:spPr>
                        <a:xfrm>
                          <a:off x="0" y="0"/>
                          <a:ext cx="1428115" cy="1051560"/>
                        </a:xfrm>
                        <a:prstGeom prst="rect">
                          <a:avLst/>
                        </a:prstGeom>
                        <a:solidFill>
                          <a:srgbClr val="FFFFFF"/>
                        </a:solidFill>
                        <a:ln>
                          <a:noFill/>
                        </a:ln>
                      </wps:spPr>
                      <wps:txbx>
                        <w:txbxContent>
                          <w:p w14:paraId="456EB394">
                            <w:r>
                              <w:rPr>
                                <w:rFonts w:eastAsia="黑体"/>
                                <w:b/>
                                <w:bCs/>
                                <w:sz w:val="144"/>
                              </w:rPr>
                              <w:t>JC</w:t>
                            </w:r>
                          </w:p>
                        </w:txbxContent>
                      </wps:txbx>
                      <wps:bodyPr upright="1"/>
                    </wps:wsp>
                  </a:graphicData>
                </a:graphic>
              </wp:anchor>
            </w:drawing>
          </mc:Choice>
          <mc:Fallback>
            <w:pict>
              <v:shape id="_x0000_s1026" o:spid="_x0000_s1026" o:spt="202" type="#_x0000_t202" style="position:absolute;left:0pt;margin-left:335.1pt;margin-top:-11.45pt;height:82.8pt;width:112.45pt;mso-wrap-distance-bottom:3.6pt;mso-wrap-distance-left:9pt;mso-wrap-distance-right:9pt;mso-wrap-distance-top:3.6pt;z-index:251661312;mso-width-relative:page;mso-height-relative:page;" fillcolor="#FFFFFF" filled="t" stroked="f" coordsize="21600,21600" o:gfxdata="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OwX+2tkAAAALAQAADwAAAAAAAAABACAAAAAiAAAAZHJzL2Rvd25y&#10;ZXYueG1sUEsBAhQAFAAAAAgAh07iQJime53EAQAAeAMAAA4AAAAAAAAAAQAgAAAAKAEAAGRycy9l&#10;Mm9Eb2MueG1sUEsFBgAAAAAGAAYAWQEAAF4FAAAAAA==&#10;">
                <v:fill on="t" focussize="0,0"/>
                <v:stroke on="f"/>
                <v:imagedata o:title=""/>
                <o:lock v:ext="edit" aspectratio="f"/>
                <v:textbox>
                  <w:txbxContent>
                    <w:p w14:paraId="456EB394">
                      <w:r>
                        <w:rPr>
                          <w:rFonts w:eastAsia="黑体"/>
                          <w:b/>
                          <w:bCs/>
                          <w:sz w:val="144"/>
                        </w:rPr>
                        <w:t>JC</w:t>
                      </w:r>
                    </w:p>
                  </w:txbxContent>
                </v:textbox>
                <w10:wrap type="square"/>
              </v:shape>
            </w:pict>
          </mc:Fallback>
        </mc:AlternateContent>
      </w:r>
      <w:r>
        <w:rPr>
          <w:color w:val="000000"/>
          <w:szCs w:val="32"/>
        </w:rPr>
        <w:t xml:space="preserve">ICS </w:t>
      </w:r>
      <w:r>
        <w:rPr>
          <w:rFonts w:eastAsia="黑体"/>
          <w:color w:val="000000"/>
          <w:szCs w:val="32"/>
        </w:rPr>
        <w:t>91.100.30</w:t>
      </w:r>
      <w:r>
        <w:rPr>
          <w:color w:val="000000"/>
          <w:szCs w:val="32"/>
        </w:rPr>
        <w:t xml:space="preserve"> </w:t>
      </w:r>
    </w:p>
    <w:p w14:paraId="7B259C9D">
      <w:pPr>
        <w:ind w:right="1280"/>
        <w:rPr>
          <w:rFonts w:eastAsia="黑体"/>
          <w:color w:val="000000"/>
          <w:szCs w:val="32"/>
        </w:rPr>
      </w:pPr>
      <w:r>
        <w:rPr>
          <w:rFonts w:hint="eastAsia"/>
          <w:color w:val="000000"/>
          <w:szCs w:val="32"/>
          <w:lang w:val="en-US" w:eastAsia="zh-CN"/>
        </w:rPr>
        <w:t xml:space="preserve">CCS </w:t>
      </w:r>
      <w:r>
        <w:rPr>
          <w:color w:val="000000"/>
          <w:szCs w:val="32"/>
        </w:rPr>
        <w:t xml:space="preserve">Q </w:t>
      </w:r>
      <w:r>
        <w:rPr>
          <w:rFonts w:eastAsia="黑体"/>
          <w:color w:val="000000"/>
          <w:szCs w:val="32"/>
        </w:rPr>
        <w:t>13</w:t>
      </w:r>
    </w:p>
    <w:p w14:paraId="3C1B5CB4">
      <w:pPr>
        <w:ind w:right="1280"/>
        <w:rPr>
          <w:color w:val="000000"/>
          <w:szCs w:val="32"/>
        </w:rPr>
      </w:pPr>
    </w:p>
    <w:p w14:paraId="7384DEDC">
      <w:pPr>
        <w:ind w:right="1280"/>
        <w:rPr>
          <w:color w:val="000000"/>
          <w:szCs w:val="32"/>
        </w:rPr>
      </w:pPr>
    </w:p>
    <w:p w14:paraId="00C03ABD">
      <w:pPr>
        <w:ind w:right="640"/>
        <w:jc w:val="right"/>
        <w:rPr>
          <w:color w:val="000000"/>
          <w:w w:val="150"/>
          <w:sz w:val="24"/>
          <w:szCs w:val="32"/>
        </w:rPr>
      </w:pPr>
    </w:p>
    <w:p w14:paraId="699A13DD">
      <w:pPr>
        <w:jc w:val="distribute"/>
        <w:rPr>
          <w:rFonts w:eastAsia="华文中宋"/>
          <w:b/>
          <w:w w:val="150"/>
          <w:position w:val="16"/>
          <w:sz w:val="32"/>
        </w:rPr>
      </w:pPr>
      <w:r>
        <w:rPr>
          <w:rFonts w:eastAsia="华文中宋"/>
          <w:b/>
          <w:w w:val="150"/>
          <w:position w:val="16"/>
          <w:sz w:val="48"/>
        </w:rPr>
        <w:t>中华人民共和国建材行业标准</w:t>
      </w:r>
    </w:p>
    <w:p w14:paraId="56F8EFC2">
      <w:pPr>
        <w:wordWrap w:val="0"/>
        <w:jc w:val="right"/>
        <w:rPr>
          <w:b/>
          <w:bCs/>
          <w:sz w:val="28"/>
        </w:rPr>
      </w:pPr>
      <w:r>
        <w:rPr>
          <w:rFonts w:eastAsia="黑体"/>
          <w:b/>
          <w:sz w:val="28"/>
        </w:rPr>
        <w:t>JC/T</w:t>
      </w:r>
      <w:r>
        <w:rPr>
          <w:rFonts w:eastAsia="黑体"/>
          <w:sz w:val="28"/>
        </w:rPr>
        <w:t xml:space="preserve"> xxx- xxxx</w:t>
      </w:r>
    </w:p>
    <w:p w14:paraId="2712CF0D">
      <w:pPr>
        <w:jc w:val="center"/>
        <w:rPr>
          <w:rFonts w:eastAsia="黑体"/>
          <w:sz w:val="28"/>
        </w:rPr>
      </w:pPr>
      <w:r>
        <mc:AlternateContent>
          <mc:Choice Requires="wps">
            <w:drawing>
              <wp:anchor distT="0" distB="0" distL="114300" distR="114300" simplePos="0" relativeHeight="251659264" behindDoc="0" locked="0" layoutInCell="1" allowOverlap="1">
                <wp:simplePos x="0" y="0"/>
                <wp:positionH relativeFrom="column">
                  <wp:posOffset>33020</wp:posOffset>
                </wp:positionH>
                <wp:positionV relativeFrom="paragraph">
                  <wp:posOffset>176530</wp:posOffset>
                </wp:positionV>
                <wp:extent cx="6029960" cy="635"/>
                <wp:effectExtent l="0" t="0" r="0" b="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flipV="1">
                          <a:off x="0" y="0"/>
                          <a:ext cx="6029960" cy="63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2.6pt;margin-top:13.9pt;height:0.05pt;width:474.8pt;z-index:251659264;mso-width-relative:page;mso-height-relative:page;" filled="f" stroked="t" coordsize="21600,21600" o:gfxdata="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9jYFz1QAAAAcBAAAPAAAAAAAAAAEAIAAAACIAAABkcnMvZG93bnJldi54bWxQSwECFAAUAAAA&#10;CACHTuJATolzsvEBAADEAwAADgAAAAAAAAABACAAAAAkAQAAZHJzL2Uyb0RvYy54bWxQSwUGAAAA&#10;AAYABgBZAQAAhwUAAAAA&#10;">
                <v:fill on="f" focussize="0,0"/>
                <v:stroke color="#000000" joinstyle="round"/>
                <v:imagedata o:title=""/>
                <o:lock v:ext="edit" aspectratio="f"/>
              </v:line>
            </w:pict>
          </mc:Fallback>
        </mc:AlternateContent>
      </w:r>
    </w:p>
    <w:p w14:paraId="179DFCF1">
      <w:pPr>
        <w:jc w:val="center"/>
        <w:rPr>
          <w:rFonts w:eastAsia="黑体"/>
          <w:sz w:val="48"/>
        </w:rPr>
      </w:pPr>
    </w:p>
    <w:p w14:paraId="22FD6D83">
      <w:pPr>
        <w:jc w:val="center"/>
        <w:rPr>
          <w:rFonts w:eastAsia="黑体"/>
          <w:sz w:val="48"/>
        </w:rPr>
      </w:pPr>
    </w:p>
    <w:p w14:paraId="6F5F0AC3">
      <w:pPr>
        <w:jc w:val="center"/>
        <w:rPr>
          <w:rFonts w:eastAsia="黑体"/>
          <w:sz w:val="48"/>
        </w:rPr>
      </w:pPr>
    </w:p>
    <w:p w14:paraId="2C2CC251">
      <w:pPr>
        <w:jc w:val="center"/>
        <w:rPr>
          <w:rFonts w:eastAsia="黑体"/>
          <w:sz w:val="48"/>
        </w:rPr>
      </w:pPr>
    </w:p>
    <w:p w14:paraId="4C27716C">
      <w:pPr>
        <w:jc w:val="center"/>
        <w:rPr>
          <w:rFonts w:eastAsia="黑体"/>
          <w:b/>
          <w:color w:val="000000"/>
          <w:sz w:val="44"/>
          <w:szCs w:val="44"/>
        </w:rPr>
      </w:pPr>
      <w:r>
        <w:rPr>
          <w:rFonts w:eastAsia="黑体"/>
          <w:b/>
          <w:color w:val="000000"/>
          <w:sz w:val="44"/>
          <w:szCs w:val="44"/>
        </w:rPr>
        <w:t>混凝土用防水剂应用技术规范</w:t>
      </w:r>
    </w:p>
    <w:p w14:paraId="20370777">
      <w:pPr>
        <w:jc w:val="center"/>
        <w:rPr>
          <w:b/>
          <w:color w:val="000000"/>
          <w:sz w:val="28"/>
          <w:szCs w:val="28"/>
        </w:rPr>
      </w:pPr>
      <w:r>
        <w:rPr>
          <w:b/>
          <w:color w:val="000000"/>
          <w:sz w:val="28"/>
          <w:szCs w:val="28"/>
        </w:rPr>
        <w:t xml:space="preserve">Technical specification for application of concrete water-repellent admixture </w:t>
      </w:r>
    </w:p>
    <w:p w14:paraId="7A2621CA">
      <w:pPr>
        <w:jc w:val="center"/>
        <w:rPr>
          <w:rFonts w:eastAsia="黑体"/>
          <w:color w:val="000000" w:themeColor="text1"/>
          <w:sz w:val="28"/>
          <w:szCs w:val="28"/>
          <w14:textFill>
            <w14:solidFill>
              <w14:schemeClr w14:val="tx1"/>
            </w14:solidFill>
          </w14:textFill>
        </w:rPr>
      </w:pPr>
      <w:r>
        <w:rPr>
          <w:rFonts w:hint="eastAsia" w:eastAsia="黑体"/>
          <w:color w:val="000000" w:themeColor="text1"/>
          <w:sz w:val="28"/>
          <w:szCs w:val="28"/>
          <w14:textFill>
            <w14:solidFill>
              <w14:schemeClr w14:val="tx1"/>
            </w14:solidFill>
          </w14:textFill>
        </w:rPr>
        <w:t>（征求意见稿）</w:t>
      </w:r>
    </w:p>
    <w:p w14:paraId="23EB401D">
      <w:pPr>
        <w:jc w:val="center"/>
        <w:rPr>
          <w:b/>
          <w:bCs/>
        </w:rPr>
      </w:pPr>
    </w:p>
    <w:p w14:paraId="13076A96">
      <w:pPr>
        <w:jc w:val="center"/>
        <w:rPr>
          <w:b/>
          <w:bCs/>
        </w:rPr>
      </w:pPr>
    </w:p>
    <w:p w14:paraId="1E90AC00"/>
    <w:p w14:paraId="2F23359F"/>
    <w:p w14:paraId="74CCE262"/>
    <w:p w14:paraId="7315D0B2"/>
    <w:p w14:paraId="26F429B0"/>
    <w:p w14:paraId="7FF00380"/>
    <w:p w14:paraId="35C3390A">
      <w:pPr>
        <w:jc w:val="center"/>
        <w:rPr>
          <w:sz w:val="24"/>
        </w:rPr>
      </w:pPr>
    </w:p>
    <w:p w14:paraId="1D701212">
      <w:pPr>
        <w:jc w:val="left"/>
        <w:rPr>
          <w:rFonts w:eastAsia="黑体"/>
          <w:sz w:val="28"/>
        </w:rPr>
      </w:pPr>
      <w:r>
        <w:rPr>
          <w:rFonts w:eastAsia="黑体"/>
          <w:sz w:val="28"/>
        </w:rPr>
        <w:t>xxxx-xx-xx发布                                       xxxx-xx-xx实施</w:t>
      </w:r>
    </w:p>
    <w:p w14:paraId="6F72036B">
      <w:pPr>
        <w:rPr>
          <w:rFonts w:eastAsia="黑体"/>
          <w:sz w:val="28"/>
        </w:rPr>
      </w:pPr>
      <w:r>
        <mc:AlternateContent>
          <mc:Choice Requires="wps">
            <w:drawing>
              <wp:anchor distT="0" distB="0" distL="114300" distR="114300" simplePos="0" relativeHeight="251660288" behindDoc="0" locked="0" layoutInCell="1" allowOverlap="1">
                <wp:simplePos x="0" y="0"/>
                <wp:positionH relativeFrom="column">
                  <wp:posOffset>-4445</wp:posOffset>
                </wp:positionH>
                <wp:positionV relativeFrom="paragraph">
                  <wp:posOffset>53975</wp:posOffset>
                </wp:positionV>
                <wp:extent cx="6108065" cy="9525"/>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08065" cy="95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35pt;margin-top:4.25pt;height:0.75pt;width:480.95pt;z-index:251660288;mso-width-relative:page;mso-height-relative:page;" filled="f" stroked="t" coordsize="21600,21600" o:gfxdata="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u+9zUAAAA&#10;BgEAAA8AAAAAAAAAAQAgAAAAIgAAAGRycy9kb3ducmV2LnhtbFBLAQIUABQAAAAIAIdO4kBHU8YF&#10;6AEAALsDAAAOAAAAAAAAAAEAIAAAACMBAABkcnMvZTJvRG9jLnhtbFBLBQYAAAAABgAGAFkBAAB9&#10;BQAAAAA=&#10;">
                <v:fill on="f" focussize="0,0"/>
                <v:stroke color="#000000" joinstyle="round"/>
                <v:imagedata o:title=""/>
                <o:lock v:ext="edit" aspectratio="f"/>
              </v:line>
            </w:pict>
          </mc:Fallback>
        </mc:AlternateContent>
      </w:r>
    </w:p>
    <w:p w14:paraId="03FA19A2">
      <w:pPr>
        <w:jc w:val="center"/>
        <w:rPr>
          <w:rFonts w:eastAsia="黑体"/>
          <w:sz w:val="28"/>
        </w:rPr>
        <w:sectPr>
          <w:footerReference r:id="rId5" w:type="first"/>
          <w:footerReference r:id="rId3" w:type="default"/>
          <w:footerReference r:id="rId4" w:type="even"/>
          <w:endnotePr>
            <w:numFmt w:val="decimal"/>
          </w:endnotePr>
          <w:pgSz w:w="11907" w:h="16840"/>
          <w:pgMar w:top="1474" w:right="850" w:bottom="1134" w:left="1417" w:header="851" w:footer="992" w:gutter="0"/>
          <w:cols w:space="720" w:num="1"/>
          <w:docGrid w:type="lines" w:linePitch="312" w:charSpace="0"/>
        </w:sectPr>
      </w:pPr>
      <w:r>
        <w:rPr>
          <w:rFonts w:eastAsia="华文中宋"/>
          <w:spacing w:val="30"/>
          <w:sz w:val="36"/>
          <w:szCs w:val="30"/>
        </w:rPr>
        <w:t>中华人民共和国工业和信息化部</w:t>
      </w:r>
      <w:r>
        <w:rPr>
          <w:rFonts w:eastAsia="黑体"/>
          <w:sz w:val="28"/>
        </w:rPr>
        <w:t xml:space="preserve">  </w:t>
      </w:r>
      <w:r>
        <w:rPr>
          <w:rFonts w:eastAsia="黑体"/>
          <w:spacing w:val="30"/>
          <w:sz w:val="28"/>
        </w:rPr>
        <w:t>发布</w:t>
      </w:r>
    </w:p>
    <w:p w14:paraId="06AD981E">
      <w:pPr>
        <w:pStyle w:val="13"/>
        <w:spacing w:before="0" w:after="0" w:line="240" w:lineRule="auto"/>
        <w:rPr>
          <w:rFonts w:ascii="Times New Roman" w:eastAsia="宋体"/>
          <w:bCs w:val="0"/>
          <w:caps w:val="0"/>
          <w:sz w:val="28"/>
          <w:szCs w:val="28"/>
          <w14:ligatures w14:val="standardContextual"/>
        </w:rPr>
      </w:pPr>
      <w:r>
        <w:rPr>
          <w:rFonts w:ascii="Times New Roman" w:eastAsia="宋体"/>
          <w:bCs w:val="0"/>
          <w:caps w:val="0"/>
          <w:sz w:val="28"/>
          <w:szCs w:val="28"/>
          <w14:ligatures w14:val="standardContextual"/>
        </w:rPr>
        <w:t>目 次</w:t>
      </w:r>
    </w:p>
    <w:p w14:paraId="2EA2C931"/>
    <w:p w14:paraId="094357BD">
      <w:pPr>
        <w:tabs>
          <w:tab w:val="right" w:leader="dot" w:pos="8296"/>
        </w:tabs>
        <w:rPr>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"_Toc217982916" </w:instrText>
      </w:r>
      <w:r>
        <w:fldChar w:fldCharType="separate"/>
      </w:r>
      <w:r>
        <w:rPr>
          <w:color w:val="000000" w:themeColor="text1"/>
          <w14:textFill>
            <w14:solidFill>
              <w14:schemeClr w14:val="tx1"/>
            </w14:solidFill>
          </w14:textFill>
        </w:rPr>
        <w:t>1 总 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_Toc217982916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7899CDD">
      <w:pPr>
        <w:tabs>
          <w:tab w:val="right" w:leader="dot" w:pos="8296"/>
        </w:tabs>
        <w:rPr>
          <w:color w:val="000000" w:themeColor="text1"/>
          <w:sz w:val="22"/>
          <w14:textFill>
            <w14:solidFill>
              <w14:schemeClr w14:val="tx1"/>
            </w14:solidFill>
          </w14:textFill>
        </w:rPr>
      </w:pPr>
      <w:r>
        <w:fldChar w:fldCharType="begin"/>
      </w:r>
      <w:r>
        <w:instrText xml:space="preserve"> HYPERLINK \l "_Toc217982917" </w:instrText>
      </w:r>
      <w:r>
        <w:fldChar w:fldCharType="separate"/>
      </w:r>
      <w:r>
        <w:rPr>
          <w:color w:val="000000" w:themeColor="text1"/>
          <w14:textFill>
            <w14:solidFill>
              <w14:schemeClr w14:val="tx1"/>
            </w14:solidFill>
          </w14:textFill>
        </w:rPr>
        <w:t>2 术 语</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_Toc217982917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553B4C1">
      <w:pPr>
        <w:tabs>
          <w:tab w:val="right" w:leader="dot" w:pos="8296"/>
        </w:tabs>
        <w:rPr>
          <w:color w:val="000000" w:themeColor="text1"/>
          <w:sz w:val="22"/>
          <w14:textFill>
            <w14:solidFill>
              <w14:schemeClr w14:val="tx1"/>
            </w14:solidFill>
          </w14:textFill>
        </w:rPr>
      </w:pPr>
      <w:r>
        <w:fldChar w:fldCharType="begin"/>
      </w:r>
      <w:r>
        <w:instrText xml:space="preserve"> HYPERLINK \l "_Toc217982918" </w:instrText>
      </w:r>
      <w:r>
        <w:fldChar w:fldCharType="separate"/>
      </w:r>
      <w:r>
        <w:rPr>
          <w:color w:val="000000" w:themeColor="text1"/>
          <w14:textFill>
            <w14:solidFill>
              <w14:schemeClr w14:val="tx1"/>
            </w14:solidFill>
          </w14:textFill>
        </w:rPr>
        <w:t>3 基本规定</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3</w:t>
      </w:r>
      <w:r>
        <w:rPr>
          <w:rFonts w:hint="eastAsia"/>
          <w:color w:val="000000" w:themeColor="text1"/>
          <w14:textFill>
            <w14:solidFill>
              <w14:schemeClr w14:val="tx1"/>
            </w14:solidFill>
          </w14:textFill>
        </w:rPr>
        <w:fldChar w:fldCharType="end"/>
      </w:r>
    </w:p>
    <w:p w14:paraId="274A54AA">
      <w:pPr>
        <w:tabs>
          <w:tab w:val="right" w:leader="dot" w:pos="8296"/>
        </w:tabs>
        <w:rPr>
          <w:color w:val="000000" w:themeColor="text1"/>
          <w:sz w:val="22"/>
          <w14:textFill>
            <w14:solidFill>
              <w14:schemeClr w14:val="tx1"/>
            </w14:solidFill>
          </w14:textFill>
        </w:rPr>
      </w:pPr>
      <w:r>
        <w:fldChar w:fldCharType="begin"/>
      </w:r>
      <w:r>
        <w:instrText xml:space="preserve"> HYPERLINK \l "_Toc217982919" </w:instrText>
      </w:r>
      <w:r>
        <w:fldChar w:fldCharType="separate"/>
      </w:r>
      <w:r>
        <w:rPr>
          <w:color w:val="000000" w:themeColor="text1"/>
          <w14:textFill>
            <w14:solidFill>
              <w14:schemeClr w14:val="tx1"/>
            </w14:solidFill>
          </w14:textFill>
        </w:rPr>
        <w:t xml:space="preserve">4 </w:t>
      </w:r>
      <w:r>
        <w:rPr>
          <w:rFonts w:hint="eastAsia"/>
          <w:color w:val="000000" w:themeColor="text1"/>
          <w14:textFill>
            <w14:solidFill>
              <w14:schemeClr w14:val="tx1"/>
            </w14:solidFill>
          </w14:textFill>
        </w:rPr>
        <w:t>技术要求</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4</w:t>
      </w:r>
      <w:r>
        <w:rPr>
          <w:rFonts w:hint="eastAsia"/>
          <w:color w:val="000000" w:themeColor="text1"/>
          <w14:textFill>
            <w14:solidFill>
              <w14:schemeClr w14:val="tx1"/>
            </w14:solidFill>
          </w14:textFill>
        </w:rPr>
        <w:fldChar w:fldCharType="end"/>
      </w:r>
    </w:p>
    <w:p w14:paraId="699EBDAB">
      <w:pPr>
        <w:tabs>
          <w:tab w:val="right" w:leader="dot" w:pos="8296"/>
        </w:tabs>
        <w:rPr>
          <w:color w:val="000000" w:themeColor="text1"/>
          <w:sz w:val="22"/>
          <w14:textFill>
            <w14:solidFill>
              <w14:schemeClr w14:val="tx1"/>
            </w14:solidFill>
          </w14:textFill>
        </w:rPr>
      </w:pPr>
      <w:r>
        <w:fldChar w:fldCharType="begin"/>
      </w:r>
      <w:r>
        <w:instrText xml:space="preserve"> HYPERLINK \l "_Toc217982920" </w:instrText>
      </w:r>
      <w:r>
        <w:fldChar w:fldCharType="separate"/>
      </w:r>
      <w:r>
        <w:rPr>
          <w:color w:val="000000" w:themeColor="text1"/>
          <w14:textFill>
            <w14:solidFill>
              <w14:schemeClr w14:val="tx1"/>
            </w14:solidFill>
          </w14:textFill>
        </w:rPr>
        <w:t xml:space="preserve">5 </w:t>
      </w:r>
      <w:r>
        <w:rPr>
          <w:rFonts w:hint="eastAsia"/>
          <w:color w:val="000000" w:themeColor="text1"/>
          <w14:textFill>
            <w14:solidFill>
              <w14:schemeClr w14:val="tx1"/>
            </w14:solidFill>
          </w14:textFill>
        </w:rPr>
        <w:t>原材料</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6</w:t>
      </w:r>
      <w:r>
        <w:rPr>
          <w:rFonts w:hint="eastAsia"/>
          <w:color w:val="000000" w:themeColor="text1"/>
          <w14:textFill>
            <w14:solidFill>
              <w14:schemeClr w14:val="tx1"/>
            </w14:solidFill>
          </w14:textFill>
        </w:rPr>
        <w:fldChar w:fldCharType="end"/>
      </w:r>
    </w:p>
    <w:p w14:paraId="6E7BDD99">
      <w:pPr>
        <w:tabs>
          <w:tab w:val="right" w:leader="dot" w:pos="8296"/>
        </w:tabs>
        <w:rPr>
          <w:color w:val="000000" w:themeColor="text1"/>
          <w:sz w:val="22"/>
          <w14:textFill>
            <w14:solidFill>
              <w14:schemeClr w14:val="tx1"/>
            </w14:solidFill>
          </w14:textFill>
        </w:rPr>
      </w:pPr>
      <w:r>
        <w:fldChar w:fldCharType="begin"/>
      </w:r>
      <w:r>
        <w:instrText xml:space="preserve"> HYPERLINK \l "_Toc217982928" </w:instrText>
      </w:r>
      <w:r>
        <w:fldChar w:fldCharType="separate"/>
      </w:r>
      <w:r>
        <w:rPr>
          <w:color w:val="000000" w:themeColor="text1"/>
          <w14:textFill>
            <w14:solidFill>
              <w14:schemeClr w14:val="tx1"/>
            </w14:solidFill>
          </w14:textFill>
        </w:rPr>
        <w:t>6 配合比</w:t>
      </w:r>
      <w:r>
        <w:rPr>
          <w:rFonts w:hint="eastAsia"/>
          <w:color w:val="000000" w:themeColor="text1"/>
          <w14:textFill>
            <w14:solidFill>
              <w14:schemeClr w14:val="tx1"/>
            </w14:solidFill>
          </w14:textFill>
        </w:rPr>
        <w:t>设计</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8</w:t>
      </w:r>
      <w:r>
        <w:rPr>
          <w:rFonts w:hint="eastAsia"/>
          <w:color w:val="000000" w:themeColor="text1"/>
          <w14:textFill>
            <w14:solidFill>
              <w14:schemeClr w14:val="tx1"/>
            </w14:solidFill>
          </w14:textFill>
        </w:rPr>
        <w:fldChar w:fldCharType="end"/>
      </w:r>
    </w:p>
    <w:p w14:paraId="20F115E5">
      <w:pPr>
        <w:tabs>
          <w:tab w:val="right" w:leader="dot" w:pos="8296"/>
        </w:tabs>
        <w:rPr>
          <w:color w:val="000000" w:themeColor="text1"/>
          <w:sz w:val="22"/>
          <w14:textFill>
            <w14:solidFill>
              <w14:schemeClr w14:val="tx1"/>
            </w14:solidFill>
          </w14:textFill>
        </w:rPr>
      </w:pPr>
      <w:r>
        <w:fldChar w:fldCharType="begin"/>
      </w:r>
      <w:r>
        <w:instrText xml:space="preserve"> HYPERLINK \l "_Toc217982929" </w:instrText>
      </w:r>
      <w:r>
        <w:fldChar w:fldCharType="separate"/>
      </w:r>
      <w:r>
        <w:rPr>
          <w:color w:val="000000" w:themeColor="text1"/>
          <w14:textFill>
            <w14:solidFill>
              <w14:schemeClr w14:val="tx1"/>
            </w14:solidFill>
          </w14:textFill>
        </w:rPr>
        <w:t xml:space="preserve">7 </w:t>
      </w:r>
      <w:r>
        <w:rPr>
          <w:rFonts w:hint="eastAsia"/>
          <w:color w:val="000000" w:themeColor="text1"/>
          <w14:textFill>
            <w14:solidFill>
              <w14:schemeClr w14:val="tx1"/>
            </w14:solidFill>
          </w14:textFill>
        </w:rPr>
        <w:t>施工</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9</w:t>
      </w:r>
      <w:r>
        <w:rPr>
          <w:rFonts w:hint="eastAsia"/>
          <w:color w:val="000000" w:themeColor="text1"/>
          <w14:textFill>
            <w14:solidFill>
              <w14:schemeClr w14:val="tx1"/>
            </w14:solidFill>
          </w14:textFill>
        </w:rPr>
        <w:fldChar w:fldCharType="end"/>
      </w:r>
    </w:p>
    <w:p w14:paraId="5BE1A777">
      <w:pPr>
        <w:tabs>
          <w:tab w:val="right" w:leader="dot" w:pos="8296"/>
        </w:tabs>
        <w:rPr>
          <w:rFonts w:hint="eastAsia" w:eastAsia="宋体"/>
          <w:color w:val="000000" w:themeColor="text1"/>
          <w:sz w:val="22"/>
          <w:lang w:val="en-US" w:eastAsia="zh-CN"/>
          <w14:textFill>
            <w14:solidFill>
              <w14:schemeClr w14:val="tx1"/>
            </w14:solidFill>
          </w14:textFill>
        </w:rPr>
      </w:pPr>
      <w:r>
        <w:fldChar w:fldCharType="begin"/>
      </w:r>
      <w:r>
        <w:instrText xml:space="preserve"> HYPERLINK \l "_Toc217982930" </w:instrText>
      </w:r>
      <w:r>
        <w:fldChar w:fldCharType="separate"/>
      </w:r>
      <w:r>
        <w:rPr>
          <w:color w:val="000000" w:themeColor="text1"/>
          <w14:textFill>
            <w14:solidFill>
              <w14:schemeClr w14:val="tx1"/>
            </w14:solidFill>
          </w14:textFill>
        </w:rPr>
        <w:t xml:space="preserve">8 </w:t>
      </w:r>
      <w:r>
        <w:rPr>
          <w:rFonts w:hint="eastAsia"/>
          <w:color w:val="000000" w:themeColor="text1"/>
          <w14:textFill>
            <w14:solidFill>
              <w14:schemeClr w14:val="tx1"/>
            </w14:solidFill>
          </w14:textFill>
        </w:rPr>
        <w:t>质量检验与验收</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2</w:t>
      </w:r>
    </w:p>
    <w:p w14:paraId="600297F5">
      <w:pPr>
        <w:tabs>
          <w:tab w:val="right" w:leader="dot" w:pos="8296"/>
        </w:tabs>
        <w:rPr>
          <w:color w:val="000000" w:themeColor="text1"/>
          <w:sz w:val="22"/>
          <w14:textFill>
            <w14:solidFill>
              <w14:schemeClr w14:val="tx1"/>
            </w14:solidFill>
          </w14:textFill>
        </w:rPr>
      </w:pPr>
      <w:r>
        <w:fldChar w:fldCharType="begin"/>
      </w:r>
      <w:r>
        <w:instrText xml:space="preserve"> HYPERLINK \l "_Toc217982935" </w:instrText>
      </w:r>
      <w:r>
        <w:fldChar w:fldCharType="separate"/>
      </w:r>
      <w:r>
        <w:rPr>
          <w:color w:val="000000" w:themeColor="text1"/>
          <w14:textFill>
            <w14:solidFill>
              <w14:schemeClr w14:val="tx1"/>
            </w14:solidFill>
          </w14:textFill>
        </w:rPr>
        <w:t>用 词 说 明</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fldChar w:fldCharType="end"/>
      </w:r>
    </w:p>
    <w:p w14:paraId="5E8C79DA">
      <w:pPr>
        <w:tabs>
          <w:tab w:val="right" w:leader="dot" w:pos="8296"/>
        </w:tabs>
        <w:rPr>
          <w:color w:val="000000" w:themeColor="text1"/>
          <w:sz w:val="22"/>
          <w14:textFill>
            <w14:solidFill>
              <w14:schemeClr w14:val="tx1"/>
            </w14:solidFill>
          </w14:textFill>
        </w:rPr>
      </w:pPr>
      <w:r>
        <w:fldChar w:fldCharType="begin"/>
      </w:r>
      <w:r>
        <w:instrText xml:space="preserve"> HYPERLINK \l "_Toc217982936" </w:instrText>
      </w:r>
      <w:r>
        <w:fldChar w:fldCharType="separate"/>
      </w:r>
      <w:r>
        <w:rPr>
          <w:color w:val="000000" w:themeColor="text1"/>
          <w14:textFill>
            <w14:solidFill>
              <w14:schemeClr w14:val="tx1"/>
            </w14:solidFill>
          </w14:textFill>
        </w:rPr>
        <w:t>引用标准名录</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fldChar w:fldCharType="end"/>
      </w:r>
    </w:p>
    <w:p w14:paraId="4E2B96F5">
      <w:pPr>
        <w:tabs>
          <w:tab w:val="right" w:leader="dot" w:pos="8296"/>
        </w:tabs>
        <w:rPr>
          <w:color w:val="000000" w:themeColor="text1"/>
          <w:sz w:val="22"/>
          <w14:textFill>
            <w14:solidFill>
              <w14:schemeClr w14:val="tx1"/>
            </w14:solidFill>
          </w14:textFill>
        </w:rPr>
      </w:pPr>
      <w:r>
        <w:fldChar w:fldCharType="begin"/>
      </w:r>
      <w:r>
        <w:instrText xml:space="preserve"> HYPERLINK \l "_Toc217982937" </w:instrText>
      </w:r>
      <w:r>
        <w:fldChar w:fldCharType="separate"/>
      </w:r>
      <w:r>
        <w:rPr>
          <w:color w:val="000000" w:themeColor="text1"/>
          <w14:textFill>
            <w14:solidFill>
              <w14:schemeClr w14:val="tx1"/>
            </w14:solidFill>
          </w14:textFill>
        </w:rPr>
        <w:t>附：条文说明</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fldChar w:fldCharType="end"/>
      </w:r>
    </w:p>
    <w:p w14:paraId="043AF27C">
      <w:pPr>
        <w:pStyle w:val="13"/>
        <w:rPr>
          <w:rFonts w:ascii="Times New Roman" w:eastAsia="宋体"/>
          <w:b/>
          <w:caps w:val="0"/>
          <w:color w:val="000000" w:themeColor="text1"/>
          <w:sz w:val="21"/>
          <w:szCs w:val="24"/>
          <w:lang w:val="zh-CN"/>
          <w14:textFill>
            <w14:solidFill>
              <w14:schemeClr w14:val="tx1"/>
            </w14:solidFill>
          </w14:textFill>
        </w:rPr>
        <w:sectPr>
          <w:footerReference r:id="rId6" w:type="default"/>
          <w:pgSz w:w="11906" w:h="16838"/>
          <w:pgMar w:top="1440" w:right="1800" w:bottom="1440" w:left="1800" w:header="851" w:footer="992" w:gutter="0"/>
          <w:pgNumType w:fmt="upperRoman" w:start="2"/>
          <w:cols w:space="720" w:num="1"/>
          <w:docGrid w:type="lines" w:linePitch="312" w:charSpace="0"/>
        </w:sectPr>
      </w:pPr>
      <w:r>
        <w:rPr>
          <w:rFonts w:ascii="Times New Roman" w:eastAsia="宋体"/>
          <w:b/>
          <w:caps w:val="0"/>
          <w:color w:val="000000" w:themeColor="text1"/>
          <w:sz w:val="21"/>
          <w:szCs w:val="24"/>
          <w:lang w:val="zh-CN"/>
          <w14:textFill>
            <w14:solidFill>
              <w14:schemeClr w14:val="tx1"/>
            </w14:solidFill>
          </w14:textFill>
        </w:rPr>
        <w:fldChar w:fldCharType="end"/>
      </w:r>
    </w:p>
    <w:p w14:paraId="0C40AC7C">
      <w:pPr>
        <w:spacing w:after="240"/>
        <w:jc w:val="center"/>
      </w:pPr>
      <w:r>
        <w:rPr>
          <w:rFonts w:eastAsia="黑体"/>
          <w:sz w:val="32"/>
          <w:szCs w:val="32"/>
        </w:rPr>
        <w:t>Contents</w:t>
      </w:r>
    </w:p>
    <w:p w14:paraId="2825CC64">
      <w:pPr>
        <w:tabs>
          <w:tab w:val="right" w:leader="dot" w:pos="8306"/>
        </w:tabs>
        <w:rPr>
          <w:sz w:val="22"/>
          <w:szCs w:val="22"/>
        </w:rPr>
      </w:pPr>
      <w:r>
        <w:fldChar w:fldCharType="begin"/>
      </w:r>
      <w:r>
        <w:instrText xml:space="preserve"> HYPERLINK \l "_Toc17638" </w:instrText>
      </w:r>
      <w:r>
        <w:fldChar w:fldCharType="separate"/>
      </w:r>
      <w:r>
        <w:rPr>
          <w:sz w:val="22"/>
          <w:szCs w:val="22"/>
        </w:rPr>
        <w:t>1 General provisions</w:t>
      </w:r>
      <w:r>
        <w:rPr>
          <w:sz w:val="22"/>
          <w:szCs w:val="22"/>
        </w:rPr>
        <w:tab/>
      </w:r>
      <w:r>
        <w:rPr>
          <w:sz w:val="22"/>
          <w:szCs w:val="22"/>
        </w:rPr>
        <w:fldChar w:fldCharType="begin"/>
      </w:r>
      <w:r>
        <w:rPr>
          <w:sz w:val="22"/>
          <w:szCs w:val="22"/>
        </w:rPr>
        <w:instrText xml:space="preserve"> PAGEREF _Toc17638 \h </w:instrText>
      </w:r>
      <w:r>
        <w:rPr>
          <w:sz w:val="22"/>
          <w:szCs w:val="22"/>
        </w:rPr>
        <w:fldChar w:fldCharType="separate"/>
      </w:r>
      <w:r>
        <w:rPr>
          <w:sz w:val="22"/>
          <w:szCs w:val="22"/>
        </w:rPr>
        <w:t>1</w:t>
      </w:r>
      <w:r>
        <w:rPr>
          <w:sz w:val="22"/>
          <w:szCs w:val="22"/>
        </w:rPr>
        <w:fldChar w:fldCharType="end"/>
      </w:r>
      <w:r>
        <w:rPr>
          <w:sz w:val="22"/>
          <w:szCs w:val="22"/>
        </w:rPr>
        <w:fldChar w:fldCharType="end"/>
      </w:r>
    </w:p>
    <w:p w14:paraId="4D1EECC6">
      <w:pPr>
        <w:tabs>
          <w:tab w:val="right" w:leader="dot" w:pos="8306"/>
        </w:tabs>
        <w:rPr>
          <w:sz w:val="22"/>
          <w:szCs w:val="22"/>
        </w:rPr>
      </w:pPr>
      <w:r>
        <w:fldChar w:fldCharType="begin"/>
      </w:r>
      <w:r>
        <w:instrText xml:space="preserve"> HYPERLINK \l "_Toc23186" </w:instrText>
      </w:r>
      <w:r>
        <w:fldChar w:fldCharType="separate"/>
      </w:r>
      <w:r>
        <w:rPr>
          <w:sz w:val="22"/>
          <w:szCs w:val="22"/>
        </w:rPr>
        <w:t>2 Terms</w:t>
      </w:r>
      <w:r>
        <w:rPr>
          <w:sz w:val="22"/>
          <w:szCs w:val="22"/>
        </w:rPr>
        <w:tab/>
      </w:r>
      <w:r>
        <w:rPr>
          <w:sz w:val="22"/>
          <w:szCs w:val="22"/>
        </w:rPr>
        <w:fldChar w:fldCharType="begin"/>
      </w:r>
      <w:r>
        <w:rPr>
          <w:sz w:val="22"/>
          <w:szCs w:val="22"/>
        </w:rPr>
        <w:instrText xml:space="preserve"> PAGEREF _Toc23186 \h </w:instrText>
      </w:r>
      <w:r>
        <w:rPr>
          <w:sz w:val="22"/>
          <w:szCs w:val="22"/>
        </w:rPr>
        <w:fldChar w:fldCharType="separate"/>
      </w:r>
      <w:r>
        <w:rPr>
          <w:sz w:val="22"/>
          <w:szCs w:val="22"/>
        </w:rPr>
        <w:t>2</w:t>
      </w:r>
      <w:r>
        <w:rPr>
          <w:sz w:val="22"/>
          <w:szCs w:val="22"/>
        </w:rPr>
        <w:fldChar w:fldCharType="end"/>
      </w:r>
      <w:r>
        <w:rPr>
          <w:sz w:val="22"/>
          <w:szCs w:val="22"/>
        </w:rPr>
        <w:fldChar w:fldCharType="end"/>
      </w:r>
    </w:p>
    <w:p w14:paraId="366E369B">
      <w:pPr>
        <w:tabs>
          <w:tab w:val="right" w:leader="dot" w:pos="8306"/>
        </w:tabs>
        <w:rPr>
          <w:sz w:val="22"/>
          <w:szCs w:val="22"/>
        </w:rPr>
      </w:pPr>
      <w:r>
        <w:fldChar w:fldCharType="begin"/>
      </w:r>
      <w:r>
        <w:instrText xml:space="preserve"> HYPERLINK \l "_Toc21057" </w:instrText>
      </w:r>
      <w:r>
        <w:fldChar w:fldCharType="separate"/>
      </w:r>
      <w:r>
        <w:rPr>
          <w:sz w:val="22"/>
          <w:szCs w:val="22"/>
        </w:rPr>
        <w:t>3 Basic requirement</w:t>
      </w:r>
      <w:r>
        <w:rPr>
          <w:sz w:val="22"/>
          <w:szCs w:val="22"/>
        </w:rPr>
        <w:tab/>
      </w:r>
      <w:r>
        <w:rPr>
          <w:rFonts w:hint="eastAsia"/>
          <w:sz w:val="22"/>
          <w:szCs w:val="22"/>
        </w:rPr>
        <w:t>3</w:t>
      </w:r>
      <w:r>
        <w:rPr>
          <w:rFonts w:hint="eastAsia"/>
          <w:sz w:val="22"/>
          <w:szCs w:val="22"/>
        </w:rPr>
        <w:fldChar w:fldCharType="end"/>
      </w:r>
    </w:p>
    <w:p w14:paraId="3D31A782">
      <w:pPr>
        <w:tabs>
          <w:tab w:val="right" w:leader="dot" w:pos="8306"/>
        </w:tabs>
        <w:rPr>
          <w:sz w:val="22"/>
          <w:szCs w:val="22"/>
        </w:rPr>
      </w:pPr>
      <w:r>
        <w:rPr>
          <w:sz w:val="22"/>
          <w:szCs w:val="22"/>
        </w:rPr>
        <w:t>4 Technical requirements</w:t>
      </w:r>
      <w:r>
        <w:rPr>
          <w:sz w:val="22"/>
          <w:szCs w:val="22"/>
        </w:rPr>
        <w:tab/>
      </w:r>
      <w:r>
        <w:rPr>
          <w:rFonts w:hint="eastAsia"/>
          <w:sz w:val="22"/>
          <w:szCs w:val="22"/>
        </w:rPr>
        <w:t>4</w:t>
      </w:r>
    </w:p>
    <w:p w14:paraId="34F3FFD8">
      <w:pPr>
        <w:tabs>
          <w:tab w:val="right" w:leader="dot" w:pos="8306"/>
        </w:tabs>
        <w:rPr>
          <w:sz w:val="22"/>
          <w:szCs w:val="22"/>
        </w:rPr>
      </w:pPr>
      <w:r>
        <w:fldChar w:fldCharType="begin"/>
      </w:r>
      <w:r>
        <w:instrText xml:space="preserve"> HYPERLINK \l "_Toc14668" </w:instrText>
      </w:r>
      <w:r>
        <w:fldChar w:fldCharType="separate"/>
      </w:r>
      <w:r>
        <w:rPr>
          <w:sz w:val="22"/>
          <w:szCs w:val="22"/>
        </w:rPr>
        <w:t xml:space="preserve">5 </w:t>
      </w:r>
      <w:r>
        <w:rPr>
          <w:rFonts w:hint="eastAsia"/>
          <w:sz w:val="22"/>
          <w:szCs w:val="22"/>
        </w:rPr>
        <w:t>Raw m</w:t>
      </w:r>
      <w:r>
        <w:rPr>
          <w:sz w:val="22"/>
          <w:szCs w:val="22"/>
        </w:rPr>
        <w:t>aterials</w:t>
      </w:r>
      <w:r>
        <w:rPr>
          <w:sz w:val="22"/>
          <w:szCs w:val="22"/>
        </w:rPr>
        <w:tab/>
      </w:r>
      <w:r>
        <w:rPr>
          <w:rFonts w:hint="eastAsia"/>
          <w:sz w:val="22"/>
          <w:szCs w:val="22"/>
        </w:rPr>
        <w:t>6</w:t>
      </w:r>
      <w:r>
        <w:rPr>
          <w:rFonts w:hint="eastAsia"/>
          <w:sz w:val="22"/>
          <w:szCs w:val="22"/>
        </w:rPr>
        <w:fldChar w:fldCharType="end"/>
      </w:r>
    </w:p>
    <w:p w14:paraId="675F75B8">
      <w:pPr>
        <w:tabs>
          <w:tab w:val="right" w:leader="dot" w:pos="8306"/>
        </w:tabs>
        <w:rPr>
          <w:sz w:val="22"/>
          <w:szCs w:val="22"/>
        </w:rPr>
      </w:pPr>
      <w:r>
        <w:fldChar w:fldCharType="begin"/>
      </w:r>
      <w:r>
        <w:instrText xml:space="preserve"> HYPERLINK \l "_Toc2577" </w:instrText>
      </w:r>
      <w:r>
        <w:fldChar w:fldCharType="separate"/>
      </w:r>
      <w:r>
        <w:rPr>
          <w:sz w:val="22"/>
          <w:szCs w:val="22"/>
        </w:rPr>
        <w:t xml:space="preserve">6 Mix </w:t>
      </w:r>
      <w:r>
        <w:rPr>
          <w:rFonts w:hint="eastAsia"/>
          <w:sz w:val="22"/>
          <w:szCs w:val="22"/>
        </w:rPr>
        <w:t>p</w:t>
      </w:r>
      <w:r>
        <w:rPr>
          <w:sz w:val="22"/>
          <w:szCs w:val="22"/>
        </w:rPr>
        <w:t xml:space="preserve">roportion </w:t>
      </w:r>
      <w:r>
        <w:rPr>
          <w:rFonts w:hint="eastAsia"/>
          <w:sz w:val="22"/>
          <w:szCs w:val="22"/>
        </w:rPr>
        <w:t>d</w:t>
      </w:r>
      <w:r>
        <w:rPr>
          <w:sz w:val="22"/>
          <w:szCs w:val="22"/>
        </w:rPr>
        <w:t>esign</w:t>
      </w:r>
      <w:r>
        <w:rPr>
          <w:sz w:val="22"/>
          <w:szCs w:val="22"/>
        </w:rPr>
        <w:tab/>
      </w:r>
      <w:r>
        <w:rPr>
          <w:rFonts w:hint="eastAsia"/>
          <w:sz w:val="22"/>
          <w:szCs w:val="22"/>
        </w:rPr>
        <w:t>8</w:t>
      </w:r>
      <w:r>
        <w:rPr>
          <w:rFonts w:hint="eastAsia"/>
          <w:sz w:val="22"/>
          <w:szCs w:val="22"/>
        </w:rPr>
        <w:fldChar w:fldCharType="end"/>
      </w:r>
    </w:p>
    <w:p w14:paraId="54340F8D">
      <w:pPr>
        <w:tabs>
          <w:tab w:val="right" w:leader="dot" w:pos="8306"/>
        </w:tabs>
        <w:rPr>
          <w:sz w:val="22"/>
          <w:szCs w:val="22"/>
        </w:rPr>
      </w:pPr>
      <w:r>
        <w:rPr>
          <w:rFonts w:hint="eastAsia"/>
          <w:bCs/>
          <w:sz w:val="22"/>
          <w:szCs w:val="22"/>
        </w:rPr>
        <w:t xml:space="preserve">7 </w:t>
      </w:r>
      <w:r>
        <w:fldChar w:fldCharType="begin"/>
      </w:r>
      <w:r>
        <w:instrText xml:space="preserve"> HYPERLINK \l "_Toc3813" </w:instrText>
      </w:r>
      <w:r>
        <w:fldChar w:fldCharType="separate"/>
      </w:r>
      <w:r>
        <w:rPr>
          <w:sz w:val="22"/>
          <w:szCs w:val="22"/>
        </w:rPr>
        <w:t>Construction</w:t>
      </w:r>
      <w:r>
        <w:rPr>
          <w:sz w:val="22"/>
          <w:szCs w:val="22"/>
        </w:rPr>
        <w:tab/>
      </w:r>
      <w:r>
        <w:rPr>
          <w:rFonts w:hint="eastAsia"/>
          <w:sz w:val="22"/>
          <w:szCs w:val="22"/>
        </w:rPr>
        <w:t>9</w:t>
      </w:r>
      <w:r>
        <w:rPr>
          <w:rFonts w:hint="eastAsia"/>
          <w:sz w:val="22"/>
          <w:szCs w:val="22"/>
        </w:rPr>
        <w:fldChar w:fldCharType="end"/>
      </w:r>
    </w:p>
    <w:p w14:paraId="3DF854DB">
      <w:pPr>
        <w:tabs>
          <w:tab w:val="right" w:leader="dot" w:pos="8306"/>
        </w:tabs>
      </w:pPr>
      <w:r>
        <w:fldChar w:fldCharType="begin"/>
      </w:r>
      <w:r>
        <w:instrText xml:space="preserve"> HYPERLINK \l "_Toc31076" </w:instrText>
      </w:r>
      <w:r>
        <w:fldChar w:fldCharType="separate"/>
      </w:r>
      <w:r>
        <w:rPr>
          <w:rFonts w:hint="eastAsia"/>
          <w:sz w:val="22"/>
          <w:szCs w:val="22"/>
        </w:rPr>
        <w:t>8</w:t>
      </w:r>
      <w:r>
        <w:rPr>
          <w:sz w:val="22"/>
          <w:szCs w:val="22"/>
        </w:rPr>
        <w:t xml:space="preserve"> Quality acceptance</w:t>
      </w:r>
      <w:r>
        <w:rPr>
          <w:sz w:val="22"/>
          <w:szCs w:val="22"/>
        </w:rPr>
        <w:tab/>
      </w:r>
      <w:r>
        <w:rPr>
          <w:rFonts w:hint="eastAsia"/>
          <w:sz w:val="22"/>
          <w:szCs w:val="22"/>
        </w:rPr>
        <w:t>1</w:t>
      </w:r>
      <w:r>
        <w:rPr>
          <w:rFonts w:hint="eastAsia"/>
          <w:sz w:val="22"/>
          <w:szCs w:val="22"/>
          <w:lang w:val="en-US" w:eastAsia="zh-CN"/>
        </w:rPr>
        <w:t>2</w:t>
      </w:r>
      <w:r>
        <w:rPr>
          <w:rFonts w:hint="eastAsia"/>
          <w:sz w:val="22"/>
          <w:szCs w:val="22"/>
        </w:rPr>
        <w:fldChar w:fldCharType="end"/>
      </w:r>
    </w:p>
    <w:p w14:paraId="59DE046D">
      <w:pPr>
        <w:tabs>
          <w:tab w:val="right" w:leader="dot" w:pos="8306"/>
        </w:tabs>
      </w:pPr>
      <w:r>
        <w:rPr>
          <w:rFonts w:hint="eastAsia"/>
          <w:bCs/>
          <w:sz w:val="22"/>
          <w:szCs w:val="22"/>
        </w:rPr>
        <w:t>Explanation of wording</w:t>
      </w:r>
      <w:r>
        <w:fldChar w:fldCharType="begin"/>
      </w:r>
      <w:r>
        <w:instrText xml:space="preserve"> HYPERLINK \l "_Toc31076" </w:instrText>
      </w:r>
      <w:r>
        <w:fldChar w:fldCharType="separate"/>
      </w:r>
      <w:r>
        <w:rPr>
          <w:sz w:val="22"/>
          <w:szCs w:val="22"/>
        </w:rPr>
        <w:tab/>
      </w:r>
      <w:r>
        <w:rPr>
          <w:rFonts w:hint="eastAsia"/>
          <w:sz w:val="22"/>
          <w:szCs w:val="22"/>
        </w:rPr>
        <w:t>1</w:t>
      </w:r>
      <w:r>
        <w:rPr>
          <w:rFonts w:hint="eastAsia"/>
          <w:sz w:val="22"/>
          <w:szCs w:val="22"/>
          <w:lang w:val="en-US" w:eastAsia="zh-CN"/>
        </w:rPr>
        <w:t>3</w:t>
      </w:r>
      <w:r>
        <w:rPr>
          <w:rFonts w:hint="eastAsia"/>
          <w:sz w:val="22"/>
          <w:szCs w:val="22"/>
        </w:rPr>
        <w:fldChar w:fldCharType="end"/>
      </w:r>
    </w:p>
    <w:p w14:paraId="355CB63F">
      <w:pPr>
        <w:tabs>
          <w:tab w:val="right" w:leader="dot" w:pos="8306"/>
        </w:tabs>
        <w:rPr>
          <w:rFonts w:hint="eastAsia"/>
          <w:sz w:val="22"/>
          <w:szCs w:val="22"/>
        </w:rPr>
      </w:pPr>
      <w:r>
        <w:rPr>
          <w:rFonts w:hint="eastAsia"/>
          <w:bCs/>
          <w:sz w:val="22"/>
          <w:szCs w:val="22"/>
        </w:rPr>
        <w:t>List of quoted standards</w:t>
      </w:r>
      <w:r>
        <w:fldChar w:fldCharType="begin"/>
      </w:r>
      <w:r>
        <w:instrText xml:space="preserve"> HYPERLINK \l "_Toc31076" </w:instrText>
      </w:r>
      <w:r>
        <w:fldChar w:fldCharType="separate"/>
      </w:r>
      <w:r>
        <w:rPr>
          <w:sz w:val="22"/>
          <w:szCs w:val="22"/>
        </w:rPr>
        <w:tab/>
      </w:r>
      <w:r>
        <w:rPr>
          <w:rFonts w:hint="eastAsia"/>
          <w:sz w:val="22"/>
          <w:szCs w:val="22"/>
        </w:rPr>
        <w:t>1</w:t>
      </w:r>
      <w:r>
        <w:rPr>
          <w:rFonts w:hint="eastAsia"/>
          <w:sz w:val="22"/>
          <w:szCs w:val="22"/>
          <w:lang w:val="en-US" w:eastAsia="zh-CN"/>
        </w:rPr>
        <w:t>4</w:t>
      </w:r>
      <w:r>
        <w:rPr>
          <w:rFonts w:hint="eastAsia"/>
          <w:sz w:val="22"/>
          <w:szCs w:val="22"/>
        </w:rPr>
        <w:fldChar w:fldCharType="end"/>
      </w:r>
    </w:p>
    <w:p w14:paraId="58A10047">
      <w:pPr>
        <w:tabs>
          <w:tab w:val="right" w:leader="dot" w:pos="8306"/>
        </w:tabs>
      </w:pPr>
      <w:r>
        <w:rPr>
          <w:rFonts w:hint="eastAsia" w:ascii="Times New Roman" w:eastAsia="宋体"/>
          <w:bCs w:val="0"/>
          <w:caps w:val="0"/>
          <w:sz w:val="22"/>
          <w:szCs w:val="22"/>
        </w:rPr>
        <w:t>Addition:</w:t>
      </w:r>
      <w:r>
        <w:rPr>
          <w:rFonts w:ascii="Times New Roman" w:eastAsia="宋体"/>
          <w:bCs w:val="0"/>
          <w:caps w:val="0"/>
          <w:sz w:val="22"/>
          <w:szCs w:val="22"/>
        </w:rPr>
        <w:t xml:space="preserve"> </w:t>
      </w:r>
      <w:r>
        <w:rPr>
          <w:rFonts w:hint="eastAsia" w:ascii="Times New Roman" w:eastAsia="宋体"/>
          <w:bCs w:val="0"/>
          <w:caps w:val="0"/>
          <w:sz w:val="22"/>
          <w:szCs w:val="22"/>
        </w:rPr>
        <w:t>Explanation of provisions</w:t>
      </w:r>
      <w:r>
        <w:fldChar w:fldCharType="begin"/>
      </w:r>
      <w:r>
        <w:instrText xml:space="preserve"> HYPERLINK \l "_Toc31076" </w:instrText>
      </w:r>
      <w:r>
        <w:fldChar w:fldCharType="separate"/>
      </w:r>
      <w:r>
        <w:rPr>
          <w:sz w:val="22"/>
          <w:szCs w:val="22"/>
        </w:rPr>
        <w:tab/>
      </w:r>
      <w:r>
        <w:rPr>
          <w:rFonts w:hint="eastAsia"/>
          <w:sz w:val="22"/>
          <w:szCs w:val="22"/>
        </w:rPr>
        <w:t>1</w:t>
      </w:r>
      <w:r>
        <w:rPr>
          <w:rFonts w:hint="eastAsia"/>
          <w:sz w:val="22"/>
          <w:szCs w:val="22"/>
          <w:lang w:val="en-US" w:eastAsia="zh-CN"/>
        </w:rPr>
        <w:t>5</w:t>
      </w:r>
      <w:r>
        <w:rPr>
          <w:rFonts w:hint="eastAsia"/>
          <w:sz w:val="22"/>
          <w:szCs w:val="22"/>
        </w:rPr>
        <w:fldChar w:fldCharType="end"/>
      </w:r>
    </w:p>
    <w:p w14:paraId="33948846">
      <w:pPr>
        <w:widowControl/>
        <w:jc w:val="left"/>
        <w:sectPr>
          <w:pgSz w:w="11906" w:h="16838"/>
          <w:pgMar w:top="1440" w:right="1800" w:bottom="1440" w:left="1800" w:header="851" w:footer="992" w:gutter="0"/>
          <w:pgNumType w:fmt="upperRoman"/>
          <w:cols w:space="720" w:num="1"/>
          <w:docGrid w:type="lines" w:linePitch="312" w:charSpace="0"/>
        </w:sectPr>
      </w:pPr>
    </w:p>
    <w:p w14:paraId="643CAF28">
      <w:pPr>
        <w:spacing w:after="156" w:afterLines="50" w:line="360" w:lineRule="auto"/>
        <w:jc w:val="center"/>
        <w:outlineLvl w:val="0"/>
        <w:rPr>
          <w:rFonts w:eastAsia="黑体"/>
          <w:color w:val="000000"/>
          <w:sz w:val="32"/>
          <w:szCs w:val="32"/>
        </w:rPr>
      </w:pPr>
      <w:bookmarkStart w:id="3" w:name="_Toc222865908"/>
      <w:bookmarkStart w:id="4" w:name="_Toc16331"/>
      <w:bookmarkStart w:id="5" w:name="_Toc222866048"/>
      <w:bookmarkStart w:id="6" w:name="_Toc222866252"/>
      <w:r>
        <w:rPr>
          <w:rFonts w:eastAsia="黑体"/>
          <w:color w:val="000000"/>
          <w:sz w:val="32"/>
          <w:szCs w:val="32"/>
        </w:rPr>
        <w:t>前  言</w:t>
      </w:r>
      <w:bookmarkEnd w:id="3"/>
      <w:bookmarkEnd w:id="4"/>
      <w:bookmarkEnd w:id="5"/>
      <w:bookmarkEnd w:id="6"/>
    </w:p>
    <w:p w14:paraId="0718878C">
      <w:pPr>
        <w:pStyle w:val="28"/>
        <w:tabs>
          <w:tab w:val="center" w:pos="4201"/>
          <w:tab w:val="right" w:leader="dot" w:pos="9298"/>
        </w:tabs>
        <w:spacing w:line="360" w:lineRule="auto"/>
        <w:ind w:firstLine="480"/>
        <w:rPr>
          <w:rFonts w:ascii="Times New Roman"/>
          <w:color w:val="000000"/>
          <w:sz w:val="24"/>
        </w:rPr>
      </w:pPr>
      <w:r>
        <w:rPr>
          <w:rFonts w:ascii="Times New Roman"/>
          <w:color w:val="000000"/>
          <w:sz w:val="24"/>
        </w:rPr>
        <w:t>根据中华人民共和国工业和信息化部《关于印发2024年第二批行业标准制修订和外文版项目计划的通知》（工信厅科函〔2024〕191号）的要求，规范编制组经广泛调查研究，认真总结实践经验，参考有关国际标准和国外先进标准，并在广泛征求意见的基础上，制定了本规范。</w:t>
      </w:r>
    </w:p>
    <w:p w14:paraId="5314BC8E">
      <w:pPr>
        <w:pStyle w:val="28"/>
        <w:tabs>
          <w:tab w:val="center" w:pos="4201"/>
          <w:tab w:val="right" w:leader="dot" w:pos="9298"/>
        </w:tabs>
        <w:spacing w:line="360" w:lineRule="auto"/>
        <w:ind w:firstLine="480"/>
        <w:rPr>
          <w:rFonts w:ascii="Times New Roman"/>
          <w:color w:val="000000"/>
          <w:sz w:val="24"/>
        </w:rPr>
      </w:pPr>
      <w:r>
        <w:rPr>
          <w:rFonts w:ascii="Times New Roman"/>
          <w:color w:val="000000"/>
          <w:sz w:val="24"/>
        </w:rPr>
        <w:t>本规范共分8章，主要内容包括：</w:t>
      </w:r>
      <w:r>
        <w:rPr>
          <w:rFonts w:ascii="Times New Roman"/>
          <w:sz w:val="24"/>
        </w:rPr>
        <w:t>总则</w:t>
      </w:r>
      <w:r>
        <w:rPr>
          <w:rFonts w:hint="eastAsia" w:ascii="Times New Roman"/>
          <w:sz w:val="24"/>
          <w:lang w:eastAsia="zh-CN"/>
        </w:rPr>
        <w:t>、</w:t>
      </w:r>
      <w:r>
        <w:rPr>
          <w:rFonts w:ascii="Times New Roman"/>
          <w:sz w:val="24"/>
        </w:rPr>
        <w:t>术语</w:t>
      </w:r>
      <w:r>
        <w:rPr>
          <w:rFonts w:hint="eastAsia" w:ascii="Times New Roman"/>
          <w:sz w:val="24"/>
          <w:lang w:eastAsia="zh-CN"/>
        </w:rPr>
        <w:t>、</w:t>
      </w:r>
      <w:r>
        <w:rPr>
          <w:rFonts w:ascii="Times New Roman"/>
          <w:sz w:val="24"/>
        </w:rPr>
        <w:t>基本规定</w:t>
      </w:r>
      <w:r>
        <w:rPr>
          <w:rFonts w:hint="eastAsia" w:ascii="Times New Roman"/>
          <w:sz w:val="24"/>
          <w:lang w:eastAsia="zh-CN"/>
        </w:rPr>
        <w:t>、</w:t>
      </w:r>
      <w:r>
        <w:rPr>
          <w:rFonts w:ascii="Times New Roman"/>
          <w:color w:val="000000"/>
          <w:sz w:val="24"/>
        </w:rPr>
        <w:t>技术要求</w:t>
      </w:r>
      <w:r>
        <w:rPr>
          <w:rFonts w:hint="eastAsia" w:ascii="Times New Roman"/>
          <w:color w:val="000000"/>
          <w:sz w:val="24"/>
          <w:lang w:eastAsia="zh-CN"/>
        </w:rPr>
        <w:t>、</w:t>
      </w:r>
      <w:r>
        <w:rPr>
          <w:rFonts w:ascii="Times New Roman"/>
          <w:color w:val="000000"/>
          <w:sz w:val="24"/>
        </w:rPr>
        <w:t>原材料</w:t>
      </w:r>
      <w:r>
        <w:rPr>
          <w:rFonts w:hint="eastAsia" w:ascii="Times New Roman"/>
          <w:color w:val="000000"/>
          <w:sz w:val="24"/>
          <w:lang w:eastAsia="zh-CN"/>
        </w:rPr>
        <w:t>、</w:t>
      </w:r>
      <w:r>
        <w:rPr>
          <w:rFonts w:ascii="Times New Roman"/>
          <w:color w:val="000000"/>
          <w:sz w:val="24"/>
        </w:rPr>
        <w:t>配合比设计</w:t>
      </w:r>
      <w:r>
        <w:rPr>
          <w:rFonts w:hint="eastAsia" w:ascii="Times New Roman"/>
          <w:color w:val="000000"/>
          <w:sz w:val="24"/>
          <w:lang w:eastAsia="zh-CN"/>
        </w:rPr>
        <w:t>、</w:t>
      </w:r>
      <w:r>
        <w:rPr>
          <w:rFonts w:ascii="Times New Roman"/>
          <w:color w:val="000000"/>
          <w:sz w:val="24"/>
        </w:rPr>
        <w:t>施工</w:t>
      </w:r>
      <w:r>
        <w:rPr>
          <w:rFonts w:hint="eastAsia" w:ascii="Times New Roman"/>
          <w:color w:val="000000"/>
          <w:sz w:val="24"/>
          <w:lang w:eastAsia="zh-CN"/>
        </w:rPr>
        <w:t>、</w:t>
      </w:r>
      <w:r>
        <w:rPr>
          <w:rFonts w:ascii="Times New Roman"/>
          <w:color w:val="000000"/>
          <w:sz w:val="24"/>
        </w:rPr>
        <w:t>质量检验和验收。</w:t>
      </w:r>
    </w:p>
    <w:p w14:paraId="5D92845A">
      <w:pPr>
        <w:pStyle w:val="28"/>
        <w:tabs>
          <w:tab w:val="center" w:pos="4201"/>
          <w:tab w:val="right" w:leader="dot" w:pos="9298"/>
        </w:tabs>
        <w:spacing w:line="360" w:lineRule="auto"/>
        <w:ind w:firstLine="480"/>
        <w:rPr>
          <w:rFonts w:ascii="Times New Roman"/>
          <w:color w:val="000000"/>
          <w:sz w:val="24"/>
        </w:rPr>
      </w:pPr>
      <w:r>
        <w:rPr>
          <w:rFonts w:ascii="Times New Roman"/>
          <w:color w:val="000000"/>
          <w:sz w:val="24"/>
        </w:rPr>
        <w:t>本规范的某些内容可能直接或间接涉及专利，本规范的发布机构不承担识别这些专利的责任。</w:t>
      </w:r>
    </w:p>
    <w:p w14:paraId="58EC58B2">
      <w:pPr>
        <w:pStyle w:val="28"/>
        <w:tabs>
          <w:tab w:val="center" w:pos="4201"/>
          <w:tab w:val="right" w:leader="dot" w:pos="9298"/>
        </w:tabs>
        <w:spacing w:line="360" w:lineRule="auto"/>
        <w:ind w:firstLine="480"/>
        <w:rPr>
          <w:rFonts w:ascii="Times New Roman"/>
          <w:color w:val="000000"/>
          <w:sz w:val="24"/>
        </w:rPr>
      </w:pPr>
      <w:r>
        <w:rPr>
          <w:rFonts w:ascii="Times New Roman"/>
          <w:color w:val="000000"/>
          <w:sz w:val="24"/>
        </w:rPr>
        <w:t>本规范由中国建筑材料联合会负责管理，由建筑材料工业技术监督研究中心负责具体技术内容的解释。执行过程中如有意见或建议，请寄送至建筑材料工业技术监督研究中心（地址：北京市朝阳区管庄东里甲2号，邮政编码：100024）。</w:t>
      </w:r>
    </w:p>
    <w:p w14:paraId="7E1382FF">
      <w:pPr>
        <w:pStyle w:val="28"/>
        <w:tabs>
          <w:tab w:val="center" w:pos="4201"/>
          <w:tab w:val="right" w:leader="dot" w:pos="9298"/>
        </w:tabs>
        <w:spacing w:line="360" w:lineRule="auto"/>
        <w:ind w:firstLine="482"/>
        <w:rPr>
          <w:rFonts w:ascii="Times New Roman"/>
          <w:color w:val="000000"/>
          <w:sz w:val="24"/>
        </w:rPr>
      </w:pPr>
      <w:r>
        <w:rPr>
          <w:rFonts w:ascii="Times New Roman"/>
          <w:b/>
          <w:bCs/>
          <w:color w:val="000000"/>
          <w:sz w:val="24"/>
        </w:rPr>
        <w:t>主编单位：</w:t>
      </w:r>
      <w:r>
        <w:rPr>
          <w:rFonts w:ascii="Times New Roman"/>
          <w:color w:val="000000"/>
          <w:sz w:val="24"/>
        </w:rPr>
        <w:t xml:space="preserve"> </w:t>
      </w:r>
    </w:p>
    <w:p w14:paraId="4D9564C6">
      <w:pPr>
        <w:pStyle w:val="28"/>
        <w:tabs>
          <w:tab w:val="center" w:pos="4201"/>
          <w:tab w:val="right" w:leader="dot" w:pos="9298"/>
        </w:tabs>
        <w:spacing w:line="360" w:lineRule="auto"/>
        <w:ind w:firstLine="482"/>
        <w:rPr>
          <w:rFonts w:ascii="Times New Roman"/>
          <w:color w:val="000000"/>
          <w:sz w:val="24"/>
        </w:rPr>
      </w:pPr>
      <w:r>
        <w:rPr>
          <w:rFonts w:ascii="Times New Roman"/>
          <w:b/>
          <w:bCs/>
          <w:color w:val="000000"/>
          <w:sz w:val="24"/>
        </w:rPr>
        <w:t>参编单位：</w:t>
      </w:r>
      <w:r>
        <w:rPr>
          <w:rFonts w:ascii="Times New Roman"/>
          <w:color w:val="000000"/>
          <w:sz w:val="24"/>
        </w:rPr>
        <w:t xml:space="preserve"> </w:t>
      </w:r>
    </w:p>
    <w:p w14:paraId="7747EEBF">
      <w:pPr>
        <w:pStyle w:val="28"/>
        <w:tabs>
          <w:tab w:val="center" w:pos="4201"/>
          <w:tab w:val="right" w:leader="dot" w:pos="9298"/>
        </w:tabs>
        <w:spacing w:line="360" w:lineRule="auto"/>
        <w:ind w:firstLine="482"/>
        <w:rPr>
          <w:rFonts w:ascii="Times New Roman"/>
          <w:b/>
          <w:bCs/>
          <w:color w:val="000000"/>
          <w:sz w:val="24"/>
        </w:rPr>
      </w:pPr>
      <w:r>
        <w:rPr>
          <w:rFonts w:ascii="Times New Roman"/>
          <w:b/>
          <w:bCs/>
          <w:color w:val="000000"/>
          <w:sz w:val="24"/>
        </w:rPr>
        <w:t>主要起草人：</w:t>
      </w:r>
    </w:p>
    <w:p w14:paraId="1D9F0808">
      <w:pPr>
        <w:widowControl/>
        <w:jc w:val="left"/>
        <w:sectPr>
          <w:footerReference r:id="rId7" w:type="default"/>
          <w:pgSz w:w="11906" w:h="16838"/>
          <w:pgMar w:top="1440" w:right="1800" w:bottom="1440" w:left="1800" w:header="851" w:footer="992" w:gutter="0"/>
          <w:pgNumType w:fmt="upperRoman"/>
          <w:cols w:space="720" w:num="1"/>
          <w:docGrid w:type="lines" w:linePitch="312" w:charSpace="0"/>
        </w:sectPr>
      </w:pPr>
    </w:p>
    <w:p w14:paraId="2192DCF7">
      <w:pPr>
        <w:pStyle w:val="2"/>
        <w:widowControl w:val="0"/>
        <w:spacing w:before="312" w:beforeLines="100" w:after="312" w:afterLines="100" w:line="240" w:lineRule="auto"/>
        <w:jc w:val="center"/>
        <w:rPr>
          <w:sz w:val="32"/>
          <w:szCs w:val="32"/>
        </w:rPr>
      </w:pPr>
      <w:bookmarkStart w:id="7" w:name="_Toc222865909"/>
      <w:bookmarkStart w:id="8" w:name="_Toc222866253"/>
      <w:bookmarkStart w:id="9" w:name="_Toc22965"/>
      <w:bookmarkStart w:id="10" w:name="_Toc222866049"/>
      <w:r>
        <w:rPr>
          <w:sz w:val="32"/>
          <w:szCs w:val="32"/>
        </w:rPr>
        <w:t>1 总 则</w:t>
      </w:r>
      <w:bookmarkEnd w:id="0"/>
      <w:bookmarkEnd w:id="1"/>
      <w:bookmarkEnd w:id="7"/>
      <w:bookmarkEnd w:id="8"/>
      <w:bookmarkEnd w:id="9"/>
      <w:bookmarkEnd w:id="10"/>
    </w:p>
    <w:p w14:paraId="4E2ACA55">
      <w:pPr>
        <w:spacing w:line="360" w:lineRule="auto"/>
        <w:rPr>
          <w:szCs w:val="21"/>
        </w:rPr>
      </w:pPr>
      <w:r>
        <w:rPr>
          <w:b/>
          <w:bCs/>
          <w:szCs w:val="21"/>
        </w:rPr>
        <w:t>1.0.1</w:t>
      </w:r>
      <w:r>
        <w:rPr>
          <w:szCs w:val="21"/>
        </w:rPr>
        <w:t>为了规范和合理使用混凝土防水剂，提升混凝土工程的防水性能和耐久性能，保证工程质量，做到技术先进、安全耐久、经济合理，制定本规程。</w:t>
      </w:r>
    </w:p>
    <w:p w14:paraId="5AA10A40">
      <w:pPr>
        <w:spacing w:line="360" w:lineRule="auto"/>
        <w:rPr>
          <w:szCs w:val="21"/>
        </w:rPr>
      </w:pPr>
      <w:r>
        <w:rPr>
          <w:b/>
          <w:bCs/>
          <w:szCs w:val="21"/>
        </w:rPr>
        <w:t>1.0.2</w:t>
      </w:r>
      <w:r>
        <w:rPr>
          <w:szCs w:val="21"/>
        </w:rPr>
        <w:t xml:space="preserve"> 本规程适用于掺加混凝土防水剂的混凝土设计、施工和验收。</w:t>
      </w:r>
    </w:p>
    <w:p w14:paraId="6F131E40">
      <w:pPr>
        <w:spacing w:line="360" w:lineRule="auto"/>
        <w:rPr>
          <w:szCs w:val="21"/>
        </w:rPr>
      </w:pPr>
      <w:r>
        <w:rPr>
          <w:b/>
          <w:bCs/>
          <w:szCs w:val="21"/>
        </w:rPr>
        <w:t>1.0.3</w:t>
      </w:r>
      <w:r>
        <w:rPr>
          <w:szCs w:val="21"/>
        </w:rPr>
        <w:t xml:space="preserve"> 掺加混凝土防水剂的应用除应符合本规程外，</w:t>
      </w:r>
      <w:r>
        <w:rPr>
          <w:color w:val="000000" w:themeColor="text1"/>
          <w:szCs w:val="21"/>
          <w14:textFill>
            <w14:solidFill>
              <w14:schemeClr w14:val="tx1"/>
            </w14:solidFill>
          </w14:textFill>
        </w:rPr>
        <w:t>尚应符合国家现行有关标准的规定。</w:t>
      </w:r>
    </w:p>
    <w:p w14:paraId="4B7C77C2">
      <w:pPr>
        <w:spacing w:line="360" w:lineRule="auto"/>
        <w:ind w:firstLine="422" w:firstLineChars="200"/>
        <w:rPr>
          <w:b/>
          <w:color w:val="0070C0"/>
          <w:szCs w:val="21"/>
        </w:rPr>
        <w:sectPr>
          <w:footerReference r:id="rId8" w:type="default"/>
          <w:pgSz w:w="11906" w:h="16838"/>
          <w:pgMar w:top="1418" w:right="1418" w:bottom="1134" w:left="1418" w:header="851" w:footer="992" w:gutter="0"/>
          <w:pgNumType w:start="1"/>
          <w:cols w:space="720" w:num="1"/>
          <w:docGrid w:type="lines" w:linePitch="312" w:charSpace="0"/>
        </w:sectPr>
      </w:pPr>
    </w:p>
    <w:p w14:paraId="010B26B8">
      <w:pPr>
        <w:pStyle w:val="2"/>
        <w:widowControl w:val="0"/>
        <w:spacing w:before="312" w:beforeLines="100" w:after="312" w:afterLines="100" w:line="240" w:lineRule="auto"/>
        <w:jc w:val="center"/>
        <w:rPr>
          <w:sz w:val="32"/>
          <w:szCs w:val="32"/>
        </w:rPr>
      </w:pPr>
      <w:bookmarkStart w:id="11" w:name="_Toc222865910"/>
      <w:bookmarkStart w:id="12" w:name="_Toc117066875"/>
      <w:bookmarkStart w:id="13" w:name="_Toc8282"/>
      <w:bookmarkStart w:id="14" w:name="_Toc222866050"/>
      <w:bookmarkStart w:id="15" w:name="_Toc24497"/>
      <w:bookmarkStart w:id="16" w:name="_Toc222866254"/>
      <w:r>
        <w:rPr>
          <w:sz w:val="32"/>
          <w:szCs w:val="32"/>
        </w:rPr>
        <w:t>2 术 语</w:t>
      </w:r>
      <w:bookmarkEnd w:id="11"/>
      <w:bookmarkEnd w:id="12"/>
      <w:bookmarkEnd w:id="13"/>
      <w:bookmarkEnd w:id="14"/>
      <w:bookmarkEnd w:id="15"/>
      <w:bookmarkEnd w:id="16"/>
    </w:p>
    <w:p w14:paraId="23D92122">
      <w:pPr>
        <w:spacing w:line="360" w:lineRule="auto"/>
        <w:rPr>
          <w:szCs w:val="21"/>
        </w:rPr>
      </w:pPr>
      <w:r>
        <w:rPr>
          <w:b/>
          <w:bCs/>
          <w:szCs w:val="21"/>
        </w:rPr>
        <w:t>2.0.1</w:t>
      </w:r>
      <w:r>
        <w:rPr>
          <w:szCs w:val="21"/>
        </w:rPr>
        <w:t xml:space="preserve"> 混凝土防水剂</w:t>
      </w:r>
      <w:r>
        <w:rPr>
          <w:rFonts w:hint="eastAsia"/>
          <w:szCs w:val="21"/>
        </w:rPr>
        <w:t xml:space="preserve"> water-repellent admixture for concrete</w:t>
      </w:r>
    </w:p>
    <w:p w14:paraId="5BD8E959">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掺入混凝土中能够减少混凝土内部孔隙和堵塞毛细通道，降低混凝土在静水压作用下透水性的外加剂。</w:t>
      </w:r>
    </w:p>
    <w:p w14:paraId="559C0759">
      <w:pPr>
        <w:spacing w:line="360" w:lineRule="auto"/>
        <w:rPr>
          <w:szCs w:val="21"/>
        </w:rPr>
      </w:pPr>
      <w:r>
        <w:rPr>
          <w:b/>
          <w:bCs/>
          <w:szCs w:val="21"/>
        </w:rPr>
        <w:t>2.0.</w:t>
      </w:r>
      <w:r>
        <w:rPr>
          <w:rFonts w:hint="eastAsia"/>
          <w:b/>
          <w:bCs/>
          <w:szCs w:val="21"/>
          <w:lang w:val="en-US" w:eastAsia="zh-CN"/>
        </w:rPr>
        <w:t>2</w:t>
      </w:r>
      <w:r>
        <w:rPr>
          <w:szCs w:val="21"/>
        </w:rPr>
        <w:t xml:space="preserve"> 混凝土防水剂掺量</w:t>
      </w:r>
      <w:r>
        <w:rPr>
          <w:rFonts w:hint="eastAsia"/>
          <w:szCs w:val="21"/>
        </w:rPr>
        <w:t xml:space="preserve"> dosage of water-repellent admixture for concrete</w:t>
      </w:r>
    </w:p>
    <w:p w14:paraId="65C262E2">
      <w:pPr>
        <w:spacing w:line="360" w:lineRule="auto"/>
        <w:ind w:firstLine="420" w:firstLineChars="200"/>
        <w:rPr>
          <w:szCs w:val="21"/>
        </w:rPr>
      </w:pPr>
      <w:r>
        <w:rPr>
          <w:szCs w:val="21"/>
        </w:rPr>
        <w:t>混凝土防水剂质量占胶凝材料质量的百分比。</w:t>
      </w:r>
    </w:p>
    <w:p w14:paraId="5DD2D312">
      <w:pPr>
        <w:rPr>
          <w:szCs w:val="21"/>
        </w:rPr>
      </w:pPr>
      <w:r>
        <w:rPr>
          <w:szCs w:val="21"/>
        </w:rPr>
        <w:br w:type="page"/>
      </w:r>
    </w:p>
    <w:p w14:paraId="7BF84F66">
      <w:pPr>
        <w:pStyle w:val="2"/>
        <w:spacing w:before="312" w:beforeLines="100" w:after="312" w:afterLines="100" w:line="360" w:lineRule="auto"/>
        <w:jc w:val="center"/>
        <w:rPr>
          <w:sz w:val="32"/>
          <w:szCs w:val="32"/>
        </w:rPr>
      </w:pPr>
      <w:bookmarkStart w:id="17" w:name="_Toc222866051"/>
      <w:bookmarkStart w:id="18" w:name="_Toc118291560"/>
      <w:bookmarkStart w:id="19" w:name="_Toc76738691"/>
      <w:bookmarkStart w:id="20" w:name="_Toc222865911"/>
      <w:bookmarkStart w:id="21" w:name="_Toc6276"/>
      <w:bookmarkStart w:id="22" w:name="_Toc222866255"/>
      <w:r>
        <w:rPr>
          <w:sz w:val="32"/>
          <w:szCs w:val="32"/>
        </w:rPr>
        <w:t>3 基本规定</w:t>
      </w:r>
      <w:bookmarkEnd w:id="17"/>
      <w:bookmarkEnd w:id="18"/>
      <w:bookmarkEnd w:id="19"/>
      <w:bookmarkEnd w:id="20"/>
      <w:bookmarkEnd w:id="21"/>
      <w:bookmarkEnd w:id="22"/>
    </w:p>
    <w:p w14:paraId="000AF18C">
      <w:pPr>
        <w:pStyle w:val="8"/>
        <w:spacing w:line="400" w:lineRule="exact"/>
        <w:rPr>
          <w:rFonts w:ascii="Times New Roman" w:hAnsi="Times New Roman" w:cs="Times New Roman"/>
        </w:rPr>
      </w:pPr>
      <w:r>
        <w:rPr>
          <w:rFonts w:ascii="Times New Roman" w:hAnsi="Times New Roman" w:cs="Times New Roman"/>
          <w:b/>
        </w:rPr>
        <w:t>3.0.1</w:t>
      </w:r>
      <w:r>
        <w:rPr>
          <w:rFonts w:ascii="Times New Roman" w:hAnsi="Times New Roman" w:cs="Times New Roman"/>
        </w:rPr>
        <w:t>防水剂宜用于</w:t>
      </w:r>
      <w:bookmarkStart w:id="23" w:name="_Hlk81767789"/>
      <w:r>
        <w:rPr>
          <w:rFonts w:ascii="Times New Roman" w:hAnsi="Times New Roman" w:cs="Times New Roman"/>
        </w:rPr>
        <w:t>有防水要求的地下工程、建筑屋面工程、建筑外墙工程、建筑室内工程以及轨道交通、蓄水池等市政防水工程。</w:t>
      </w:r>
    </w:p>
    <w:p w14:paraId="5B0035C4">
      <w:pPr>
        <w:pStyle w:val="8"/>
        <w:spacing w:line="400" w:lineRule="exact"/>
        <w:rPr>
          <w:rFonts w:ascii="Times New Roman" w:hAnsi="Times New Roman" w:cs="Times New Roman"/>
          <w:b w:val="0"/>
          <w:bCs w:val="0"/>
          <w:color w:val="000000" w:themeColor="text1"/>
          <w:highlight w:val="none"/>
          <w14:textFill>
            <w14:solidFill>
              <w14:schemeClr w14:val="tx1"/>
            </w14:solidFill>
          </w14:textFill>
        </w:rPr>
      </w:pPr>
      <w:r>
        <w:rPr>
          <w:rFonts w:hint="eastAsia" w:ascii="Times New Roman" w:hAnsi="Times New Roman" w:cs="Times New Roman"/>
          <w:b/>
          <w:bCs/>
          <w:color w:val="000000" w:themeColor="text1"/>
          <w:highlight w:val="none"/>
          <w14:textFill>
            <w14:solidFill>
              <w14:schemeClr w14:val="tx1"/>
            </w14:solidFill>
          </w14:textFill>
        </w:rPr>
        <w:t>3.0.</w:t>
      </w:r>
      <w:r>
        <w:rPr>
          <w:rFonts w:hint="eastAsia" w:ascii="Times New Roman" w:hAnsi="Times New Roman" w:cs="Times New Roman"/>
          <w:b/>
          <w:bCs/>
          <w:color w:val="000000" w:themeColor="text1"/>
          <w:highlight w:val="none"/>
          <w:lang w:val="en-US" w:eastAsia="zh-CN"/>
          <w14:textFill>
            <w14:solidFill>
              <w14:schemeClr w14:val="tx1"/>
            </w14:solidFill>
          </w14:textFill>
        </w:rPr>
        <w:t>2</w:t>
      </w:r>
      <w:r>
        <w:rPr>
          <w:rFonts w:hint="eastAsia" w:ascii="Times New Roman" w:hAnsi="Times New Roman" w:cs="Times New Roman"/>
          <w:b w:val="0"/>
          <w:bCs w:val="0"/>
          <w:color w:val="000000" w:themeColor="text1"/>
          <w:highlight w:val="none"/>
          <w14:textFill>
            <w14:solidFill>
              <w14:schemeClr w14:val="tx1"/>
            </w14:solidFill>
          </w14:textFill>
        </w:rPr>
        <w:t xml:space="preserve"> </w:t>
      </w:r>
      <w:r>
        <w:rPr>
          <w:rFonts w:hint="eastAsia" w:ascii="Times New Roman" w:hAnsi="Times New Roman" w:cs="Times New Roman"/>
          <w:b w:val="0"/>
          <w:bCs w:val="0"/>
          <w:color w:val="000000" w:themeColor="text1"/>
          <w:highlight w:val="none"/>
          <w:lang w:val="en-US" w:eastAsia="zh-CN"/>
          <w14:textFill>
            <w14:solidFill>
              <w14:schemeClr w14:val="tx1"/>
            </w14:solidFill>
          </w14:textFill>
        </w:rPr>
        <w:t>掺加防水剂的混凝土</w:t>
      </w:r>
      <w:r>
        <w:rPr>
          <w:rFonts w:hint="eastAsia" w:ascii="Times New Roman" w:hAnsi="Times New Roman" w:cs="Times New Roman"/>
          <w:b w:val="0"/>
          <w:bCs w:val="0"/>
          <w:color w:val="000000" w:themeColor="text1"/>
          <w:highlight w:val="none"/>
          <w14:textFill>
            <w14:solidFill>
              <w14:schemeClr w14:val="tx1"/>
            </w14:solidFill>
          </w14:textFill>
        </w:rPr>
        <w:t>可作为一道防水设防措施。</w:t>
      </w:r>
    </w:p>
    <w:bookmarkEnd w:id="23"/>
    <w:p w14:paraId="3EE13424">
      <w:pPr>
        <w:pStyle w:val="8"/>
        <w:spacing w:line="400" w:lineRule="exact"/>
        <w:rPr>
          <w:rFonts w:ascii="Times New Roman" w:hAnsi="Times New Roman" w:cs="Times New Roman"/>
        </w:rPr>
      </w:pPr>
      <w:r>
        <w:rPr>
          <w:rFonts w:ascii="Times New Roman" w:hAnsi="Times New Roman" w:cs="Times New Roman"/>
          <w:b/>
        </w:rPr>
        <w:t>3.0.</w:t>
      </w:r>
      <w:r>
        <w:rPr>
          <w:rFonts w:hint="eastAsia" w:ascii="Times New Roman" w:hAnsi="Times New Roman" w:cs="Times New Roman"/>
          <w:b/>
          <w:lang w:val="en-US" w:eastAsia="zh-CN"/>
        </w:rPr>
        <w:t>3</w:t>
      </w:r>
      <w:r>
        <w:rPr>
          <w:rFonts w:ascii="Times New Roman" w:hAnsi="Times New Roman" w:cs="Times New Roman"/>
          <w:b/>
        </w:rPr>
        <w:t xml:space="preserve"> </w:t>
      </w:r>
      <w:r>
        <w:rPr>
          <w:rFonts w:ascii="Times New Roman" w:hAnsi="Times New Roman" w:cs="Times New Roman"/>
        </w:rPr>
        <w:t>掺加防水剂的</w:t>
      </w:r>
      <w:r>
        <w:rPr>
          <w:rFonts w:hint="eastAsia" w:ascii="Times New Roman" w:hAnsi="Times New Roman" w:cs="Times New Roman"/>
          <w:lang w:eastAsia="zh-CN"/>
        </w:rPr>
        <w:t>混凝土</w:t>
      </w:r>
      <w:r>
        <w:rPr>
          <w:rFonts w:ascii="Times New Roman" w:hAnsi="Times New Roman" w:cs="Times New Roman"/>
        </w:rPr>
        <w:t>设计应包括抗渗性能、抗裂性能和必要的耐久性能。</w:t>
      </w:r>
    </w:p>
    <w:p w14:paraId="609A3054">
      <w:pPr>
        <w:pStyle w:val="8"/>
        <w:spacing w:line="400" w:lineRule="exact"/>
        <w:rPr>
          <w:rFonts w:ascii="Times New Roman" w:hAnsi="Times New Roman" w:cs="Times New Roman"/>
        </w:rPr>
      </w:pPr>
      <w:r>
        <w:rPr>
          <w:rFonts w:ascii="Times New Roman" w:hAnsi="Times New Roman" w:cs="Times New Roman"/>
          <w:b/>
        </w:rPr>
        <w:t>3.0</w:t>
      </w:r>
      <w:r>
        <w:rPr>
          <w:rFonts w:hint="eastAsia" w:ascii="Times New Roman" w:hAnsi="Times New Roman" w:cs="Times New Roman"/>
          <w:b/>
        </w:rPr>
        <w:t>.</w:t>
      </w:r>
      <w:r>
        <w:rPr>
          <w:rFonts w:hint="eastAsia" w:ascii="Times New Roman" w:hAnsi="Times New Roman" w:cs="Times New Roman"/>
          <w:b/>
          <w:lang w:val="en-US" w:eastAsia="zh-CN"/>
        </w:rPr>
        <w:t>4</w:t>
      </w:r>
      <w:r>
        <w:rPr>
          <w:rFonts w:ascii="Times New Roman" w:hAnsi="Times New Roman" w:cs="Times New Roman"/>
          <w:b/>
        </w:rPr>
        <w:t xml:space="preserve"> </w:t>
      </w:r>
      <w:r>
        <w:rPr>
          <w:rFonts w:ascii="Times New Roman" w:hAnsi="Times New Roman" w:cs="Times New Roman"/>
        </w:rPr>
        <w:t>对于结构最小截面尺寸超过</w:t>
      </w:r>
      <w:r>
        <w:rPr>
          <w:rFonts w:hint="eastAsia" w:ascii="Times New Roman" w:hAnsi="Times New Roman" w:cs="Times New Roman"/>
        </w:rPr>
        <w:t>1000</w:t>
      </w:r>
      <w:r>
        <w:rPr>
          <w:rFonts w:ascii="Times New Roman" w:hAnsi="Times New Roman" w:cs="Times New Roman"/>
        </w:rPr>
        <w:t>mm或预测因水化热容易产生开裂的</w:t>
      </w:r>
      <w:r>
        <w:rPr>
          <w:rFonts w:hint="eastAsia" w:ascii="Times New Roman" w:hAnsi="Times New Roman" w:cs="Times New Roman"/>
          <w:lang w:val="en-US" w:eastAsia="zh-CN"/>
        </w:rPr>
        <w:t>掺加</w:t>
      </w:r>
      <w:r>
        <w:rPr>
          <w:rFonts w:ascii="Times New Roman" w:hAnsi="Times New Roman" w:cs="Times New Roman"/>
        </w:rPr>
        <w:t>防水剂</w:t>
      </w:r>
      <w:r>
        <w:rPr>
          <w:rFonts w:hint="eastAsia" w:ascii="Times New Roman" w:hAnsi="Times New Roman" w:cs="Times New Roman"/>
          <w:lang w:val="en-US" w:eastAsia="zh-CN"/>
        </w:rPr>
        <w:t>的</w:t>
      </w:r>
      <w:r>
        <w:rPr>
          <w:rFonts w:ascii="Times New Roman" w:hAnsi="Times New Roman" w:cs="Times New Roman"/>
        </w:rPr>
        <w:t>混凝土，宜针对性的制定专项技术方案。</w:t>
      </w:r>
    </w:p>
    <w:p w14:paraId="163CF989">
      <w:pPr>
        <w:pStyle w:val="8"/>
        <w:spacing w:line="400" w:lineRule="exact"/>
        <w:rPr>
          <w:rFonts w:ascii="Times New Roman" w:hAnsi="Times New Roman" w:cs="Times New Roman"/>
        </w:rPr>
      </w:pPr>
      <w:r>
        <w:rPr>
          <w:rFonts w:ascii="Times New Roman" w:hAnsi="Times New Roman" w:cs="Times New Roman"/>
          <w:b/>
        </w:rPr>
        <w:t>3.0.</w:t>
      </w:r>
      <w:r>
        <w:rPr>
          <w:rFonts w:hint="eastAsia" w:ascii="Times New Roman" w:hAnsi="Times New Roman" w:cs="Times New Roman"/>
          <w:b/>
          <w:lang w:val="en-US" w:eastAsia="zh-CN"/>
        </w:rPr>
        <w:t>5</w:t>
      </w:r>
      <w:r>
        <w:rPr>
          <w:rFonts w:ascii="Times New Roman" w:hAnsi="Times New Roman" w:cs="Times New Roman"/>
          <w:bCs/>
        </w:rPr>
        <w:t xml:space="preserve"> </w:t>
      </w:r>
      <w:r>
        <w:rPr>
          <w:rFonts w:ascii="Times New Roman" w:hAnsi="Times New Roman" w:cs="Times New Roman"/>
        </w:rPr>
        <w:t>掺加防水剂的混凝土设计和施工过程中宜采取必要措施减少或取消结构缝设置。</w:t>
      </w:r>
    </w:p>
    <w:p w14:paraId="4201D178">
      <w:pPr>
        <w:pStyle w:val="8"/>
        <w:spacing w:line="400" w:lineRule="exact"/>
        <w:rPr>
          <w:rFonts w:ascii="Times New Roman" w:hAnsi="Times New Roman" w:cs="Times New Roman"/>
        </w:rPr>
      </w:pPr>
      <w:r>
        <w:rPr>
          <w:rFonts w:ascii="Times New Roman" w:hAnsi="Times New Roman" w:cs="Times New Roman"/>
          <w:b/>
        </w:rPr>
        <w:t>3.0.</w:t>
      </w:r>
      <w:r>
        <w:rPr>
          <w:rFonts w:hint="eastAsia" w:ascii="Times New Roman" w:hAnsi="Times New Roman" w:cs="Times New Roman"/>
          <w:b/>
          <w:lang w:val="en-US" w:eastAsia="zh-CN"/>
        </w:rPr>
        <w:t>6</w:t>
      </w:r>
      <w:r>
        <w:rPr>
          <w:rFonts w:ascii="Times New Roman" w:hAnsi="Times New Roman" w:cs="Times New Roman"/>
          <w:bCs/>
        </w:rPr>
        <w:t xml:space="preserve"> </w:t>
      </w:r>
      <w:r>
        <w:rPr>
          <w:rFonts w:ascii="Times New Roman" w:hAnsi="Times New Roman" w:cs="Times New Roman"/>
        </w:rPr>
        <w:t>掺加防水剂的混凝土工程中采用新材料、新技术、新工艺时应经过试验验证，其中创新性的技术方法和措施应进行专题评审论证并符合本规范的相关要求。</w:t>
      </w:r>
    </w:p>
    <w:p w14:paraId="2493DE96">
      <w:pPr>
        <w:pStyle w:val="8"/>
        <w:spacing w:line="400" w:lineRule="exact"/>
        <w:rPr>
          <w:rFonts w:ascii="Times New Roman" w:hAnsi="Times New Roman" w:cs="Times New Roman"/>
          <w:b/>
          <w:bCs/>
          <w:color w:val="FF0000"/>
          <w:sz w:val="24"/>
        </w:rPr>
      </w:pPr>
      <w:r>
        <w:rPr>
          <w:rFonts w:ascii="Times New Roman" w:hAnsi="Times New Roman" w:cs="Times New Roman"/>
          <w:b/>
          <w:bCs/>
          <w:color w:val="FF0000"/>
        </w:rPr>
        <w:br w:type="page"/>
      </w:r>
    </w:p>
    <w:p w14:paraId="57CEF982">
      <w:pPr>
        <w:pStyle w:val="2"/>
        <w:spacing w:before="312" w:beforeLines="100" w:after="312" w:afterLines="100" w:line="360" w:lineRule="auto"/>
        <w:jc w:val="center"/>
        <w:rPr>
          <w:sz w:val="32"/>
          <w:szCs w:val="32"/>
        </w:rPr>
      </w:pPr>
      <w:bookmarkStart w:id="24" w:name="_Toc222866052"/>
      <w:bookmarkStart w:id="25" w:name="_Toc222866256"/>
      <w:bookmarkStart w:id="26" w:name="_Toc31721"/>
      <w:bookmarkStart w:id="27" w:name="_Toc222865912"/>
      <w:r>
        <w:rPr>
          <w:sz w:val="32"/>
          <w:szCs w:val="32"/>
        </w:rPr>
        <w:t>4 技术要求</w:t>
      </w:r>
      <w:bookmarkEnd w:id="24"/>
      <w:bookmarkEnd w:id="25"/>
      <w:bookmarkEnd w:id="26"/>
      <w:bookmarkEnd w:id="27"/>
    </w:p>
    <w:p w14:paraId="3A46C1F9">
      <w:pPr>
        <w:pStyle w:val="8"/>
        <w:spacing w:line="360" w:lineRule="auto"/>
        <w:rPr>
          <w:rStyle w:val="32"/>
          <w:rFonts w:ascii="Times New Roman" w:hAnsi="Times New Roman" w:cs="Times New Roman"/>
          <w:bCs/>
        </w:rPr>
      </w:pPr>
      <w:r>
        <w:rPr>
          <w:rStyle w:val="32"/>
          <w:rFonts w:ascii="Times New Roman" w:hAnsi="Times New Roman" w:cs="Times New Roman"/>
          <w:b/>
          <w:bCs/>
        </w:rPr>
        <w:t>4.</w:t>
      </w:r>
      <w:r>
        <w:rPr>
          <w:rStyle w:val="32"/>
          <w:rFonts w:hint="eastAsia" w:ascii="Times New Roman" w:hAnsi="Times New Roman" w:cs="Times New Roman"/>
          <w:b/>
          <w:bCs/>
          <w:lang w:val="en-US" w:eastAsia="zh-CN"/>
        </w:rPr>
        <w:t>0</w:t>
      </w:r>
      <w:r>
        <w:rPr>
          <w:rStyle w:val="32"/>
          <w:rFonts w:ascii="Times New Roman" w:hAnsi="Times New Roman" w:cs="Times New Roman"/>
          <w:b/>
          <w:bCs/>
        </w:rPr>
        <w:t>.1</w:t>
      </w:r>
      <w:r>
        <w:rPr>
          <w:rStyle w:val="32"/>
          <w:rFonts w:ascii="Times New Roman" w:hAnsi="Times New Roman" w:cs="Times New Roman"/>
          <w:bCs/>
        </w:rPr>
        <w:t xml:space="preserve"> 地下工程迎水面主体结构、预制拼装衬砌结构和内部储水区域的结构宜采用</w:t>
      </w:r>
      <w:r>
        <w:rPr>
          <w:rStyle w:val="32"/>
          <w:rFonts w:hint="eastAsia" w:ascii="Times New Roman" w:hAnsi="Times New Roman" w:cs="Times New Roman"/>
          <w:bCs/>
          <w:lang w:val="en-US" w:eastAsia="zh-CN"/>
        </w:rPr>
        <w:t>掺加</w:t>
      </w:r>
      <w:r>
        <w:rPr>
          <w:rStyle w:val="32"/>
          <w:rFonts w:ascii="Times New Roman" w:hAnsi="Times New Roman" w:cs="Times New Roman"/>
          <w:bCs/>
        </w:rPr>
        <w:t>防水剂</w:t>
      </w:r>
      <w:r>
        <w:rPr>
          <w:rStyle w:val="32"/>
          <w:rFonts w:hint="eastAsia" w:ascii="Times New Roman" w:hAnsi="Times New Roman" w:cs="Times New Roman"/>
          <w:bCs/>
          <w:lang w:val="en-US" w:eastAsia="zh-CN"/>
        </w:rPr>
        <w:t>的</w:t>
      </w:r>
      <w:r>
        <w:rPr>
          <w:rStyle w:val="32"/>
          <w:rFonts w:ascii="Times New Roman" w:hAnsi="Times New Roman" w:cs="Times New Roman"/>
          <w:bCs/>
        </w:rPr>
        <w:t xml:space="preserve">混凝土，结构底板、侧墙、顶板厚度均不应小于250mm，变形缝处混凝土结构的厚度不应小于300mm； </w:t>
      </w:r>
    </w:p>
    <w:p w14:paraId="478C4DD1">
      <w:pPr>
        <w:pStyle w:val="8"/>
        <w:spacing w:line="360" w:lineRule="auto"/>
        <w:rPr>
          <w:rFonts w:ascii="Times New Roman" w:hAnsi="Times New Roman" w:cs="Times New Roman"/>
          <w:b/>
          <w:bCs/>
        </w:rPr>
      </w:pPr>
      <w:r>
        <w:rPr>
          <w:rStyle w:val="32"/>
          <w:rFonts w:ascii="Times New Roman" w:hAnsi="Times New Roman" w:cs="Times New Roman"/>
          <w:b/>
          <w:bCs/>
        </w:rPr>
        <w:t>4.</w:t>
      </w:r>
      <w:r>
        <w:rPr>
          <w:rStyle w:val="32"/>
          <w:rFonts w:hint="eastAsia" w:ascii="Times New Roman" w:hAnsi="Times New Roman" w:cs="Times New Roman"/>
          <w:b/>
          <w:bCs/>
          <w:lang w:val="en-US" w:eastAsia="zh-CN"/>
        </w:rPr>
        <w:t>0</w:t>
      </w:r>
      <w:r>
        <w:rPr>
          <w:rStyle w:val="32"/>
          <w:rFonts w:ascii="Times New Roman" w:hAnsi="Times New Roman" w:cs="Times New Roman"/>
          <w:b/>
          <w:bCs/>
        </w:rPr>
        <w:t>.2</w:t>
      </w:r>
      <w:r>
        <w:rPr>
          <w:rStyle w:val="32"/>
          <w:rFonts w:ascii="Times New Roman" w:hAnsi="Times New Roman" w:cs="Times New Roman"/>
        </w:rPr>
        <w:t>掺加防水剂的混凝土强度应符合现行国家标准《混凝土结构设计规范》GB</w:t>
      </w:r>
      <w:r>
        <w:rPr>
          <w:rStyle w:val="32"/>
          <w:rFonts w:hint="eastAsia" w:ascii="Times New Roman" w:hAnsi="Times New Roman" w:cs="Times New Roman"/>
        </w:rPr>
        <w:t>/T</w:t>
      </w:r>
      <w:r>
        <w:rPr>
          <w:rStyle w:val="32"/>
          <w:rFonts w:ascii="Times New Roman" w:hAnsi="Times New Roman" w:cs="Times New Roman"/>
        </w:rPr>
        <w:t xml:space="preserve"> 50010、《建筑与市政工程防水通用规范》GB 55030的规定。</w:t>
      </w:r>
    </w:p>
    <w:p w14:paraId="6C921507">
      <w:pPr>
        <w:pStyle w:val="8"/>
        <w:spacing w:line="360" w:lineRule="auto"/>
        <w:rPr>
          <w:rFonts w:ascii="Times New Roman" w:hAnsi="Times New Roman" w:cs="Times New Roman"/>
          <w:color w:val="000000"/>
        </w:rPr>
      </w:pPr>
      <w:r>
        <w:rPr>
          <w:rStyle w:val="32"/>
          <w:rFonts w:ascii="Times New Roman" w:hAnsi="Times New Roman" w:cs="Times New Roman"/>
          <w:b/>
          <w:bCs/>
        </w:rPr>
        <w:t>4.</w:t>
      </w:r>
      <w:r>
        <w:rPr>
          <w:rStyle w:val="32"/>
          <w:rFonts w:hint="eastAsia" w:ascii="Times New Roman" w:hAnsi="Times New Roman" w:cs="Times New Roman"/>
          <w:b/>
          <w:bCs/>
          <w:lang w:val="en-US" w:eastAsia="zh-CN"/>
        </w:rPr>
        <w:t>0</w:t>
      </w:r>
      <w:r>
        <w:rPr>
          <w:rStyle w:val="32"/>
          <w:rFonts w:ascii="Times New Roman" w:hAnsi="Times New Roman" w:cs="Times New Roman"/>
          <w:b/>
          <w:bCs/>
        </w:rPr>
        <w:t>.3</w:t>
      </w:r>
      <w:r>
        <w:rPr>
          <w:rStyle w:val="32"/>
          <w:rFonts w:ascii="Times New Roman" w:hAnsi="Times New Roman" w:cs="Times New Roman"/>
        </w:rPr>
        <w:t>掺加防水剂的混凝土抗渗性能除应符合</w:t>
      </w:r>
      <w:r>
        <w:rPr>
          <w:rStyle w:val="32"/>
          <w:rFonts w:hint="eastAsia" w:ascii="Times New Roman" w:hAnsi="Times New Roman" w:cs="Times New Roman"/>
          <w:lang w:val="en-US" w:eastAsia="zh-CN"/>
        </w:rPr>
        <w:t>现行</w:t>
      </w:r>
      <w:r>
        <w:rPr>
          <w:rStyle w:val="32"/>
          <w:rFonts w:ascii="Times New Roman" w:hAnsi="Times New Roman" w:cs="Times New Roman"/>
        </w:rPr>
        <w:t>国家标准《建筑与市政工程防水通用规范》GB 55030的要求，还应符合下列规定</w:t>
      </w:r>
      <w:r>
        <w:rPr>
          <w:rFonts w:ascii="Times New Roman" w:hAnsi="Times New Roman" w:cs="Times New Roman"/>
          <w:color w:val="000000"/>
        </w:rPr>
        <w:t>：</w:t>
      </w:r>
    </w:p>
    <w:p w14:paraId="3B3DA009">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w:t>
      </w:r>
      <w:r>
        <w:rPr>
          <w:rStyle w:val="32"/>
          <w:rFonts w:ascii="Times New Roman" w:hAnsi="Times New Roman" w:cs="Times New Roman"/>
          <w:color w:val="000000" w:themeColor="text1"/>
          <w:sz w:val="18"/>
          <w:szCs w:val="18"/>
          <w14:textFill>
            <w14:solidFill>
              <w14:schemeClr w14:val="tx1"/>
            </w14:solidFill>
          </w14:textFill>
        </w:rPr>
        <w:t>表</w:t>
      </w:r>
      <w:r>
        <w:rPr>
          <w:rStyle w:val="32"/>
          <w:rFonts w:hint="default" w:ascii="Times New Roman" w:hAnsi="Times New Roman" w:cs="Times New Roman"/>
          <w:color w:val="000000" w:themeColor="text1"/>
          <w:sz w:val="18"/>
          <w:szCs w:val="18"/>
          <w14:textFill>
            <w14:solidFill>
              <w14:schemeClr w14:val="tx1"/>
            </w14:solidFill>
          </w14:textFill>
        </w:rPr>
        <w:t>4.</w:t>
      </w:r>
      <w:r>
        <w:rPr>
          <w:rStyle w:val="32"/>
          <w:rFonts w:hint="default" w:ascii="Times New Roman" w:hAnsi="Times New Roman" w:cs="Times New Roman"/>
          <w:color w:val="000000" w:themeColor="text1"/>
          <w:sz w:val="18"/>
          <w:szCs w:val="18"/>
          <w:lang w:val="en-US" w:eastAsia="zh-CN"/>
          <w14:textFill>
            <w14:solidFill>
              <w14:schemeClr w14:val="tx1"/>
            </w14:solidFill>
          </w14:textFill>
        </w:rPr>
        <w:t>0</w:t>
      </w:r>
      <w:r>
        <w:rPr>
          <w:rStyle w:val="32"/>
          <w:rFonts w:hint="default" w:ascii="Times New Roman" w:hAnsi="Times New Roman" w:cs="Times New Roman"/>
          <w:color w:val="000000" w:themeColor="text1"/>
          <w:sz w:val="18"/>
          <w:szCs w:val="18"/>
          <w14:textFill>
            <w14:solidFill>
              <w14:schemeClr w14:val="tx1"/>
            </w14:solidFill>
          </w14:textFill>
        </w:rPr>
        <w:t>.3</w:t>
      </w:r>
      <w:r>
        <w:rPr>
          <w:rStyle w:val="32"/>
          <w:rFonts w:ascii="Times New Roman" w:hAnsi="Times New Roman" w:cs="Times New Roman"/>
          <w:color w:val="000000" w:themeColor="text1"/>
          <w:sz w:val="18"/>
          <w:szCs w:val="18"/>
          <w14:textFill>
            <w14:solidFill>
              <w14:schemeClr w14:val="tx1"/>
            </w14:solidFill>
          </w14:textFill>
        </w:rPr>
        <w:t>掺加防水剂的</w:t>
      </w:r>
      <w:r>
        <w:rPr>
          <w:rStyle w:val="32"/>
          <w:rFonts w:hint="eastAsia" w:cs="Times New Roman"/>
          <w:color w:val="000000" w:themeColor="text1"/>
          <w:sz w:val="18"/>
          <w:szCs w:val="18"/>
          <w:lang w:eastAsia="zh-CN"/>
          <w14:textFill>
            <w14:solidFill>
              <w14:schemeClr w14:val="tx1"/>
            </w14:solidFill>
          </w14:textFill>
        </w:rPr>
        <w:t>混凝土</w:t>
      </w:r>
      <w:r>
        <w:rPr>
          <w:rStyle w:val="32"/>
          <w:rFonts w:ascii="Times New Roman" w:hAnsi="Times New Roman" w:cs="Times New Roman"/>
          <w:color w:val="000000" w:themeColor="text1"/>
          <w:sz w:val="18"/>
          <w:szCs w:val="18"/>
          <w14:textFill>
            <w14:solidFill>
              <w14:schemeClr w14:val="tx1"/>
            </w14:solidFill>
          </w14:textFill>
        </w:rPr>
        <w:t>抗渗性能</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9"/>
        <w:gridCol w:w="2850"/>
        <w:gridCol w:w="3681"/>
      </w:tblGrid>
      <w:tr w14:paraId="0CE8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6" w:type="pct"/>
            <w:gridSpan w:val="2"/>
            <w:vAlign w:val="center"/>
          </w:tcPr>
          <w:p w14:paraId="10FD0C1C">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类别</w:t>
            </w:r>
          </w:p>
        </w:tc>
        <w:tc>
          <w:tcPr>
            <w:tcW w:w="1983" w:type="pct"/>
            <w:vAlign w:val="center"/>
          </w:tcPr>
          <w:p w14:paraId="56C63EF3">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抗渗等级</w:t>
            </w:r>
          </w:p>
        </w:tc>
      </w:tr>
      <w:tr w14:paraId="0141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1" w:type="pct"/>
            <w:vMerge w:val="restart"/>
            <w:vAlign w:val="center"/>
          </w:tcPr>
          <w:p w14:paraId="586CEC8B">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工程埋置深度H（m）</w:t>
            </w:r>
          </w:p>
        </w:tc>
        <w:tc>
          <w:tcPr>
            <w:tcW w:w="1535" w:type="pct"/>
            <w:vAlign w:val="center"/>
          </w:tcPr>
          <w:p w14:paraId="65BB67EF">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H＜10</w:t>
            </w:r>
          </w:p>
        </w:tc>
        <w:tc>
          <w:tcPr>
            <w:tcW w:w="1983" w:type="pct"/>
            <w:vAlign w:val="center"/>
          </w:tcPr>
          <w:p w14:paraId="618F3B0D">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≥P8</w:t>
            </w:r>
          </w:p>
        </w:tc>
      </w:tr>
      <w:tr w14:paraId="48FF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1" w:type="pct"/>
            <w:vMerge w:val="continue"/>
            <w:vAlign w:val="center"/>
          </w:tcPr>
          <w:p w14:paraId="47C3CD1A">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p>
        </w:tc>
        <w:tc>
          <w:tcPr>
            <w:tcW w:w="1535" w:type="pct"/>
            <w:vAlign w:val="center"/>
          </w:tcPr>
          <w:p w14:paraId="3DA0319E">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10≤H＜20</w:t>
            </w:r>
          </w:p>
        </w:tc>
        <w:tc>
          <w:tcPr>
            <w:tcW w:w="1983" w:type="pct"/>
            <w:vAlign w:val="center"/>
          </w:tcPr>
          <w:p w14:paraId="459C512A">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≥P10</w:t>
            </w:r>
          </w:p>
        </w:tc>
      </w:tr>
      <w:tr w14:paraId="2BBF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1" w:type="pct"/>
            <w:vMerge w:val="continue"/>
            <w:vAlign w:val="center"/>
          </w:tcPr>
          <w:p w14:paraId="1718B07B">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p>
        </w:tc>
        <w:tc>
          <w:tcPr>
            <w:tcW w:w="1535" w:type="pct"/>
            <w:vAlign w:val="center"/>
          </w:tcPr>
          <w:p w14:paraId="2937215F">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20≤H</w:t>
            </w:r>
          </w:p>
        </w:tc>
        <w:tc>
          <w:tcPr>
            <w:tcW w:w="1983" w:type="pct"/>
            <w:vAlign w:val="center"/>
          </w:tcPr>
          <w:p w14:paraId="43080650">
            <w:pPr>
              <w:keepNext w:val="0"/>
              <w:keepLines w:val="0"/>
              <w:suppressLineNumbers w:val="0"/>
              <w:spacing w:before="0" w:beforeAutospacing="0" w:after="0" w:afterAutospacing="0" w:line="300" w:lineRule="exact"/>
              <w:ind w:left="0" w:right="0"/>
              <w:jc w:val="center"/>
              <w:rPr>
                <w:rFonts w:hint="default"/>
                <w:color w:val="000000" w:themeColor="text1"/>
                <w:sz w:val="18"/>
                <w:szCs w:val="18"/>
                <w14:textFill>
                  <w14:solidFill>
                    <w14:schemeClr w14:val="tx1"/>
                  </w14:solidFill>
                </w14:textFill>
              </w:rPr>
            </w:pPr>
            <w:r>
              <w:rPr>
                <w:rFonts w:hint="default"/>
                <w:color w:val="000000" w:themeColor="text1"/>
                <w:sz w:val="18"/>
                <w:szCs w:val="18"/>
                <w14:textFill>
                  <w14:solidFill>
                    <w14:schemeClr w14:val="tx1"/>
                  </w14:solidFill>
                </w14:textFill>
              </w:rPr>
              <w:t>≥P12</w:t>
            </w:r>
          </w:p>
        </w:tc>
      </w:tr>
    </w:tbl>
    <w:p w14:paraId="61C36913">
      <w:pPr>
        <w:pStyle w:val="8"/>
        <w:spacing w:line="360" w:lineRule="auto"/>
        <w:rPr>
          <w:rFonts w:ascii="Times New Roman" w:hAnsi="Times New Roman" w:cs="Times New Roman"/>
          <w:color w:val="000000"/>
        </w:rPr>
      </w:pPr>
      <w:r>
        <w:rPr>
          <w:rStyle w:val="32"/>
          <w:rFonts w:ascii="Times New Roman" w:hAnsi="Times New Roman" w:cs="Times New Roman"/>
          <w:b/>
          <w:bCs/>
        </w:rPr>
        <w:t>4.</w:t>
      </w:r>
      <w:r>
        <w:rPr>
          <w:rStyle w:val="32"/>
          <w:rFonts w:hint="eastAsia" w:ascii="Times New Roman" w:hAnsi="Times New Roman" w:cs="Times New Roman"/>
          <w:b/>
          <w:bCs/>
          <w:lang w:val="en-US" w:eastAsia="zh-CN"/>
        </w:rPr>
        <w:t>0</w:t>
      </w:r>
      <w:r>
        <w:rPr>
          <w:rStyle w:val="32"/>
          <w:rFonts w:ascii="Times New Roman" w:hAnsi="Times New Roman" w:cs="Times New Roman"/>
          <w:b/>
          <w:bCs/>
        </w:rPr>
        <w:t>.4</w:t>
      </w:r>
      <w:r>
        <w:rPr>
          <w:rStyle w:val="32"/>
          <w:rFonts w:ascii="Times New Roman" w:hAnsi="Times New Roman" w:cs="Times New Roman"/>
        </w:rPr>
        <w:t>掺加防水剂的</w:t>
      </w:r>
      <w:r>
        <w:rPr>
          <w:rStyle w:val="32"/>
          <w:rFonts w:hint="eastAsia" w:ascii="Times New Roman" w:hAnsi="Times New Roman" w:cs="Times New Roman"/>
          <w:lang w:eastAsia="zh-CN"/>
        </w:rPr>
        <w:t>混凝土</w:t>
      </w:r>
      <w:r>
        <w:rPr>
          <w:rStyle w:val="32"/>
          <w:rFonts w:ascii="Times New Roman" w:hAnsi="Times New Roman" w:cs="Times New Roman"/>
        </w:rPr>
        <w:t>抗裂性能应符合下列规定</w:t>
      </w:r>
      <w:r>
        <w:rPr>
          <w:rFonts w:ascii="Times New Roman" w:hAnsi="Times New Roman" w:cs="Times New Roman"/>
          <w:color w:val="000000"/>
        </w:rPr>
        <w:t>：</w:t>
      </w:r>
    </w:p>
    <w:p w14:paraId="20A2EEF9">
      <w:pPr>
        <w:pStyle w:val="8"/>
        <w:spacing w:line="360" w:lineRule="auto"/>
        <w:jc w:val="center"/>
        <w:rPr>
          <w:rFonts w:ascii="Times New Roman" w:hAnsi="Times New Roman" w:cs="Times New Roman"/>
          <w:color w:val="000000"/>
          <w:sz w:val="18"/>
          <w:szCs w:val="18"/>
        </w:rPr>
      </w:pPr>
      <w:r>
        <w:rPr>
          <w:rStyle w:val="32"/>
          <w:rFonts w:ascii="Times New Roman" w:hAnsi="Times New Roman" w:cs="Times New Roman"/>
          <w:sz w:val="18"/>
          <w:szCs w:val="18"/>
        </w:rPr>
        <w:t>表4.</w:t>
      </w:r>
      <w:r>
        <w:rPr>
          <w:rStyle w:val="32"/>
          <w:rFonts w:hint="eastAsia" w:ascii="Times New Roman" w:hAnsi="Times New Roman" w:cs="Times New Roman"/>
          <w:sz w:val="18"/>
          <w:szCs w:val="18"/>
          <w:lang w:val="en-US" w:eastAsia="zh-CN"/>
        </w:rPr>
        <w:t>0</w:t>
      </w:r>
      <w:r>
        <w:rPr>
          <w:rStyle w:val="32"/>
          <w:rFonts w:ascii="Times New Roman" w:hAnsi="Times New Roman" w:cs="Times New Roman"/>
          <w:sz w:val="18"/>
          <w:szCs w:val="18"/>
        </w:rPr>
        <w:t>.4 掺加防水剂的</w:t>
      </w:r>
      <w:r>
        <w:rPr>
          <w:rStyle w:val="32"/>
          <w:rFonts w:hint="eastAsia" w:ascii="Times New Roman" w:hAnsi="Times New Roman" w:cs="Times New Roman"/>
          <w:sz w:val="18"/>
          <w:szCs w:val="18"/>
          <w:lang w:eastAsia="zh-CN"/>
        </w:rPr>
        <w:t>混凝土</w:t>
      </w:r>
      <w:r>
        <w:rPr>
          <w:rStyle w:val="32"/>
          <w:rFonts w:ascii="Times New Roman" w:hAnsi="Times New Roman" w:cs="Times New Roman"/>
          <w:sz w:val="18"/>
          <w:szCs w:val="18"/>
        </w:rPr>
        <w:t>抗裂性能</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1323"/>
        <w:gridCol w:w="1800"/>
        <w:gridCol w:w="1745"/>
        <w:gridCol w:w="2462"/>
      </w:tblGrid>
      <w:tr w14:paraId="79DAE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pct"/>
            <w:vAlign w:val="center"/>
          </w:tcPr>
          <w:p w14:paraId="25B67D9B">
            <w:pPr>
              <w:keepNext w:val="0"/>
              <w:keepLines w:val="0"/>
              <w:suppressLineNumbers w:val="0"/>
              <w:spacing w:before="0" w:beforeAutospacing="0" w:after="0" w:afterAutospacing="0"/>
              <w:ind w:left="0" w:right="0"/>
              <w:jc w:val="center"/>
              <w:rPr>
                <w:rFonts w:hint="default"/>
                <w:sz w:val="18"/>
                <w:szCs w:val="18"/>
              </w:rPr>
            </w:pPr>
            <w:bookmarkStart w:id="28" w:name="_Hlk175780155"/>
            <w:r>
              <w:rPr>
                <w:rFonts w:hint="default"/>
                <w:sz w:val="18"/>
                <w:szCs w:val="18"/>
              </w:rPr>
              <w:t>结构最小截面尺寸d</w:t>
            </w:r>
          </w:p>
        </w:tc>
        <w:tc>
          <w:tcPr>
            <w:tcW w:w="712" w:type="pct"/>
            <w:vAlign w:val="center"/>
          </w:tcPr>
          <w:p w14:paraId="64FD7128">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强度等级</w:t>
            </w:r>
          </w:p>
        </w:tc>
        <w:tc>
          <w:tcPr>
            <w:tcW w:w="969" w:type="pct"/>
            <w:vAlign w:val="center"/>
          </w:tcPr>
          <w:p w14:paraId="69EB012B">
            <w:pPr>
              <w:pStyle w:val="8"/>
              <w:keepNext w:val="0"/>
              <w:keepLines w:val="0"/>
              <w:suppressLineNumbers w:val="0"/>
              <w:spacing w:before="0" w:beforeAutospacing="0" w:after="0" w:afterAutospacing="0"/>
              <w:ind w:left="0" w:right="0"/>
              <w:jc w:val="center"/>
              <w:rPr>
                <w:rStyle w:val="32"/>
                <w:rFonts w:hint="default" w:ascii="Times New Roman" w:hAnsi="Times New Roman" w:cs="Times New Roman"/>
                <w:sz w:val="18"/>
                <w:szCs w:val="18"/>
              </w:rPr>
            </w:pPr>
            <w:r>
              <w:rPr>
                <w:rStyle w:val="32"/>
                <w:rFonts w:hint="default" w:ascii="Times New Roman" w:hAnsi="Times New Roman" w:cs="Times New Roman"/>
                <w:sz w:val="18"/>
                <w:szCs w:val="18"/>
              </w:rPr>
              <w:t>早期开裂面积</w:t>
            </w:r>
          </w:p>
          <w:p w14:paraId="7798AF33">
            <w:pPr>
              <w:pStyle w:val="8"/>
              <w:keepNext w:val="0"/>
              <w:keepLines w:val="0"/>
              <w:suppressLineNumbers w:val="0"/>
              <w:spacing w:before="0" w:beforeAutospacing="0" w:after="0" w:afterAutospacing="0"/>
              <w:ind w:left="0" w:right="0"/>
              <w:jc w:val="center"/>
              <w:rPr>
                <w:rStyle w:val="32"/>
                <w:rFonts w:hint="default" w:ascii="Times New Roman" w:hAnsi="Times New Roman" w:cs="Times New Roman"/>
                <w:sz w:val="18"/>
                <w:szCs w:val="18"/>
              </w:rPr>
            </w:pPr>
            <w:r>
              <w:rPr>
                <w:rStyle w:val="32"/>
                <w:rFonts w:hint="default" w:ascii="Times New Roman" w:hAnsi="Times New Roman" w:cs="Times New Roman"/>
                <w:sz w:val="18"/>
                <w:szCs w:val="18"/>
              </w:rPr>
              <w:t>（mm</w:t>
            </w:r>
            <w:r>
              <w:rPr>
                <w:rStyle w:val="32"/>
                <w:rFonts w:hint="default" w:ascii="Times New Roman" w:hAnsi="Times New Roman" w:cs="Times New Roman"/>
                <w:sz w:val="18"/>
                <w:szCs w:val="18"/>
                <w:vertAlign w:val="superscript"/>
              </w:rPr>
              <w:t>2</w:t>
            </w:r>
            <w:r>
              <w:rPr>
                <w:rStyle w:val="32"/>
                <w:rFonts w:hint="default" w:ascii="Times New Roman" w:hAnsi="Times New Roman" w:cs="Times New Roman"/>
                <w:sz w:val="18"/>
                <w:szCs w:val="18"/>
              </w:rPr>
              <w:t>/m</w:t>
            </w:r>
            <w:r>
              <w:rPr>
                <w:rStyle w:val="32"/>
                <w:rFonts w:hint="default" w:ascii="Times New Roman" w:hAnsi="Times New Roman" w:cs="Times New Roman"/>
                <w:sz w:val="18"/>
                <w:szCs w:val="18"/>
                <w:vertAlign w:val="superscript"/>
              </w:rPr>
              <w:t>2</w:t>
            </w:r>
            <w:r>
              <w:rPr>
                <w:rStyle w:val="32"/>
                <w:rFonts w:hint="default" w:ascii="Times New Roman" w:hAnsi="Times New Roman" w:cs="Times New Roman"/>
                <w:sz w:val="18"/>
                <w:szCs w:val="18"/>
              </w:rPr>
              <w:t>）</w:t>
            </w:r>
          </w:p>
        </w:tc>
        <w:tc>
          <w:tcPr>
            <w:tcW w:w="939" w:type="pct"/>
            <w:vAlign w:val="center"/>
          </w:tcPr>
          <w:p w14:paraId="37863CE7">
            <w:pPr>
              <w:pStyle w:val="8"/>
              <w:keepNext w:val="0"/>
              <w:keepLines w:val="0"/>
              <w:suppressLineNumbers w:val="0"/>
              <w:spacing w:before="0" w:beforeAutospacing="0" w:after="0" w:afterAutospacing="0"/>
              <w:ind w:left="0" w:right="0"/>
              <w:jc w:val="center"/>
              <w:rPr>
                <w:rFonts w:hint="default" w:ascii="Times New Roman" w:hAnsi="Times New Roman" w:cs="Times New Roman"/>
                <w:sz w:val="18"/>
                <w:szCs w:val="18"/>
              </w:rPr>
            </w:pPr>
            <w:r>
              <w:rPr>
                <w:rStyle w:val="32"/>
                <w:rFonts w:hint="default" w:ascii="Times New Roman" w:hAnsi="Times New Roman" w:cs="Times New Roman"/>
                <w:sz w:val="18"/>
                <w:szCs w:val="18"/>
              </w:rPr>
              <w:t>温升值（℃）</w:t>
            </w:r>
          </w:p>
        </w:tc>
        <w:tc>
          <w:tcPr>
            <w:tcW w:w="1325" w:type="pct"/>
            <w:vAlign w:val="center"/>
          </w:tcPr>
          <w:p w14:paraId="33DB29AF">
            <w:pPr>
              <w:keepNext w:val="0"/>
              <w:keepLines w:val="0"/>
              <w:suppressLineNumbers w:val="0"/>
              <w:spacing w:before="0" w:beforeAutospacing="0" w:after="0" w:afterAutospacing="0"/>
              <w:ind w:left="0" w:right="0"/>
              <w:jc w:val="center"/>
              <w:rPr>
                <w:rFonts w:hint="default"/>
                <w:sz w:val="18"/>
                <w:szCs w:val="18"/>
              </w:rPr>
            </w:pPr>
            <w:r>
              <w:rPr>
                <w:rFonts w:hint="default"/>
                <w:color w:val="000000" w:themeColor="text1"/>
                <w:sz w:val="18"/>
                <w:szCs w:val="18"/>
                <w14:textFill>
                  <w14:solidFill>
                    <w14:schemeClr w14:val="tx1"/>
                  </w14:solidFill>
                </w14:textFill>
              </w:rPr>
              <w:t>56d干燥收缩率（</w:t>
            </w:r>
            <w:r>
              <w:rPr>
                <w:rFonts w:hint="eastAsia"/>
                <w:color w:val="000000" w:themeColor="text1"/>
                <w:sz w:val="18"/>
                <w:szCs w:val="18"/>
                <w:lang w:val="en-US" w:eastAsia="zh-CN"/>
                <w14:textFill>
                  <w14:solidFill>
                    <w14:schemeClr w14:val="tx1"/>
                  </w14:solidFill>
                </w14:textFill>
              </w:rPr>
              <w:t>×</w:t>
            </w:r>
            <w:r>
              <w:rPr>
                <w:rFonts w:hint="default"/>
                <w:color w:val="000000" w:themeColor="text1"/>
                <w:sz w:val="18"/>
                <w:szCs w:val="18"/>
                <w14:textFill>
                  <w14:solidFill>
                    <w14:schemeClr w14:val="tx1"/>
                  </w14:solidFill>
                </w14:textFill>
              </w:rPr>
              <w:t>10</w:t>
            </w:r>
            <w:r>
              <w:rPr>
                <w:rFonts w:hint="default"/>
                <w:color w:val="000000" w:themeColor="text1"/>
                <w:sz w:val="18"/>
                <w:szCs w:val="18"/>
                <w:vertAlign w:val="superscript"/>
                <w14:textFill>
                  <w14:solidFill>
                    <w14:schemeClr w14:val="tx1"/>
                  </w14:solidFill>
                </w14:textFill>
              </w:rPr>
              <w:t>-6</w:t>
            </w:r>
            <w:r>
              <w:rPr>
                <w:rFonts w:hint="default"/>
                <w:color w:val="000000" w:themeColor="text1"/>
                <w:sz w:val="18"/>
                <w:szCs w:val="18"/>
                <w14:textFill>
                  <w14:solidFill>
                    <w14:schemeClr w14:val="tx1"/>
                  </w14:solidFill>
                </w14:textFill>
              </w:rPr>
              <w:t>）</w:t>
            </w:r>
          </w:p>
        </w:tc>
      </w:tr>
      <w:tr w14:paraId="3527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pct"/>
            <w:vAlign w:val="center"/>
          </w:tcPr>
          <w:p w14:paraId="5E09083E">
            <w:pPr>
              <w:keepNext w:val="0"/>
              <w:keepLines w:val="0"/>
              <w:suppressLineNumbers w:val="0"/>
              <w:spacing w:before="0" w:beforeAutospacing="0" w:after="0" w:afterAutospacing="0"/>
              <w:ind w:left="0" w:right="0"/>
              <w:jc w:val="center"/>
              <w:rPr>
                <w:rFonts w:hint="default"/>
                <w:sz w:val="18"/>
                <w:szCs w:val="18"/>
              </w:rPr>
            </w:pPr>
            <w:r>
              <w:rPr>
                <w:rStyle w:val="32"/>
                <w:rFonts w:hint="eastAsia" w:cs="Times New Roman"/>
                <w:sz w:val="18"/>
                <w:szCs w:val="18"/>
                <w:lang w:val="en-US" w:eastAsia="zh-CN"/>
              </w:rPr>
              <w:t>≤</w:t>
            </w:r>
            <w:r>
              <w:rPr>
                <w:rStyle w:val="32"/>
                <w:rFonts w:hint="default" w:ascii="Times New Roman" w:hAnsi="Times New Roman" w:cs="Times New Roman"/>
                <w:sz w:val="18"/>
                <w:szCs w:val="18"/>
              </w:rPr>
              <w:t>2</w:t>
            </w:r>
            <w:r>
              <w:rPr>
                <w:rStyle w:val="32"/>
                <w:rFonts w:hint="eastAsia" w:cs="Times New Roman"/>
                <w:sz w:val="18"/>
                <w:szCs w:val="18"/>
              </w:rPr>
              <w:t>5</w:t>
            </w:r>
            <w:r>
              <w:rPr>
                <w:rStyle w:val="32"/>
                <w:rFonts w:hint="default" w:ascii="Times New Roman" w:hAnsi="Times New Roman" w:cs="Times New Roman"/>
                <w:sz w:val="18"/>
                <w:szCs w:val="18"/>
              </w:rPr>
              <w:t>0mm</w:t>
            </w:r>
          </w:p>
        </w:tc>
        <w:tc>
          <w:tcPr>
            <w:tcW w:w="712" w:type="pct"/>
            <w:vAlign w:val="center"/>
          </w:tcPr>
          <w:p w14:paraId="1B8E17E7">
            <w:pPr>
              <w:keepNext w:val="0"/>
              <w:keepLines w:val="0"/>
              <w:suppressLineNumbers w:val="0"/>
              <w:spacing w:before="0" w:beforeAutospacing="0" w:after="0" w:afterAutospacing="0"/>
              <w:ind w:left="0" w:right="0"/>
              <w:jc w:val="center"/>
              <w:rPr>
                <w:rStyle w:val="32"/>
                <w:rFonts w:hint="default" w:ascii="Times New Roman" w:hAnsi="Times New Roman" w:cs="Times New Roman"/>
                <w:sz w:val="18"/>
                <w:szCs w:val="18"/>
              </w:rPr>
            </w:pPr>
            <w:r>
              <w:rPr>
                <w:rFonts w:hint="eastAsia" w:ascii="Times New Roman" w:hAnsi="Times New Roman" w:eastAsia="宋体" w:cs="Times New Roman"/>
                <w:color w:val="auto"/>
                <w:kern w:val="2"/>
                <w:sz w:val="21"/>
                <w:szCs w:val="21"/>
                <w:lang w:val="en-US" w:eastAsia="zh-CN" w:bidi="ar"/>
              </w:rPr>
              <w:t>－</w:t>
            </w:r>
          </w:p>
        </w:tc>
        <w:tc>
          <w:tcPr>
            <w:tcW w:w="969" w:type="pct"/>
            <w:vAlign w:val="center"/>
          </w:tcPr>
          <w:p w14:paraId="3537C98B">
            <w:pPr>
              <w:pStyle w:val="8"/>
              <w:keepNext w:val="0"/>
              <w:keepLines w:val="0"/>
              <w:suppressLineNumbers w:val="0"/>
              <w:spacing w:before="0" w:beforeAutospacing="0" w:after="0" w:afterAutospacing="0"/>
              <w:ind w:left="0" w:right="0"/>
              <w:jc w:val="center"/>
              <w:rPr>
                <w:rStyle w:val="32"/>
                <w:rFonts w:hint="default" w:ascii="Times New Roman" w:hAnsi="Times New Roman" w:cs="Times New Roman"/>
                <w:sz w:val="18"/>
                <w:szCs w:val="18"/>
              </w:rPr>
            </w:pPr>
            <w:r>
              <w:rPr>
                <w:rStyle w:val="32"/>
                <w:rFonts w:hint="eastAsia" w:ascii="Times New Roman" w:hAnsi="Times New Roman" w:cs="Times New Roman"/>
                <w:sz w:val="18"/>
                <w:szCs w:val="18"/>
                <w:lang w:val="en-US" w:eastAsia="zh-CN"/>
              </w:rPr>
              <w:t>≤</w:t>
            </w:r>
            <w:r>
              <w:rPr>
                <w:rStyle w:val="32"/>
                <w:rFonts w:hint="default" w:ascii="Times New Roman" w:hAnsi="Times New Roman" w:cs="Times New Roman"/>
                <w:sz w:val="18"/>
                <w:szCs w:val="18"/>
              </w:rPr>
              <w:t>400</w:t>
            </w:r>
          </w:p>
        </w:tc>
        <w:tc>
          <w:tcPr>
            <w:tcW w:w="1745" w:type="dxa"/>
            <w:vAlign w:val="center"/>
          </w:tcPr>
          <w:p w14:paraId="383B9E0E">
            <w:pPr>
              <w:pStyle w:val="15"/>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sz w:val="18"/>
                <w:szCs w:val="18"/>
              </w:rPr>
            </w:pPr>
            <w:r>
              <w:rPr>
                <w:rFonts w:hint="eastAsia" w:ascii="Times New Roman" w:hAnsi="Times New Roman" w:eastAsia="宋体" w:cs="Times New Roman"/>
                <w:color w:val="auto"/>
                <w:kern w:val="2"/>
                <w:sz w:val="21"/>
                <w:szCs w:val="21"/>
                <w:lang w:val="en-US" w:eastAsia="zh-CN" w:bidi="ar"/>
              </w:rPr>
              <w:t>－</w:t>
            </w:r>
          </w:p>
        </w:tc>
        <w:tc>
          <w:tcPr>
            <w:tcW w:w="1325" w:type="pct"/>
            <w:vMerge w:val="restart"/>
            <w:vAlign w:val="center"/>
          </w:tcPr>
          <w:p w14:paraId="622B60A4">
            <w:pPr>
              <w:keepNext w:val="0"/>
              <w:keepLines w:val="0"/>
              <w:suppressLineNumbers w:val="0"/>
              <w:spacing w:before="0" w:beforeAutospacing="0" w:after="0" w:afterAutospacing="0"/>
              <w:ind w:left="0" w:right="0"/>
              <w:jc w:val="center"/>
              <w:rPr>
                <w:rStyle w:val="32"/>
                <w:rFonts w:hint="default" w:ascii="Times New Roman" w:hAnsi="Times New Roman" w:cs="Times New Roman"/>
                <w:sz w:val="18"/>
                <w:szCs w:val="18"/>
              </w:rPr>
            </w:pPr>
            <w:r>
              <w:rPr>
                <w:rStyle w:val="32"/>
                <w:rFonts w:hint="eastAsia" w:ascii="Times New Roman" w:hAnsi="Times New Roman" w:cs="Times New Roman"/>
                <w:sz w:val="18"/>
                <w:szCs w:val="18"/>
                <w:lang w:val="en-US" w:eastAsia="zh-CN"/>
              </w:rPr>
              <w:t>≤</w:t>
            </w:r>
            <w:r>
              <w:rPr>
                <w:rStyle w:val="32"/>
                <w:rFonts w:hint="default" w:ascii="Times New Roman" w:hAnsi="Times New Roman" w:cs="Times New Roman"/>
                <w:sz w:val="18"/>
                <w:szCs w:val="18"/>
              </w:rPr>
              <w:t>400</w:t>
            </w:r>
          </w:p>
        </w:tc>
      </w:tr>
      <w:tr w14:paraId="66BE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pct"/>
            <w:vMerge w:val="restart"/>
            <w:vAlign w:val="center"/>
          </w:tcPr>
          <w:p w14:paraId="42ABF2B2">
            <w:pPr>
              <w:keepNext w:val="0"/>
              <w:keepLines w:val="0"/>
              <w:suppressLineNumbers w:val="0"/>
              <w:spacing w:before="0" w:beforeAutospacing="0" w:after="0" w:afterAutospacing="0"/>
              <w:ind w:left="0" w:right="0"/>
              <w:jc w:val="center"/>
              <w:rPr>
                <w:rFonts w:hint="default"/>
                <w:sz w:val="18"/>
                <w:szCs w:val="18"/>
              </w:rPr>
            </w:pPr>
            <w:r>
              <w:rPr>
                <w:rStyle w:val="32"/>
                <w:rFonts w:hint="default" w:ascii="Times New Roman" w:hAnsi="Times New Roman" w:cs="Times New Roman"/>
                <w:sz w:val="18"/>
                <w:szCs w:val="18"/>
              </w:rPr>
              <w:t>2</w:t>
            </w:r>
            <w:r>
              <w:rPr>
                <w:rStyle w:val="32"/>
                <w:rFonts w:hint="eastAsia" w:cs="Times New Roman"/>
                <w:sz w:val="18"/>
                <w:szCs w:val="18"/>
              </w:rPr>
              <w:t>5</w:t>
            </w:r>
            <w:r>
              <w:rPr>
                <w:rStyle w:val="32"/>
                <w:rFonts w:hint="default" w:ascii="Times New Roman" w:hAnsi="Times New Roman" w:cs="Times New Roman"/>
                <w:sz w:val="18"/>
                <w:szCs w:val="18"/>
              </w:rPr>
              <w:t>0mm＜d</w:t>
            </w:r>
            <w:r>
              <w:rPr>
                <w:rStyle w:val="32"/>
                <w:rFonts w:hint="eastAsia" w:cs="Times New Roman"/>
                <w:sz w:val="18"/>
                <w:szCs w:val="18"/>
                <w:lang w:val="en-US" w:eastAsia="zh-CN"/>
              </w:rPr>
              <w:t>≤</w:t>
            </w:r>
            <w:r>
              <w:rPr>
                <w:rStyle w:val="32"/>
                <w:rFonts w:hint="eastAsia" w:cs="Times New Roman"/>
                <w:sz w:val="18"/>
                <w:szCs w:val="18"/>
              </w:rPr>
              <w:t>10</w:t>
            </w:r>
            <w:r>
              <w:rPr>
                <w:rFonts w:hint="default"/>
                <w:sz w:val="18"/>
                <w:szCs w:val="18"/>
              </w:rPr>
              <w:t>00mm</w:t>
            </w:r>
          </w:p>
        </w:tc>
        <w:tc>
          <w:tcPr>
            <w:tcW w:w="712" w:type="pct"/>
            <w:vAlign w:val="center"/>
          </w:tcPr>
          <w:p w14:paraId="598A651D">
            <w:pPr>
              <w:keepNext w:val="0"/>
              <w:keepLines w:val="0"/>
              <w:suppressLineNumbers w:val="0"/>
              <w:spacing w:before="0" w:beforeAutospacing="0" w:after="0" w:afterAutospacing="0"/>
              <w:ind w:left="0" w:right="0"/>
              <w:jc w:val="center"/>
              <w:rPr>
                <w:rFonts w:hint="default"/>
                <w:sz w:val="18"/>
                <w:szCs w:val="18"/>
              </w:rPr>
            </w:pPr>
            <w:r>
              <w:rPr>
                <w:rStyle w:val="32"/>
                <w:rFonts w:hint="default" w:ascii="Times New Roman" w:hAnsi="Times New Roman" w:cs="Times New Roman"/>
                <w:sz w:val="18"/>
                <w:szCs w:val="18"/>
              </w:rPr>
              <w:t>＜C40</w:t>
            </w:r>
          </w:p>
        </w:tc>
        <w:tc>
          <w:tcPr>
            <w:tcW w:w="1800" w:type="dxa"/>
            <w:vAlign w:val="center"/>
          </w:tcPr>
          <w:p w14:paraId="2D55EA32">
            <w:pPr>
              <w:pStyle w:val="15"/>
              <w:keepNext w:val="0"/>
              <w:keepLines w:val="0"/>
              <w:widowControl w:val="0"/>
              <w:suppressLineNumbers w:val="0"/>
              <w:spacing w:before="0" w:beforeAutospacing="0" w:after="0" w:afterAutospacing="0"/>
              <w:ind w:left="0" w:leftChars="0" w:right="0" w:rightChars="0"/>
              <w:jc w:val="center"/>
              <w:rPr>
                <w:rStyle w:val="32"/>
                <w:rFonts w:hint="eastAsia" w:ascii="宋体" w:hAnsi="宋体" w:eastAsia="宋体" w:cs="宋体"/>
                <w:sz w:val="18"/>
                <w:szCs w:val="18"/>
                <w:lang w:val="en-US" w:eastAsia="zh-CN"/>
              </w:rPr>
            </w:pPr>
            <w:r>
              <w:rPr>
                <w:rFonts w:hint="eastAsia" w:ascii="Times New Roman" w:hAnsi="Times New Roman" w:eastAsia="宋体" w:cs="Times New Roman"/>
                <w:color w:val="auto"/>
                <w:kern w:val="2"/>
                <w:sz w:val="21"/>
                <w:szCs w:val="21"/>
                <w:lang w:val="en-US" w:eastAsia="zh-CN" w:bidi="ar"/>
              </w:rPr>
              <w:t>－</w:t>
            </w:r>
          </w:p>
        </w:tc>
        <w:tc>
          <w:tcPr>
            <w:tcW w:w="1745" w:type="dxa"/>
            <w:vAlign w:val="top"/>
          </w:tcPr>
          <w:p w14:paraId="54063FC7">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sz w:val="18"/>
                <w:szCs w:val="18"/>
              </w:rPr>
            </w:pPr>
            <w:r>
              <w:rPr>
                <w:rFonts w:hint="eastAsia" w:ascii="宋体" w:hAnsi="Courier New" w:eastAsia="宋体" w:cs="宋体"/>
                <w:color w:val="000000"/>
                <w:kern w:val="2"/>
                <w:sz w:val="21"/>
                <w:szCs w:val="21"/>
                <w:lang w:val="en-US" w:eastAsia="zh-CN" w:bidi="ar"/>
              </w:rPr>
              <w:t>－</w:t>
            </w:r>
          </w:p>
        </w:tc>
        <w:tc>
          <w:tcPr>
            <w:tcW w:w="1325" w:type="pct"/>
            <w:vMerge w:val="continue"/>
            <w:vAlign w:val="center"/>
          </w:tcPr>
          <w:p w14:paraId="0EC9974D">
            <w:pPr>
              <w:keepNext w:val="0"/>
              <w:keepLines w:val="0"/>
              <w:suppressLineNumbers w:val="0"/>
              <w:spacing w:before="0" w:beforeAutospacing="0" w:after="0" w:afterAutospacing="0"/>
              <w:ind w:left="0" w:right="0"/>
              <w:jc w:val="center"/>
              <w:rPr>
                <w:rFonts w:hint="default"/>
                <w:sz w:val="18"/>
                <w:szCs w:val="18"/>
              </w:rPr>
            </w:pPr>
          </w:p>
        </w:tc>
      </w:tr>
      <w:tr w14:paraId="3C510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pct"/>
            <w:vMerge w:val="continue"/>
            <w:vAlign w:val="center"/>
          </w:tcPr>
          <w:p w14:paraId="291B1EA7">
            <w:pPr>
              <w:keepNext w:val="0"/>
              <w:keepLines w:val="0"/>
              <w:suppressLineNumbers w:val="0"/>
              <w:spacing w:before="0" w:beforeAutospacing="0" w:after="0" w:afterAutospacing="0"/>
              <w:ind w:left="0" w:right="0"/>
              <w:jc w:val="center"/>
              <w:rPr>
                <w:rFonts w:hint="default"/>
                <w:sz w:val="18"/>
                <w:szCs w:val="18"/>
              </w:rPr>
            </w:pPr>
          </w:p>
        </w:tc>
        <w:tc>
          <w:tcPr>
            <w:tcW w:w="712" w:type="pct"/>
            <w:vAlign w:val="center"/>
          </w:tcPr>
          <w:p w14:paraId="1073BD5E">
            <w:pPr>
              <w:keepNext w:val="0"/>
              <w:keepLines w:val="0"/>
              <w:suppressLineNumbers w:val="0"/>
              <w:spacing w:before="0" w:beforeAutospacing="0" w:after="0" w:afterAutospacing="0"/>
              <w:ind w:left="0" w:right="0"/>
              <w:jc w:val="center"/>
              <w:rPr>
                <w:rFonts w:hint="default"/>
                <w:sz w:val="18"/>
                <w:szCs w:val="18"/>
              </w:rPr>
            </w:pPr>
            <w:r>
              <w:rPr>
                <w:rStyle w:val="32"/>
                <w:rFonts w:hint="eastAsia" w:cs="Times New Roman"/>
                <w:sz w:val="18"/>
                <w:szCs w:val="18"/>
                <w:lang w:val="en-US" w:eastAsia="zh-CN"/>
              </w:rPr>
              <w:t>≥</w:t>
            </w:r>
            <w:r>
              <w:rPr>
                <w:rStyle w:val="32"/>
                <w:rFonts w:hint="default" w:ascii="Times New Roman" w:hAnsi="Times New Roman" w:cs="Times New Roman"/>
                <w:sz w:val="18"/>
                <w:szCs w:val="18"/>
              </w:rPr>
              <w:t>C40</w:t>
            </w:r>
          </w:p>
        </w:tc>
        <w:tc>
          <w:tcPr>
            <w:tcW w:w="1800" w:type="dxa"/>
            <w:vAlign w:val="top"/>
          </w:tcPr>
          <w:p w14:paraId="43348AAD">
            <w:pPr>
              <w:keepNext w:val="0"/>
              <w:keepLines w:val="0"/>
              <w:widowControl w:val="0"/>
              <w:suppressLineNumbers w:val="0"/>
              <w:spacing w:before="0" w:beforeAutospacing="0" w:after="0" w:afterAutospacing="0"/>
              <w:ind w:left="0" w:leftChars="0" w:right="0" w:rightChars="0"/>
              <w:jc w:val="center"/>
              <w:rPr>
                <w:rStyle w:val="32"/>
                <w:rFonts w:hint="eastAsia" w:ascii="宋体" w:hAnsi="宋体" w:eastAsia="宋体" w:cs="宋体"/>
                <w:sz w:val="18"/>
                <w:szCs w:val="18"/>
                <w:lang w:val="en-US" w:eastAsia="zh-CN"/>
              </w:rPr>
            </w:pPr>
            <w:r>
              <w:rPr>
                <w:rFonts w:hint="eastAsia" w:ascii="宋体" w:hAnsi="Courier New" w:eastAsia="宋体" w:cs="宋体"/>
                <w:color w:val="000000"/>
                <w:kern w:val="2"/>
                <w:sz w:val="21"/>
                <w:szCs w:val="21"/>
                <w:lang w:val="en-US" w:eastAsia="zh-CN" w:bidi="ar"/>
              </w:rPr>
              <w:t>－</w:t>
            </w:r>
          </w:p>
        </w:tc>
        <w:tc>
          <w:tcPr>
            <w:tcW w:w="939" w:type="pct"/>
            <w:vAlign w:val="center"/>
          </w:tcPr>
          <w:p w14:paraId="51B8EC48">
            <w:pPr>
              <w:keepNext w:val="0"/>
              <w:keepLines w:val="0"/>
              <w:suppressLineNumbers w:val="0"/>
              <w:spacing w:before="0" w:beforeAutospacing="0" w:after="0" w:afterAutospacing="0"/>
              <w:ind w:left="0" w:right="0"/>
              <w:jc w:val="center"/>
              <w:rPr>
                <w:rFonts w:hint="default"/>
                <w:sz w:val="18"/>
                <w:szCs w:val="18"/>
              </w:rPr>
            </w:pPr>
            <w:r>
              <w:rPr>
                <w:rStyle w:val="32"/>
                <w:rFonts w:hint="eastAsia" w:ascii="Times New Roman" w:hAnsi="Times New Roman" w:cs="Times New Roman"/>
                <w:sz w:val="18"/>
                <w:szCs w:val="18"/>
                <w:lang w:val="en-US" w:eastAsia="zh-CN"/>
              </w:rPr>
              <w:t>≤</w:t>
            </w:r>
            <w:r>
              <w:rPr>
                <w:rStyle w:val="32"/>
                <w:rFonts w:hint="default" w:ascii="Times New Roman" w:hAnsi="Times New Roman" w:cs="Times New Roman"/>
                <w:sz w:val="18"/>
                <w:szCs w:val="18"/>
              </w:rPr>
              <w:t>40</w:t>
            </w:r>
          </w:p>
        </w:tc>
        <w:tc>
          <w:tcPr>
            <w:tcW w:w="1325" w:type="pct"/>
            <w:vMerge w:val="continue"/>
            <w:vAlign w:val="center"/>
          </w:tcPr>
          <w:p w14:paraId="3E4D7367">
            <w:pPr>
              <w:keepNext w:val="0"/>
              <w:keepLines w:val="0"/>
              <w:suppressLineNumbers w:val="0"/>
              <w:spacing w:before="0" w:beforeAutospacing="0" w:after="0" w:afterAutospacing="0"/>
              <w:ind w:left="0" w:right="0"/>
              <w:jc w:val="center"/>
              <w:rPr>
                <w:rFonts w:hint="default"/>
                <w:sz w:val="18"/>
                <w:szCs w:val="18"/>
              </w:rPr>
            </w:pPr>
          </w:p>
        </w:tc>
      </w:tr>
      <w:tr w14:paraId="1E44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pct"/>
            <w:vMerge w:val="restart"/>
            <w:vAlign w:val="center"/>
          </w:tcPr>
          <w:p w14:paraId="0BF250C6">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w:t>
            </w:r>
            <w:r>
              <w:rPr>
                <w:rFonts w:hint="eastAsia"/>
                <w:sz w:val="18"/>
                <w:szCs w:val="18"/>
              </w:rPr>
              <w:t>10</w:t>
            </w:r>
            <w:r>
              <w:rPr>
                <w:rFonts w:hint="default"/>
                <w:sz w:val="18"/>
                <w:szCs w:val="18"/>
              </w:rPr>
              <w:t>00mm</w:t>
            </w:r>
          </w:p>
        </w:tc>
        <w:tc>
          <w:tcPr>
            <w:tcW w:w="712" w:type="pct"/>
            <w:vAlign w:val="center"/>
          </w:tcPr>
          <w:p w14:paraId="6A117818">
            <w:pPr>
              <w:keepNext w:val="0"/>
              <w:keepLines w:val="0"/>
              <w:suppressLineNumbers w:val="0"/>
              <w:spacing w:before="0" w:beforeAutospacing="0" w:after="0" w:afterAutospacing="0"/>
              <w:ind w:left="0" w:right="0"/>
              <w:jc w:val="center"/>
              <w:rPr>
                <w:rFonts w:hint="default"/>
                <w:sz w:val="18"/>
                <w:szCs w:val="18"/>
              </w:rPr>
            </w:pPr>
            <w:r>
              <w:rPr>
                <w:rStyle w:val="32"/>
                <w:rFonts w:hint="default" w:ascii="Times New Roman" w:hAnsi="Times New Roman" w:cs="Times New Roman"/>
                <w:sz w:val="18"/>
                <w:szCs w:val="18"/>
              </w:rPr>
              <w:t>＜C40</w:t>
            </w:r>
          </w:p>
        </w:tc>
        <w:tc>
          <w:tcPr>
            <w:tcW w:w="1800" w:type="dxa"/>
            <w:vAlign w:val="top"/>
          </w:tcPr>
          <w:p w14:paraId="3B392B74">
            <w:pPr>
              <w:keepNext w:val="0"/>
              <w:keepLines w:val="0"/>
              <w:widowControl w:val="0"/>
              <w:suppressLineNumbers w:val="0"/>
              <w:spacing w:before="0" w:beforeAutospacing="0" w:after="0" w:afterAutospacing="0"/>
              <w:ind w:left="0" w:leftChars="0" w:right="0" w:rightChars="0"/>
              <w:jc w:val="center"/>
              <w:rPr>
                <w:rStyle w:val="32"/>
                <w:rFonts w:hint="eastAsia" w:ascii="宋体" w:hAnsi="宋体" w:eastAsia="宋体" w:cs="宋体"/>
                <w:sz w:val="18"/>
                <w:szCs w:val="18"/>
                <w:lang w:val="en-US" w:eastAsia="zh-CN"/>
              </w:rPr>
            </w:pPr>
            <w:r>
              <w:rPr>
                <w:rFonts w:hint="eastAsia" w:ascii="宋体" w:hAnsi="Courier New" w:eastAsia="宋体" w:cs="宋体"/>
                <w:color w:val="000000"/>
                <w:kern w:val="2"/>
                <w:sz w:val="21"/>
                <w:szCs w:val="21"/>
                <w:lang w:val="en-US" w:eastAsia="zh-CN" w:bidi="ar"/>
              </w:rPr>
              <w:t>－</w:t>
            </w:r>
          </w:p>
        </w:tc>
        <w:tc>
          <w:tcPr>
            <w:tcW w:w="939" w:type="pct"/>
            <w:vAlign w:val="center"/>
          </w:tcPr>
          <w:p w14:paraId="1B44C8D9">
            <w:pPr>
              <w:keepNext w:val="0"/>
              <w:keepLines w:val="0"/>
              <w:suppressLineNumbers w:val="0"/>
              <w:spacing w:before="0" w:beforeAutospacing="0" w:after="0" w:afterAutospacing="0"/>
              <w:ind w:left="0" w:right="0"/>
              <w:jc w:val="center"/>
              <w:rPr>
                <w:rFonts w:hint="default"/>
                <w:sz w:val="18"/>
                <w:szCs w:val="18"/>
              </w:rPr>
            </w:pPr>
            <w:r>
              <w:rPr>
                <w:rStyle w:val="32"/>
                <w:rFonts w:hint="eastAsia" w:ascii="Times New Roman" w:hAnsi="Times New Roman" w:cs="Times New Roman"/>
                <w:sz w:val="18"/>
                <w:szCs w:val="18"/>
                <w:lang w:val="en-US" w:eastAsia="zh-CN"/>
              </w:rPr>
              <w:t>≤</w:t>
            </w:r>
            <w:r>
              <w:rPr>
                <w:rStyle w:val="32"/>
                <w:rFonts w:hint="default" w:ascii="Times New Roman" w:hAnsi="Times New Roman" w:cs="Times New Roman"/>
                <w:sz w:val="18"/>
                <w:szCs w:val="18"/>
              </w:rPr>
              <w:t>40</w:t>
            </w:r>
          </w:p>
        </w:tc>
        <w:tc>
          <w:tcPr>
            <w:tcW w:w="1325" w:type="pct"/>
            <w:vMerge w:val="continue"/>
            <w:vAlign w:val="center"/>
          </w:tcPr>
          <w:p w14:paraId="38DA0027">
            <w:pPr>
              <w:keepNext w:val="0"/>
              <w:keepLines w:val="0"/>
              <w:suppressLineNumbers w:val="0"/>
              <w:spacing w:before="0" w:beforeAutospacing="0" w:after="0" w:afterAutospacing="0"/>
              <w:ind w:left="0" w:right="0"/>
              <w:jc w:val="center"/>
              <w:rPr>
                <w:rFonts w:hint="default"/>
                <w:sz w:val="18"/>
                <w:szCs w:val="18"/>
              </w:rPr>
            </w:pPr>
          </w:p>
        </w:tc>
      </w:tr>
      <w:tr w14:paraId="2B8E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3" w:type="pct"/>
            <w:vMerge w:val="continue"/>
            <w:vAlign w:val="center"/>
          </w:tcPr>
          <w:p w14:paraId="4C56C96F">
            <w:pPr>
              <w:keepNext w:val="0"/>
              <w:keepLines w:val="0"/>
              <w:suppressLineNumbers w:val="0"/>
              <w:spacing w:before="0" w:beforeAutospacing="0" w:after="0" w:afterAutospacing="0"/>
              <w:ind w:left="0" w:right="0"/>
              <w:jc w:val="center"/>
              <w:rPr>
                <w:rFonts w:hint="default"/>
                <w:sz w:val="18"/>
                <w:szCs w:val="18"/>
              </w:rPr>
            </w:pPr>
          </w:p>
        </w:tc>
        <w:tc>
          <w:tcPr>
            <w:tcW w:w="712" w:type="pct"/>
            <w:vAlign w:val="center"/>
          </w:tcPr>
          <w:p w14:paraId="387A7B52">
            <w:pPr>
              <w:keepNext w:val="0"/>
              <w:keepLines w:val="0"/>
              <w:suppressLineNumbers w:val="0"/>
              <w:spacing w:before="0" w:beforeAutospacing="0" w:after="0" w:afterAutospacing="0"/>
              <w:ind w:left="0" w:right="0"/>
              <w:jc w:val="center"/>
              <w:rPr>
                <w:rFonts w:hint="default"/>
                <w:sz w:val="18"/>
                <w:szCs w:val="18"/>
              </w:rPr>
            </w:pPr>
            <w:r>
              <w:rPr>
                <w:rStyle w:val="32"/>
                <w:rFonts w:hint="eastAsia" w:cs="Times New Roman"/>
                <w:sz w:val="18"/>
                <w:szCs w:val="18"/>
                <w:lang w:val="en-US" w:eastAsia="zh-CN"/>
              </w:rPr>
              <w:t>≥</w:t>
            </w:r>
            <w:r>
              <w:rPr>
                <w:rStyle w:val="32"/>
                <w:rFonts w:hint="default" w:ascii="Times New Roman" w:hAnsi="Times New Roman" w:cs="Times New Roman"/>
                <w:sz w:val="18"/>
                <w:szCs w:val="18"/>
              </w:rPr>
              <w:t>C40</w:t>
            </w:r>
          </w:p>
        </w:tc>
        <w:tc>
          <w:tcPr>
            <w:tcW w:w="1800" w:type="dxa"/>
            <w:vAlign w:val="top"/>
          </w:tcPr>
          <w:p w14:paraId="4DD9C404">
            <w:pPr>
              <w:keepNext w:val="0"/>
              <w:keepLines w:val="0"/>
              <w:widowControl w:val="0"/>
              <w:suppressLineNumbers w:val="0"/>
              <w:spacing w:before="0" w:beforeAutospacing="0" w:after="0" w:afterAutospacing="0"/>
              <w:ind w:left="0" w:leftChars="0" w:right="0" w:rightChars="0"/>
              <w:jc w:val="center"/>
              <w:rPr>
                <w:rStyle w:val="32"/>
                <w:rFonts w:hint="eastAsia" w:ascii="宋体" w:hAnsi="宋体" w:eastAsia="宋体" w:cs="宋体"/>
                <w:sz w:val="18"/>
                <w:szCs w:val="18"/>
                <w:lang w:val="en-US" w:eastAsia="zh-CN"/>
              </w:rPr>
            </w:pPr>
            <w:r>
              <w:rPr>
                <w:rFonts w:hint="eastAsia" w:ascii="宋体" w:hAnsi="Courier New" w:eastAsia="宋体" w:cs="宋体"/>
                <w:color w:val="000000"/>
                <w:kern w:val="2"/>
                <w:sz w:val="21"/>
                <w:szCs w:val="21"/>
                <w:lang w:val="en-US" w:eastAsia="zh-CN" w:bidi="ar"/>
              </w:rPr>
              <w:t>－</w:t>
            </w:r>
          </w:p>
        </w:tc>
        <w:tc>
          <w:tcPr>
            <w:tcW w:w="939" w:type="pct"/>
            <w:vAlign w:val="center"/>
          </w:tcPr>
          <w:p w14:paraId="3641B561">
            <w:pPr>
              <w:keepNext w:val="0"/>
              <w:keepLines w:val="0"/>
              <w:suppressLineNumbers w:val="0"/>
              <w:spacing w:before="0" w:beforeAutospacing="0" w:after="0" w:afterAutospacing="0"/>
              <w:ind w:left="0" w:right="0"/>
              <w:jc w:val="center"/>
              <w:rPr>
                <w:rFonts w:hint="default"/>
                <w:sz w:val="18"/>
                <w:szCs w:val="18"/>
              </w:rPr>
            </w:pPr>
            <w:r>
              <w:rPr>
                <w:rStyle w:val="32"/>
                <w:rFonts w:hint="eastAsia" w:ascii="Times New Roman" w:hAnsi="Times New Roman" w:cs="Times New Roman"/>
                <w:sz w:val="18"/>
                <w:szCs w:val="18"/>
                <w:lang w:val="en-US" w:eastAsia="zh-CN"/>
              </w:rPr>
              <w:t>≤</w:t>
            </w:r>
            <w:r>
              <w:rPr>
                <w:rStyle w:val="32"/>
                <w:rFonts w:hint="default" w:ascii="Times New Roman" w:hAnsi="Times New Roman" w:cs="Times New Roman"/>
                <w:sz w:val="18"/>
                <w:szCs w:val="18"/>
              </w:rPr>
              <w:t>40</w:t>
            </w:r>
          </w:p>
        </w:tc>
        <w:tc>
          <w:tcPr>
            <w:tcW w:w="1325" w:type="pct"/>
            <w:vMerge w:val="continue"/>
            <w:vAlign w:val="center"/>
          </w:tcPr>
          <w:p w14:paraId="11D8219C">
            <w:pPr>
              <w:keepNext w:val="0"/>
              <w:keepLines w:val="0"/>
              <w:suppressLineNumbers w:val="0"/>
              <w:spacing w:before="0" w:beforeAutospacing="0" w:after="0" w:afterAutospacing="0"/>
              <w:ind w:left="0" w:right="0"/>
              <w:jc w:val="center"/>
              <w:rPr>
                <w:rFonts w:hint="default"/>
                <w:sz w:val="18"/>
                <w:szCs w:val="18"/>
              </w:rPr>
            </w:pPr>
          </w:p>
        </w:tc>
      </w:tr>
      <w:bookmarkEnd w:id="28"/>
    </w:tbl>
    <w:p w14:paraId="0303FE30">
      <w:pPr>
        <w:pStyle w:val="8"/>
        <w:spacing w:line="360" w:lineRule="auto"/>
        <w:rPr>
          <w:rStyle w:val="32"/>
          <w:rFonts w:ascii="Times New Roman" w:hAnsi="Times New Roman" w:cs="Times New Roman"/>
        </w:rPr>
      </w:pPr>
      <w:r>
        <w:rPr>
          <w:rStyle w:val="32"/>
          <w:rFonts w:ascii="Times New Roman" w:hAnsi="Times New Roman" w:cs="Times New Roman"/>
          <w:b/>
          <w:bCs/>
        </w:rPr>
        <w:t>4.</w:t>
      </w:r>
      <w:r>
        <w:rPr>
          <w:rStyle w:val="32"/>
          <w:rFonts w:hint="eastAsia" w:ascii="Times New Roman" w:hAnsi="Times New Roman" w:cs="Times New Roman"/>
          <w:b/>
          <w:bCs/>
          <w:lang w:val="en-US" w:eastAsia="zh-CN"/>
        </w:rPr>
        <w:t>0</w:t>
      </w:r>
      <w:r>
        <w:rPr>
          <w:rStyle w:val="32"/>
          <w:rFonts w:ascii="Times New Roman" w:hAnsi="Times New Roman" w:cs="Times New Roman"/>
          <w:b/>
          <w:bCs/>
        </w:rPr>
        <w:t>.5</w:t>
      </w:r>
      <w:r>
        <w:rPr>
          <w:rStyle w:val="32"/>
          <w:rFonts w:ascii="Times New Roman" w:hAnsi="Times New Roman" w:cs="Times New Roman"/>
        </w:rPr>
        <w:t>掺加防水剂的</w:t>
      </w:r>
      <w:r>
        <w:rPr>
          <w:rStyle w:val="32"/>
          <w:rFonts w:hint="eastAsia" w:ascii="Times New Roman" w:hAnsi="Times New Roman" w:cs="Times New Roman"/>
          <w:lang w:eastAsia="zh-CN"/>
        </w:rPr>
        <w:t>混凝土</w:t>
      </w:r>
      <w:r>
        <w:rPr>
          <w:rStyle w:val="32"/>
          <w:rFonts w:ascii="Times New Roman" w:hAnsi="Times New Roman" w:cs="Times New Roman"/>
        </w:rPr>
        <w:t>耐久性应根据结构构件所处的环境类别、环境作用等级及结构设计使用年限进行确定，并满足相应的要求，环境类别和作用等级的划分应符合</w:t>
      </w:r>
      <w:bookmarkStart w:id="29" w:name="_Hlk222903148"/>
      <w:r>
        <w:rPr>
          <w:rStyle w:val="32"/>
          <w:rFonts w:hint="eastAsia" w:ascii="Times New Roman" w:hAnsi="Times New Roman" w:cs="Times New Roman"/>
          <w:lang w:val="en-US" w:eastAsia="zh-CN"/>
        </w:rPr>
        <w:t>现行国家标准</w:t>
      </w:r>
      <w:r>
        <w:rPr>
          <w:rStyle w:val="32"/>
          <w:rFonts w:hint="eastAsia" w:ascii="Times New Roman" w:hAnsi="Times New Roman" w:cs="Times New Roman"/>
        </w:rPr>
        <w:t>《混凝土结构耐久性设计标准》</w:t>
      </w:r>
      <w:r>
        <w:rPr>
          <w:rStyle w:val="32"/>
          <w:rFonts w:ascii="Times New Roman" w:hAnsi="Times New Roman" w:cs="Times New Roman"/>
        </w:rPr>
        <w:t>GB/T 50476</w:t>
      </w:r>
      <w:bookmarkEnd w:id="29"/>
      <w:r>
        <w:rPr>
          <w:rStyle w:val="32"/>
          <w:rFonts w:ascii="Times New Roman" w:hAnsi="Times New Roman" w:cs="Times New Roman"/>
        </w:rPr>
        <w:t>的有关规定。</w:t>
      </w:r>
    </w:p>
    <w:p w14:paraId="4B3B394D">
      <w:pPr>
        <w:widowControl/>
        <w:spacing w:line="360" w:lineRule="auto"/>
        <w:jc w:val="left"/>
        <w:rPr>
          <w:color w:val="000000"/>
          <w:kern w:val="0"/>
          <w:szCs w:val="21"/>
          <w:lang w:bidi="ar"/>
        </w:rPr>
      </w:pPr>
      <w:r>
        <w:rPr>
          <w:b/>
          <w:szCs w:val="21"/>
        </w:rPr>
        <w:t>4.</w:t>
      </w:r>
      <w:r>
        <w:rPr>
          <w:rFonts w:hint="eastAsia"/>
          <w:b/>
          <w:szCs w:val="21"/>
          <w:lang w:val="en-US" w:eastAsia="zh-CN"/>
        </w:rPr>
        <w:t>0</w:t>
      </w:r>
      <w:r>
        <w:rPr>
          <w:b/>
          <w:szCs w:val="21"/>
        </w:rPr>
        <w:t>.6</w:t>
      </w:r>
      <w:r>
        <w:rPr>
          <w:b/>
          <w:bCs/>
          <w:color w:val="000000"/>
          <w:spacing w:val="20"/>
          <w:kern w:val="0"/>
          <w:szCs w:val="21"/>
        </w:rPr>
        <w:t xml:space="preserve"> </w:t>
      </w:r>
      <w:r>
        <w:rPr>
          <w:rStyle w:val="32"/>
          <w:rFonts w:ascii="Times New Roman" w:hAnsi="Times New Roman" w:cs="Times New Roman"/>
        </w:rPr>
        <w:t>掺加防水剂的</w:t>
      </w:r>
      <w:r>
        <w:rPr>
          <w:rStyle w:val="32"/>
          <w:rFonts w:hint="eastAsia" w:cs="Times New Roman"/>
          <w:lang w:eastAsia="zh-CN"/>
        </w:rPr>
        <w:t>混凝土</w:t>
      </w:r>
      <w:r>
        <w:rPr>
          <w:color w:val="000000"/>
          <w:kern w:val="0"/>
          <w:szCs w:val="21"/>
          <w:lang w:bidi="ar"/>
        </w:rPr>
        <w:t xml:space="preserve">结构应在设计施工时考虑采用减少或避免留设伸缩后浇带的技术措施，并应符合下列规定： </w:t>
      </w:r>
    </w:p>
    <w:p w14:paraId="3A120BDA">
      <w:pPr>
        <w:widowControl/>
        <w:spacing w:line="360" w:lineRule="auto"/>
        <w:ind w:firstLine="422" w:firstLineChars="200"/>
        <w:jc w:val="left"/>
        <w:rPr>
          <w:color w:val="000000"/>
          <w:kern w:val="0"/>
          <w:szCs w:val="21"/>
          <w:lang w:bidi="ar"/>
        </w:rPr>
      </w:pPr>
      <w:r>
        <w:rPr>
          <w:b/>
          <w:bCs/>
          <w:color w:val="000000"/>
          <w:kern w:val="0"/>
          <w:szCs w:val="21"/>
          <w:lang w:bidi="ar"/>
        </w:rPr>
        <w:t>1</w:t>
      </w:r>
      <w:r>
        <w:rPr>
          <w:color w:val="000000"/>
          <w:kern w:val="0"/>
          <w:szCs w:val="21"/>
          <w:lang w:bidi="ar"/>
        </w:rPr>
        <w:t>当单独使用</w:t>
      </w:r>
      <w:r>
        <w:rPr>
          <w:szCs w:val="21"/>
        </w:rPr>
        <w:t>混凝土防水剂时，可</w:t>
      </w:r>
      <w:r>
        <w:rPr>
          <w:color w:val="000000"/>
          <w:kern w:val="0"/>
          <w:szCs w:val="21"/>
          <w:lang w:bidi="ar"/>
        </w:rPr>
        <w:t>采用跳仓法技术，设计时应根据结构形式及特点，明确跳段、分仓长度等，并应符合</w:t>
      </w:r>
      <w:bookmarkStart w:id="30" w:name="_Hlk222903178"/>
      <w:r>
        <w:rPr>
          <w:rFonts w:hint="eastAsia"/>
          <w:color w:val="000000"/>
          <w:kern w:val="0"/>
          <w:szCs w:val="21"/>
          <w:lang w:val="en-US" w:eastAsia="zh-CN" w:bidi="ar"/>
        </w:rPr>
        <w:t>现行行业标准</w:t>
      </w:r>
      <w:r>
        <w:rPr>
          <w:rFonts w:hint="eastAsia"/>
          <w:color w:val="000000"/>
          <w:kern w:val="0"/>
          <w:szCs w:val="21"/>
          <w:lang w:bidi="ar"/>
        </w:rPr>
        <w:t>《超长混凝土结构无缝施工标准》</w:t>
      </w:r>
      <w:r>
        <w:rPr>
          <w:color w:val="000000"/>
          <w:kern w:val="0"/>
          <w:szCs w:val="21"/>
          <w:lang w:bidi="ar"/>
        </w:rPr>
        <w:t>JGJ/T 492</w:t>
      </w:r>
      <w:bookmarkEnd w:id="30"/>
      <w:r>
        <w:rPr>
          <w:color w:val="000000"/>
          <w:kern w:val="0"/>
          <w:szCs w:val="21"/>
          <w:lang w:bidi="ar"/>
        </w:rPr>
        <w:t>的规定；</w:t>
      </w:r>
    </w:p>
    <w:p w14:paraId="615D829C">
      <w:pPr>
        <w:widowControl/>
        <w:spacing w:line="360" w:lineRule="auto"/>
        <w:ind w:firstLine="422" w:firstLineChars="200"/>
        <w:jc w:val="left"/>
        <w:rPr>
          <w:color w:val="000000"/>
          <w:kern w:val="0"/>
          <w:szCs w:val="21"/>
          <w:lang w:bidi="ar"/>
        </w:rPr>
      </w:pPr>
      <w:r>
        <w:rPr>
          <w:b/>
          <w:bCs/>
          <w:color w:val="000000"/>
          <w:kern w:val="0"/>
          <w:szCs w:val="21"/>
          <w:lang w:bidi="ar"/>
        </w:rPr>
        <w:t>2</w:t>
      </w:r>
      <w:r>
        <w:rPr>
          <w:color w:val="000000"/>
          <w:kern w:val="0"/>
          <w:szCs w:val="21"/>
          <w:lang w:bidi="ar"/>
        </w:rPr>
        <w:t>.当</w:t>
      </w:r>
      <w:r>
        <w:rPr>
          <w:szCs w:val="21"/>
        </w:rPr>
        <w:t>混凝土防水剂与混凝土膨胀剂共同使用</w:t>
      </w:r>
      <w:r>
        <w:rPr>
          <w:color w:val="000000"/>
          <w:kern w:val="0"/>
          <w:szCs w:val="21"/>
          <w:lang w:bidi="ar"/>
        </w:rPr>
        <w:t>时，可采用膨胀加强带技术，设计时应明确膨胀加强带的设置类型及位置、不同结构部位混凝土限制膨胀率设计取值等，并应符合</w:t>
      </w:r>
      <w:bookmarkStart w:id="31" w:name="_Hlk222903213"/>
      <w:r>
        <w:rPr>
          <w:rFonts w:hint="eastAsia"/>
          <w:color w:val="000000"/>
          <w:kern w:val="0"/>
          <w:szCs w:val="21"/>
          <w:lang w:val="en-US" w:eastAsia="zh-CN" w:bidi="ar"/>
        </w:rPr>
        <w:t>现行行业标准</w:t>
      </w:r>
      <w:r>
        <w:rPr>
          <w:rFonts w:hint="eastAsia"/>
          <w:color w:val="000000"/>
          <w:kern w:val="0"/>
          <w:szCs w:val="21"/>
          <w:lang w:bidi="ar"/>
        </w:rPr>
        <w:t>《补偿收缩混凝土应用技术规程》</w:t>
      </w:r>
      <w:r>
        <w:rPr>
          <w:color w:val="000000"/>
          <w:kern w:val="0"/>
          <w:szCs w:val="21"/>
          <w:lang w:bidi="ar"/>
        </w:rPr>
        <w:t>JGJ/T 178</w:t>
      </w:r>
      <w:bookmarkEnd w:id="31"/>
      <w:r>
        <w:rPr>
          <w:color w:val="000000"/>
          <w:kern w:val="0"/>
          <w:szCs w:val="21"/>
          <w:lang w:bidi="ar"/>
        </w:rPr>
        <w:t>的规定。</w:t>
      </w:r>
    </w:p>
    <w:p w14:paraId="5B688166">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b/>
          <w:bCs/>
          <w:color w:val="FF0000"/>
        </w:rPr>
      </w:pPr>
      <w:r>
        <w:rPr>
          <w:rStyle w:val="32"/>
          <w:rFonts w:ascii="Times New Roman" w:hAnsi="Times New Roman" w:cs="Times New Roman"/>
          <w:b/>
          <w:bCs/>
        </w:rPr>
        <w:t>4.</w:t>
      </w:r>
      <w:r>
        <w:rPr>
          <w:rStyle w:val="32"/>
          <w:rFonts w:hint="eastAsia" w:ascii="Times New Roman" w:hAnsi="Times New Roman" w:cs="Times New Roman"/>
          <w:b/>
          <w:bCs/>
          <w:lang w:val="en-US" w:eastAsia="zh-CN"/>
        </w:rPr>
        <w:t>0</w:t>
      </w:r>
      <w:r>
        <w:rPr>
          <w:rStyle w:val="32"/>
          <w:rFonts w:ascii="Times New Roman" w:hAnsi="Times New Roman" w:cs="Times New Roman"/>
          <w:b/>
          <w:bCs/>
        </w:rPr>
        <w:t>.7</w:t>
      </w:r>
      <w:r>
        <w:rPr>
          <w:rFonts w:ascii="Times New Roman" w:hAnsi="Times New Roman" w:cs="Times New Roman"/>
        </w:rPr>
        <w:t>掺加防水剂的</w:t>
      </w:r>
      <w:r>
        <w:rPr>
          <w:rFonts w:hint="eastAsia" w:ascii="Times New Roman" w:hAnsi="Times New Roman" w:cs="Times New Roman"/>
          <w:lang w:eastAsia="zh-CN"/>
        </w:rPr>
        <w:t>混凝土</w:t>
      </w:r>
      <w:r>
        <w:rPr>
          <w:rFonts w:ascii="Times New Roman" w:hAnsi="Times New Roman" w:cs="Times New Roman"/>
        </w:rPr>
        <w:t>应用环境温度不应高于100℃，受腐蚀性介质作用的工业建（构）筑物中的</w:t>
      </w:r>
      <w:r>
        <w:rPr>
          <w:rFonts w:hint="eastAsia" w:ascii="Times New Roman" w:hAnsi="Times New Roman" w:cs="Times New Roman"/>
          <w:lang w:val="en-US" w:eastAsia="zh-CN"/>
        </w:rPr>
        <w:t>掺加</w:t>
      </w:r>
      <w:r>
        <w:rPr>
          <w:rFonts w:ascii="Times New Roman" w:hAnsi="Times New Roman" w:cs="Times New Roman"/>
        </w:rPr>
        <w:t>防水剂的混凝土技术要求还应符合</w:t>
      </w:r>
      <w:bookmarkStart w:id="32" w:name="_Hlk222903222"/>
      <w:r>
        <w:rPr>
          <w:rFonts w:hint="eastAsia" w:ascii="Times New Roman" w:hAnsi="Times New Roman" w:cs="Times New Roman"/>
          <w:lang w:val="en-US" w:eastAsia="zh-CN"/>
        </w:rPr>
        <w:t>现行国家标准</w:t>
      </w:r>
      <w:r>
        <w:rPr>
          <w:rFonts w:ascii="Times New Roman" w:hAnsi="Times New Roman" w:cs="Times New Roman"/>
        </w:rPr>
        <w:t>《工业建筑防腐蚀设计标准》GB/T 50046</w:t>
      </w:r>
      <w:bookmarkEnd w:id="32"/>
      <w:r>
        <w:rPr>
          <w:rFonts w:ascii="Times New Roman" w:hAnsi="Times New Roman" w:cs="Times New Roman"/>
        </w:rPr>
        <w:t>的规定。</w:t>
      </w:r>
    </w:p>
    <w:p w14:paraId="53390104">
      <w:pPr>
        <w:rPr>
          <w:color w:val="FF0000"/>
          <w:sz w:val="24"/>
        </w:rPr>
      </w:pPr>
      <w:r>
        <w:rPr>
          <w:color w:val="FF0000"/>
          <w:sz w:val="24"/>
        </w:rPr>
        <w:br w:type="page"/>
      </w:r>
    </w:p>
    <w:p w14:paraId="4CE8E3EC">
      <w:pPr>
        <w:pStyle w:val="2"/>
        <w:spacing w:before="312" w:beforeLines="100" w:after="312" w:afterLines="100" w:line="360" w:lineRule="auto"/>
        <w:jc w:val="center"/>
        <w:rPr>
          <w:sz w:val="32"/>
          <w:szCs w:val="32"/>
        </w:rPr>
      </w:pPr>
      <w:bookmarkStart w:id="33" w:name="_Toc222865913"/>
      <w:bookmarkStart w:id="34" w:name="_Toc222866257"/>
      <w:bookmarkStart w:id="35" w:name="_Toc222866053"/>
      <w:bookmarkStart w:id="36" w:name="_Toc7567"/>
      <w:bookmarkStart w:id="37" w:name="_Toc117066876"/>
      <w:bookmarkStart w:id="38" w:name="_Toc2883"/>
      <w:r>
        <w:rPr>
          <w:sz w:val="32"/>
          <w:szCs w:val="32"/>
        </w:rPr>
        <w:t>5 原材料</w:t>
      </w:r>
      <w:bookmarkEnd w:id="33"/>
      <w:bookmarkEnd w:id="34"/>
      <w:bookmarkEnd w:id="35"/>
      <w:bookmarkEnd w:id="36"/>
      <w:bookmarkEnd w:id="37"/>
      <w:bookmarkEnd w:id="38"/>
    </w:p>
    <w:p w14:paraId="1D7CBD09">
      <w:pPr>
        <w:spacing w:line="360" w:lineRule="auto"/>
        <w:rPr>
          <w:szCs w:val="21"/>
        </w:rPr>
      </w:pPr>
      <w:r>
        <w:rPr>
          <w:b/>
          <w:bCs/>
          <w:szCs w:val="21"/>
        </w:rPr>
        <w:t>5.0.1</w:t>
      </w:r>
      <w:r>
        <w:rPr>
          <w:szCs w:val="21"/>
        </w:rPr>
        <w:t xml:space="preserve"> 水泥应符合现行国家标准</w:t>
      </w:r>
      <w:bookmarkStart w:id="39" w:name="_Hlk222903230"/>
      <w:r>
        <w:rPr>
          <w:szCs w:val="21"/>
        </w:rPr>
        <w:t>《通用硅酸盐水泥》GB 175</w:t>
      </w:r>
      <w:bookmarkEnd w:id="39"/>
      <w:r>
        <w:rPr>
          <w:szCs w:val="21"/>
        </w:rPr>
        <w:t>、</w:t>
      </w:r>
      <w:bookmarkStart w:id="40" w:name="_Hlk222903235"/>
      <w:r>
        <w:rPr>
          <w:szCs w:val="21"/>
        </w:rPr>
        <w:t>《中热硅酸盐水泥、低热硅酸盐水泥》GB/T 200</w:t>
      </w:r>
      <w:bookmarkEnd w:id="40"/>
      <w:r>
        <w:rPr>
          <w:szCs w:val="21"/>
        </w:rPr>
        <w:t>的规定。</w:t>
      </w:r>
    </w:p>
    <w:p w14:paraId="556CD61D">
      <w:pPr>
        <w:spacing w:line="360" w:lineRule="auto"/>
        <w:rPr>
          <w:szCs w:val="21"/>
        </w:rPr>
      </w:pPr>
      <w:r>
        <w:rPr>
          <w:b/>
          <w:bCs/>
          <w:szCs w:val="21"/>
        </w:rPr>
        <w:t>5.0.2</w:t>
      </w:r>
      <w:r>
        <w:rPr>
          <w:szCs w:val="21"/>
        </w:rPr>
        <w:t>矿物掺合料应符合下列规定：</w:t>
      </w:r>
    </w:p>
    <w:p w14:paraId="4B5EFA30">
      <w:pPr>
        <w:spacing w:line="360" w:lineRule="auto"/>
        <w:ind w:firstLine="422" w:firstLineChars="200"/>
        <w:rPr>
          <w:szCs w:val="21"/>
          <w:highlight w:val="none"/>
        </w:rPr>
      </w:pPr>
      <w:r>
        <w:rPr>
          <w:b/>
          <w:bCs/>
          <w:szCs w:val="21"/>
          <w:highlight w:val="none"/>
        </w:rPr>
        <w:t>1</w:t>
      </w:r>
      <w:r>
        <w:rPr>
          <w:rFonts w:hint="eastAsia"/>
          <w:szCs w:val="21"/>
          <w:highlight w:val="none"/>
        </w:rPr>
        <w:t>粉煤灰应选用F类粉煤灰，并应符合《用于水泥和混凝土中的粉煤灰》GB/T 1596的有关规定，粉煤灰的级别不应低于</w:t>
      </w:r>
      <w:r>
        <w:rPr>
          <w:rFonts w:hint="default" w:ascii="Times New Roman" w:hAnsi="Times New Roman" w:cs="Times New Roman"/>
          <w:szCs w:val="21"/>
          <w:highlight w:val="none"/>
        </w:rPr>
        <w:t>Ⅱ</w:t>
      </w:r>
      <w:r>
        <w:rPr>
          <w:rFonts w:hint="eastAsia"/>
          <w:szCs w:val="21"/>
          <w:highlight w:val="none"/>
        </w:rPr>
        <w:t>级，烧失量不应大于5%</w:t>
      </w:r>
      <w:r>
        <w:rPr>
          <w:szCs w:val="21"/>
          <w:highlight w:val="none"/>
        </w:rPr>
        <w:t>；</w:t>
      </w:r>
    </w:p>
    <w:p w14:paraId="15B0F39C">
      <w:pPr>
        <w:spacing w:line="360" w:lineRule="auto"/>
        <w:ind w:firstLine="422" w:firstLineChars="200"/>
        <w:rPr>
          <w:szCs w:val="21"/>
          <w:highlight w:val="none"/>
        </w:rPr>
      </w:pPr>
      <w:r>
        <w:rPr>
          <w:b/>
          <w:bCs/>
          <w:szCs w:val="21"/>
          <w:highlight w:val="none"/>
        </w:rPr>
        <w:t>2.</w:t>
      </w:r>
      <w:r>
        <w:rPr>
          <w:bCs/>
          <w:szCs w:val="21"/>
          <w:highlight w:val="none"/>
        </w:rPr>
        <w:t>矿渣粉应符合现行国家标准</w:t>
      </w:r>
      <w:bookmarkStart w:id="41" w:name="_Hlk222903244"/>
      <w:r>
        <w:rPr>
          <w:bCs/>
          <w:szCs w:val="21"/>
          <w:highlight w:val="none"/>
        </w:rPr>
        <w:t>《用于水泥、砂浆和混凝土中的粒化高炉矿渣粉》GB/T</w:t>
      </w:r>
      <w:r>
        <w:rPr>
          <w:szCs w:val="21"/>
          <w:highlight w:val="none"/>
        </w:rPr>
        <w:t xml:space="preserve"> 18046</w:t>
      </w:r>
      <w:bookmarkEnd w:id="41"/>
      <w:r>
        <w:rPr>
          <w:szCs w:val="21"/>
          <w:highlight w:val="none"/>
        </w:rPr>
        <w:t xml:space="preserve"> 的规定</w:t>
      </w:r>
      <w:r>
        <w:rPr>
          <w:rFonts w:hint="eastAsia"/>
          <w:szCs w:val="21"/>
          <w:highlight w:val="none"/>
          <w:lang w:eastAsia="zh-CN"/>
        </w:rPr>
        <w:t>，用于大体积混凝土时，比表面积不宜大于450 m</w:t>
      </w:r>
      <w:r>
        <w:rPr>
          <w:rFonts w:hint="eastAsia"/>
          <w:szCs w:val="21"/>
          <w:highlight w:val="none"/>
          <w:vertAlign w:val="superscript"/>
          <w:lang w:eastAsia="zh-CN"/>
        </w:rPr>
        <w:t>2</w:t>
      </w:r>
      <w:r>
        <w:rPr>
          <w:rFonts w:hint="eastAsia"/>
          <w:szCs w:val="21"/>
          <w:highlight w:val="none"/>
          <w:lang w:eastAsia="zh-CN"/>
        </w:rPr>
        <w:t xml:space="preserve"> /kg</w:t>
      </w:r>
      <w:r>
        <w:rPr>
          <w:szCs w:val="21"/>
          <w:highlight w:val="none"/>
        </w:rPr>
        <w:t>；</w:t>
      </w:r>
    </w:p>
    <w:p w14:paraId="407E57ED">
      <w:pPr>
        <w:spacing w:line="360" w:lineRule="auto"/>
        <w:ind w:firstLine="422" w:firstLineChars="200"/>
        <w:rPr>
          <w:szCs w:val="21"/>
        </w:rPr>
      </w:pPr>
      <w:r>
        <w:rPr>
          <w:b/>
          <w:bCs/>
          <w:szCs w:val="21"/>
        </w:rPr>
        <w:t>3</w:t>
      </w:r>
      <w:r>
        <w:rPr>
          <w:szCs w:val="21"/>
        </w:rPr>
        <w:t>复合掺合料应符合现行行业标准</w:t>
      </w:r>
      <w:bookmarkStart w:id="42" w:name="_Hlk222903249"/>
      <w:r>
        <w:rPr>
          <w:szCs w:val="21"/>
        </w:rPr>
        <w:t>《混凝土用复合掺合料》JG/T 486</w:t>
      </w:r>
      <w:bookmarkEnd w:id="42"/>
      <w:r>
        <w:rPr>
          <w:szCs w:val="21"/>
        </w:rPr>
        <w:t>的规定；</w:t>
      </w:r>
    </w:p>
    <w:p w14:paraId="49FFF80A">
      <w:pPr>
        <w:spacing w:line="360" w:lineRule="auto"/>
        <w:ind w:firstLine="422" w:firstLineChars="200"/>
        <w:rPr>
          <w:szCs w:val="21"/>
        </w:rPr>
      </w:pPr>
      <w:r>
        <w:rPr>
          <w:b/>
          <w:bCs/>
          <w:szCs w:val="21"/>
        </w:rPr>
        <w:t>4</w:t>
      </w:r>
      <w:r>
        <w:rPr>
          <w:szCs w:val="21"/>
        </w:rPr>
        <w:t>采用其他品种的矿物掺合料时，除满足相应的技术标准之外，应进行混凝土试配，经过系统验证后使用。</w:t>
      </w:r>
    </w:p>
    <w:p w14:paraId="7BDB6268">
      <w:pPr>
        <w:spacing w:line="360" w:lineRule="auto"/>
        <w:rPr>
          <w:color w:val="000000" w:themeColor="text1"/>
          <w:szCs w:val="21"/>
          <w14:textFill>
            <w14:solidFill>
              <w14:schemeClr w14:val="tx1"/>
            </w14:solidFill>
          </w14:textFill>
        </w:rPr>
      </w:pPr>
      <w:r>
        <w:rPr>
          <w:b/>
          <w:color w:val="000000" w:themeColor="text1"/>
          <w:spacing w:val="20"/>
          <w:szCs w:val="21"/>
          <w14:textFill>
            <w14:solidFill>
              <w14:schemeClr w14:val="tx1"/>
            </w14:solidFill>
          </w14:textFill>
        </w:rPr>
        <w:t>5.0.3</w:t>
      </w:r>
      <w:r>
        <w:rPr>
          <w:color w:val="000000" w:themeColor="text1"/>
          <w:szCs w:val="21"/>
          <w14:textFill>
            <w14:solidFill>
              <w14:schemeClr w14:val="tx1"/>
            </w14:solidFill>
          </w14:textFill>
        </w:rPr>
        <w:t>骨料应符合下列规定：</w:t>
      </w:r>
    </w:p>
    <w:p w14:paraId="2A5B3AA0">
      <w:pPr>
        <w:spacing w:line="360" w:lineRule="auto"/>
        <w:ind w:firstLine="422" w:firstLineChars="200"/>
        <w:rPr>
          <w:rFonts w:hint="eastAsia" w:eastAsia="宋体"/>
          <w:color w:val="000000" w:themeColor="text1"/>
          <w:szCs w:val="21"/>
          <w:lang w:eastAsia="zh-CN"/>
          <w14:textFill>
            <w14:solidFill>
              <w14:schemeClr w14:val="tx1"/>
            </w14:solidFill>
          </w14:textFill>
        </w:rPr>
      </w:pPr>
      <w:r>
        <w:rPr>
          <w:b/>
          <w:color w:val="000000" w:themeColor="text1"/>
          <w:szCs w:val="21"/>
          <w14:textFill>
            <w14:solidFill>
              <w14:schemeClr w14:val="tx1"/>
            </w14:solidFill>
          </w14:textFill>
        </w:rPr>
        <w:t>1</w:t>
      </w:r>
      <w:r>
        <w:rPr>
          <w:color w:val="000000" w:themeColor="text1"/>
          <w:szCs w:val="21"/>
          <w14:textFill>
            <w14:solidFill>
              <w14:schemeClr w14:val="tx1"/>
            </w14:solidFill>
          </w14:textFill>
        </w:rPr>
        <w:t>粗骨料宜坚固、耐久、洁净，并应符合现行国家标准</w:t>
      </w:r>
      <w:bookmarkStart w:id="43" w:name="_Hlk222903254"/>
      <w:r>
        <w:rPr>
          <w:color w:val="000000" w:themeColor="text1"/>
          <w:szCs w:val="21"/>
          <w14:textFill>
            <w14:solidFill>
              <w14:schemeClr w14:val="tx1"/>
            </w14:solidFill>
          </w14:textFill>
        </w:rPr>
        <w:t>《建设用卵石、碎石》GB/T 14685</w:t>
      </w:r>
      <w:bookmarkEnd w:id="43"/>
      <w:r>
        <w:rPr>
          <w:color w:val="000000" w:themeColor="text1"/>
          <w:szCs w:val="21"/>
          <w14:textFill>
            <w14:solidFill>
              <w14:schemeClr w14:val="tx1"/>
            </w14:solidFill>
          </w14:textFill>
        </w:rPr>
        <w:t>的规定。用于泵送时，其最大粒径不应大于输送管径的1/4，且不应大于钢筋间最小净距的3/4，吸水率不应大于1.5%</w:t>
      </w:r>
      <w:r>
        <w:rPr>
          <w:rFonts w:hint="eastAsia"/>
          <w:color w:val="000000" w:themeColor="text1"/>
          <w:szCs w:val="21"/>
          <w:lang w:eastAsia="zh-CN"/>
          <w14:textFill>
            <w14:solidFill>
              <w14:schemeClr w14:val="tx1"/>
            </w14:solidFill>
          </w14:textFill>
        </w:rPr>
        <w:t>；</w:t>
      </w:r>
    </w:p>
    <w:p w14:paraId="08E4D5EF">
      <w:pPr>
        <w:spacing w:line="360" w:lineRule="auto"/>
        <w:ind w:firstLine="422" w:firstLineChars="200"/>
        <w:rPr>
          <w:rFonts w:hint="eastAsia" w:eastAsia="宋体"/>
          <w:color w:val="000000" w:themeColor="text1"/>
          <w:szCs w:val="21"/>
          <w:lang w:eastAsia="zh-CN"/>
          <w14:textFill>
            <w14:solidFill>
              <w14:schemeClr w14:val="tx1"/>
            </w14:solidFill>
          </w14:textFill>
        </w:rPr>
      </w:pPr>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砂应符合现行国家标准</w:t>
      </w:r>
      <w:bookmarkStart w:id="44" w:name="_Hlk222903260"/>
      <w:r>
        <w:rPr>
          <w:color w:val="000000" w:themeColor="text1"/>
          <w:szCs w:val="21"/>
          <w14:textFill>
            <w14:solidFill>
              <w14:schemeClr w14:val="tx1"/>
            </w14:solidFill>
          </w14:textFill>
        </w:rPr>
        <w:t>《建设用砂》GB/T 14684</w:t>
      </w:r>
      <w:bookmarkEnd w:id="44"/>
      <w:r>
        <w:rPr>
          <w:color w:val="000000" w:themeColor="text1"/>
          <w:szCs w:val="21"/>
          <w14:textFill>
            <w14:solidFill>
              <w14:schemeClr w14:val="tx1"/>
            </w14:solidFill>
          </w14:textFill>
        </w:rPr>
        <w:t>的规定</w:t>
      </w:r>
      <w:r>
        <w:rPr>
          <w:rFonts w:hint="eastAsia"/>
          <w:color w:val="000000" w:themeColor="text1"/>
          <w:szCs w:val="21"/>
          <w:lang w:eastAsia="zh-CN"/>
          <w14:textFill>
            <w14:solidFill>
              <w14:schemeClr w14:val="tx1"/>
            </w14:solidFill>
          </w14:textFill>
        </w:rPr>
        <w:t>。</w:t>
      </w:r>
    </w:p>
    <w:p w14:paraId="4DEFE214">
      <w:pPr>
        <w:spacing w:line="360" w:lineRule="auto"/>
        <w:rPr>
          <w:szCs w:val="21"/>
        </w:rPr>
      </w:pPr>
      <w:r>
        <w:rPr>
          <w:b/>
          <w:bCs/>
          <w:szCs w:val="21"/>
        </w:rPr>
        <w:t>5.0.4</w:t>
      </w:r>
      <w:r>
        <w:rPr>
          <w:szCs w:val="21"/>
        </w:rPr>
        <w:t xml:space="preserve"> 减水剂宜选用聚羧酸系高性能减水剂，性能应符合现行国家标准</w:t>
      </w:r>
      <w:bookmarkStart w:id="45" w:name="_Hlk222903267"/>
      <w:r>
        <w:rPr>
          <w:szCs w:val="21"/>
        </w:rPr>
        <w:t>《混凝土外加剂》GB/T 8076</w:t>
      </w:r>
      <w:bookmarkEnd w:id="45"/>
      <w:r>
        <w:rPr>
          <w:szCs w:val="21"/>
        </w:rPr>
        <w:t>的规定；</w:t>
      </w:r>
    </w:p>
    <w:p w14:paraId="06C0F236">
      <w:pPr>
        <w:spacing w:line="360" w:lineRule="auto"/>
        <w:rPr>
          <w:color w:val="000000" w:themeColor="text1"/>
          <w:szCs w:val="21"/>
          <w14:textFill>
            <w14:solidFill>
              <w14:schemeClr w14:val="tx1"/>
            </w14:solidFill>
          </w14:textFill>
        </w:rPr>
      </w:pPr>
      <w:r>
        <w:rPr>
          <w:b/>
          <w:color w:val="000000" w:themeColor="text1"/>
          <w:spacing w:val="20"/>
          <w:szCs w:val="21"/>
          <w14:textFill>
            <w14:solidFill>
              <w14:schemeClr w14:val="tx1"/>
            </w14:solidFill>
          </w14:textFill>
        </w:rPr>
        <w:t>5.0.5</w:t>
      </w:r>
      <w:r>
        <w:rPr>
          <w:color w:val="000000" w:themeColor="text1"/>
          <w:szCs w:val="21"/>
          <w14:textFill>
            <w14:solidFill>
              <w14:schemeClr w14:val="tx1"/>
            </w14:solidFill>
          </w14:textFill>
        </w:rPr>
        <w:t>防水剂应符合下列规定：</w:t>
      </w:r>
    </w:p>
    <w:p w14:paraId="3318A609">
      <w:pPr>
        <w:spacing w:line="360" w:lineRule="auto"/>
        <w:ind w:firstLine="422" w:firstLineChars="200"/>
        <w:rPr>
          <w:szCs w:val="21"/>
        </w:rPr>
      </w:pPr>
      <w:bookmarkStart w:id="46" w:name="_Hlk175780313"/>
      <w:r>
        <w:rPr>
          <w:b/>
          <w:bCs/>
          <w:szCs w:val="21"/>
        </w:rPr>
        <w:t>1</w:t>
      </w:r>
      <w:r>
        <w:rPr>
          <w:szCs w:val="21"/>
        </w:rPr>
        <w:t>截面尺寸大于</w:t>
      </w:r>
      <w:r>
        <w:rPr>
          <w:rFonts w:hint="eastAsia"/>
          <w:szCs w:val="21"/>
        </w:rPr>
        <w:t>25</w:t>
      </w:r>
      <w:r>
        <w:rPr>
          <w:szCs w:val="21"/>
        </w:rPr>
        <w:t>0mm且不超过</w:t>
      </w:r>
      <w:r>
        <w:rPr>
          <w:rFonts w:hint="eastAsia"/>
          <w:szCs w:val="21"/>
        </w:rPr>
        <w:t>10</w:t>
      </w:r>
      <w:r>
        <w:rPr>
          <w:szCs w:val="21"/>
        </w:rPr>
        <w:t>00mm的工程结构，宜选用符合现行国家标准</w:t>
      </w:r>
      <w:bookmarkStart w:id="47" w:name="_Hlk222903275"/>
      <w:r>
        <w:rPr>
          <w:szCs w:val="21"/>
        </w:rPr>
        <w:t>《混凝土外加剂》GB/T 8076</w:t>
      </w:r>
      <w:bookmarkEnd w:id="47"/>
      <w:r>
        <w:rPr>
          <w:szCs w:val="21"/>
        </w:rPr>
        <w:t>和</w:t>
      </w:r>
      <w:bookmarkStart w:id="48" w:name="_Hlk222903279"/>
      <w:r>
        <w:rPr>
          <w:rFonts w:hint="eastAsia"/>
          <w:szCs w:val="21"/>
          <w:lang w:val="en-US" w:eastAsia="zh-CN"/>
        </w:rPr>
        <w:t>现行行业标准</w:t>
      </w:r>
      <w:r>
        <w:rPr>
          <w:szCs w:val="21"/>
        </w:rPr>
        <w:t>《砂浆、混凝土防水剂》JC/T 474</w:t>
      </w:r>
      <w:bookmarkEnd w:id="48"/>
      <w:r>
        <w:rPr>
          <w:szCs w:val="21"/>
        </w:rPr>
        <w:t>规定的防水剂；</w:t>
      </w:r>
    </w:p>
    <w:p w14:paraId="53A66562">
      <w:pPr>
        <w:spacing w:line="360" w:lineRule="auto"/>
        <w:ind w:firstLine="422" w:firstLineChars="200"/>
        <w:rPr>
          <w:color w:val="000000" w:themeColor="text1"/>
          <w:szCs w:val="21"/>
          <w14:textFill>
            <w14:solidFill>
              <w14:schemeClr w14:val="tx1"/>
            </w14:solidFill>
          </w14:textFill>
        </w:rPr>
      </w:pPr>
      <w:r>
        <w:rPr>
          <w:b/>
          <w:bCs/>
          <w:szCs w:val="21"/>
        </w:rPr>
        <w:t>2</w:t>
      </w:r>
      <w:r>
        <w:rPr>
          <w:szCs w:val="21"/>
        </w:rPr>
        <w:t>结构最小截面尺寸不超过2</w:t>
      </w:r>
      <w:r>
        <w:rPr>
          <w:rFonts w:hint="eastAsia"/>
          <w:szCs w:val="21"/>
        </w:rPr>
        <w:t>5</w:t>
      </w:r>
      <w:r>
        <w:rPr>
          <w:szCs w:val="21"/>
        </w:rPr>
        <w:t>0mm的工程结构，宜采用防裂抗渗复合材料，</w:t>
      </w:r>
      <w:r>
        <w:rPr>
          <w:color w:val="000000" w:themeColor="text1"/>
          <w:szCs w:val="21"/>
          <w14:textFill>
            <w14:solidFill>
              <w14:schemeClr w14:val="tx1"/>
            </w14:solidFill>
          </w14:textFill>
        </w:rPr>
        <w:t>性能符合</w:t>
      </w:r>
      <w:r>
        <w:rPr>
          <w:szCs w:val="21"/>
        </w:rPr>
        <w:t>现行</w:t>
      </w:r>
      <w:r>
        <w:rPr>
          <w:rFonts w:hint="eastAsia"/>
          <w:szCs w:val="21"/>
          <w:lang w:val="en-US" w:eastAsia="zh-CN"/>
        </w:rPr>
        <w:t>行业</w:t>
      </w:r>
      <w:r>
        <w:rPr>
          <w:szCs w:val="21"/>
        </w:rPr>
        <w:t>标准</w:t>
      </w:r>
      <w:bookmarkStart w:id="49" w:name="_Hlk222903285"/>
      <w:r>
        <w:rPr>
          <w:color w:val="000000" w:themeColor="text1"/>
          <w:szCs w:val="21"/>
          <w14:textFill>
            <w14:solidFill>
              <w14:schemeClr w14:val="tx1"/>
            </w14:solidFill>
          </w14:textFill>
        </w:rPr>
        <w:t>《</w:t>
      </w:r>
      <w:r>
        <w:rPr>
          <w:szCs w:val="21"/>
        </w:rPr>
        <w:t>地下工程混凝土结构自防水技术规范</w:t>
      </w:r>
      <w:r>
        <w:rPr>
          <w:color w:val="000000" w:themeColor="text1"/>
          <w:szCs w:val="21"/>
          <w14:textFill>
            <w14:solidFill>
              <w14:schemeClr w14:val="tx1"/>
            </w14:solidFill>
          </w14:textFill>
        </w:rPr>
        <w:t>》JC/T 60014</w:t>
      </w:r>
      <w:bookmarkEnd w:id="49"/>
      <w:r>
        <w:rPr>
          <w:color w:val="000000" w:themeColor="text1"/>
          <w:szCs w:val="21"/>
          <w14:textFill>
            <w14:solidFill>
              <w14:schemeClr w14:val="tx1"/>
            </w14:solidFill>
          </w14:textFill>
        </w:rPr>
        <w:t>的规定；</w:t>
      </w:r>
    </w:p>
    <w:p w14:paraId="318C50B2">
      <w:pPr>
        <w:spacing w:line="360" w:lineRule="auto"/>
        <w:ind w:firstLine="422" w:firstLineChars="200"/>
        <w:rPr>
          <w:color w:val="000000" w:themeColor="text1"/>
          <w:szCs w:val="21"/>
          <w14:textFill>
            <w14:solidFill>
              <w14:schemeClr w14:val="tx1"/>
            </w14:solidFill>
          </w14:textFill>
        </w:rPr>
      </w:pPr>
      <w:r>
        <w:rPr>
          <w:b/>
          <w:bCs/>
          <w:szCs w:val="21"/>
        </w:rPr>
        <w:t>3</w:t>
      </w:r>
      <w:r>
        <w:rPr>
          <w:szCs w:val="21"/>
        </w:rPr>
        <w:t>结构最小截面尺寸超过</w:t>
      </w:r>
      <w:r>
        <w:rPr>
          <w:rFonts w:hint="eastAsia"/>
          <w:szCs w:val="21"/>
        </w:rPr>
        <w:t>10</w:t>
      </w:r>
      <w:r>
        <w:rPr>
          <w:szCs w:val="21"/>
        </w:rPr>
        <w:t>00mm或预测因水化热容易产生开裂的工程结构，宜选用</w:t>
      </w:r>
      <w:r>
        <w:rPr>
          <w:color w:val="000000" w:themeColor="text1"/>
          <w:szCs w:val="21"/>
          <w14:textFill>
            <w14:solidFill>
              <w14:schemeClr w14:val="tx1"/>
            </w14:solidFill>
          </w14:textFill>
        </w:rPr>
        <w:t>混凝土抑温抗裂防水剂，性能符合</w:t>
      </w:r>
      <w:r>
        <w:rPr>
          <w:szCs w:val="21"/>
        </w:rPr>
        <w:t>现行</w:t>
      </w:r>
      <w:r>
        <w:rPr>
          <w:rFonts w:hint="eastAsia"/>
          <w:szCs w:val="21"/>
          <w:lang w:val="en-US" w:eastAsia="zh-CN"/>
        </w:rPr>
        <w:t>行业</w:t>
      </w:r>
      <w:r>
        <w:rPr>
          <w:szCs w:val="21"/>
        </w:rPr>
        <w:t>标准</w:t>
      </w:r>
      <w:bookmarkStart w:id="50" w:name="_Hlk222903293"/>
      <w:r>
        <w:rPr>
          <w:color w:val="000000" w:themeColor="text1"/>
          <w:szCs w:val="21"/>
          <w14:textFill>
            <w14:solidFill>
              <w14:schemeClr w14:val="tx1"/>
            </w14:solidFill>
          </w14:textFill>
        </w:rPr>
        <w:t>《</w:t>
      </w:r>
      <w:r>
        <w:rPr>
          <w:szCs w:val="21"/>
        </w:rPr>
        <w:t>地下工程混凝土结构自防水技术规范</w:t>
      </w:r>
      <w:r>
        <w:rPr>
          <w:color w:val="000000" w:themeColor="text1"/>
          <w:szCs w:val="21"/>
          <w14:textFill>
            <w14:solidFill>
              <w14:schemeClr w14:val="tx1"/>
            </w14:solidFill>
          </w14:textFill>
        </w:rPr>
        <w:t>》JC/T 60014</w:t>
      </w:r>
      <w:bookmarkEnd w:id="50"/>
      <w:r>
        <w:rPr>
          <w:color w:val="000000" w:themeColor="text1"/>
          <w:szCs w:val="21"/>
          <w14:textFill>
            <w14:solidFill>
              <w14:schemeClr w14:val="tx1"/>
            </w14:solidFill>
          </w14:textFill>
        </w:rPr>
        <w:t>的规定；</w:t>
      </w:r>
    </w:p>
    <w:p w14:paraId="6F008C4F">
      <w:pPr>
        <w:spacing w:line="360" w:lineRule="auto"/>
        <w:ind w:firstLine="422" w:firstLineChars="200"/>
        <w:rPr>
          <w:rFonts w:hint="eastAsia" w:eastAsia="宋体"/>
          <w:color w:val="000000" w:themeColor="text1"/>
          <w:szCs w:val="21"/>
          <w:highlight w:val="none"/>
          <w:lang w:eastAsia="zh-CN"/>
          <w14:textFill>
            <w14:solidFill>
              <w14:schemeClr w14:val="tx1"/>
            </w14:solidFill>
          </w14:textFill>
        </w:rPr>
      </w:pPr>
      <w:r>
        <w:rPr>
          <w:rFonts w:hint="eastAsia"/>
          <w:b/>
          <w:bCs/>
          <w:color w:val="000000" w:themeColor="text1"/>
          <w:szCs w:val="21"/>
          <w:highlight w:val="none"/>
          <w:lang w:val="en-US" w:eastAsia="zh-CN"/>
          <w14:textFill>
            <w14:solidFill>
              <w14:schemeClr w14:val="tx1"/>
            </w14:solidFill>
          </w14:textFill>
        </w:rPr>
        <w:t>4</w:t>
      </w:r>
      <w:r>
        <w:rPr>
          <w:color w:val="000000" w:themeColor="text1"/>
          <w:szCs w:val="21"/>
          <w:highlight w:val="none"/>
          <w14:textFill>
            <w14:solidFill>
              <w14:schemeClr w14:val="tx1"/>
            </w14:solidFill>
          </w14:textFill>
        </w:rPr>
        <w:t>混凝土无机抗裂减渗剂应符合</w:t>
      </w:r>
      <w:r>
        <w:rPr>
          <w:szCs w:val="21"/>
          <w:highlight w:val="none"/>
        </w:rPr>
        <w:t>现行行业标准</w:t>
      </w:r>
      <w:r>
        <w:rPr>
          <w:color w:val="000000" w:themeColor="text1"/>
          <w:szCs w:val="21"/>
          <w:highlight w:val="none"/>
          <w14:textFill>
            <w14:solidFill>
              <w14:schemeClr w14:val="tx1"/>
            </w14:solidFill>
          </w14:textFill>
        </w:rPr>
        <w:t>《</w:t>
      </w:r>
      <w:r>
        <w:rPr>
          <w:szCs w:val="21"/>
          <w:highlight w:val="none"/>
        </w:rPr>
        <w:t>地下工程混凝土结构自防水技术规范</w:t>
      </w:r>
      <w:r>
        <w:rPr>
          <w:color w:val="000000" w:themeColor="text1"/>
          <w:szCs w:val="21"/>
          <w:highlight w:val="none"/>
          <w14:textFill>
            <w14:solidFill>
              <w14:schemeClr w14:val="tx1"/>
            </w14:solidFill>
          </w14:textFill>
        </w:rPr>
        <w:t>》JC/T 60014的规定</w:t>
      </w:r>
      <w:r>
        <w:rPr>
          <w:rFonts w:hint="eastAsia"/>
          <w:color w:val="000000" w:themeColor="text1"/>
          <w:szCs w:val="21"/>
          <w:highlight w:val="none"/>
          <w:lang w:eastAsia="zh-CN"/>
          <w14:textFill>
            <w14:solidFill>
              <w14:schemeClr w14:val="tx1"/>
            </w14:solidFill>
          </w14:textFill>
        </w:rPr>
        <w:t>；</w:t>
      </w:r>
    </w:p>
    <w:p w14:paraId="0313B621">
      <w:pPr>
        <w:spacing w:line="360" w:lineRule="auto"/>
        <w:ind w:firstLine="422" w:firstLineChars="200"/>
        <w:rPr>
          <w:rFonts w:hint="eastAsia" w:eastAsia="宋体"/>
          <w:color w:val="000000" w:themeColor="text1"/>
          <w:szCs w:val="21"/>
          <w:lang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5</w:t>
      </w:r>
      <w:r>
        <w:rPr>
          <w:color w:val="000000" w:themeColor="text1"/>
          <w:szCs w:val="21"/>
          <w14:textFill>
            <w14:solidFill>
              <w14:schemeClr w14:val="tx1"/>
            </w14:solidFill>
          </w14:textFill>
        </w:rPr>
        <w:t>水泥基渗透结晶防水剂应符合现行</w:t>
      </w:r>
      <w:r>
        <w:rPr>
          <w:rFonts w:hint="eastAsia"/>
          <w:color w:val="000000" w:themeColor="text1"/>
          <w:szCs w:val="21"/>
          <w:lang w:val="en-US" w:eastAsia="zh-CN"/>
          <w14:textFill>
            <w14:solidFill>
              <w14:schemeClr w14:val="tx1"/>
            </w14:solidFill>
          </w14:textFill>
        </w:rPr>
        <w:t>国家</w:t>
      </w:r>
      <w:r>
        <w:rPr>
          <w:color w:val="000000" w:themeColor="text1"/>
          <w:szCs w:val="21"/>
          <w14:textFill>
            <w14:solidFill>
              <w14:schemeClr w14:val="tx1"/>
            </w14:solidFill>
          </w14:textFill>
        </w:rPr>
        <w:t>标准</w:t>
      </w:r>
      <w:bookmarkStart w:id="51" w:name="_Hlk222903303"/>
      <w:r>
        <w:rPr>
          <w:color w:val="000000" w:themeColor="text1"/>
          <w:szCs w:val="21"/>
          <w14:textFill>
            <w14:solidFill>
              <w14:schemeClr w14:val="tx1"/>
            </w14:solidFill>
          </w14:textFill>
        </w:rPr>
        <w:t>《水泥基渗透结晶型防水材料》GB</w:t>
      </w:r>
      <w:r>
        <w:rPr>
          <w:rFonts w:hint="eastAsia"/>
          <w:color w:val="000000" w:themeColor="text1"/>
          <w:szCs w:val="21"/>
          <w14:textFill>
            <w14:solidFill>
              <w14:schemeClr w14:val="tx1"/>
            </w14:solidFill>
          </w14:textFill>
        </w:rPr>
        <w:t>/T</w:t>
      </w:r>
      <w:r>
        <w:rPr>
          <w:color w:val="000000" w:themeColor="text1"/>
          <w:szCs w:val="21"/>
          <w14:textFill>
            <w14:solidFill>
              <w14:schemeClr w14:val="tx1"/>
            </w14:solidFill>
          </w14:textFill>
        </w:rPr>
        <w:t xml:space="preserve"> 18445</w:t>
      </w:r>
      <w:bookmarkEnd w:id="51"/>
      <w:r>
        <w:rPr>
          <w:color w:val="000000" w:themeColor="text1"/>
          <w:szCs w:val="21"/>
          <w14:textFill>
            <w14:solidFill>
              <w14:schemeClr w14:val="tx1"/>
            </w14:solidFill>
          </w14:textFill>
        </w:rPr>
        <w:t>的规定</w:t>
      </w:r>
      <w:r>
        <w:rPr>
          <w:rFonts w:hint="eastAsia"/>
          <w:color w:val="000000" w:themeColor="text1"/>
          <w:szCs w:val="21"/>
          <w:lang w:eastAsia="zh-CN"/>
          <w14:textFill>
            <w14:solidFill>
              <w14:schemeClr w14:val="tx1"/>
            </w14:solidFill>
          </w14:textFill>
        </w:rPr>
        <w:t>；</w:t>
      </w:r>
    </w:p>
    <w:bookmarkEnd w:id="46"/>
    <w:p w14:paraId="127706D1">
      <w:pPr>
        <w:spacing w:line="360" w:lineRule="auto"/>
        <w:ind w:firstLine="422" w:firstLineChars="200"/>
        <w:rPr>
          <w:rFonts w:hint="eastAsia"/>
          <w:b/>
          <w:bCs w:val="0"/>
          <w:color w:val="000000" w:themeColor="text1"/>
          <w:szCs w:val="21"/>
          <w:lang w:val="en-US" w:eastAsia="zh-CN"/>
          <w14:textFill>
            <w14:solidFill>
              <w14:schemeClr w14:val="tx1"/>
            </w14:solidFill>
          </w14:textFill>
        </w:rPr>
      </w:pPr>
      <w:r>
        <w:rPr>
          <w:rFonts w:hint="eastAsia"/>
          <w:b/>
          <w:bCs w:val="0"/>
          <w:color w:val="000000" w:themeColor="text1"/>
          <w:szCs w:val="21"/>
          <w:lang w:val="en-US" w:eastAsia="zh-CN"/>
          <w14:textFill>
            <w14:solidFill>
              <w14:schemeClr w14:val="tx1"/>
            </w14:solidFill>
          </w14:textFill>
        </w:rPr>
        <w:t xml:space="preserve">6 </w:t>
      </w:r>
      <w:r>
        <w:rPr>
          <w:rFonts w:hint="eastAsia"/>
          <w:b w:val="0"/>
          <w:bCs/>
          <w:color w:val="000000" w:themeColor="text1"/>
          <w:szCs w:val="21"/>
          <w:lang w:val="en-US" w:eastAsia="zh-CN"/>
          <w14:textFill>
            <w14:solidFill>
              <w14:schemeClr w14:val="tx1"/>
            </w14:solidFill>
          </w14:textFill>
        </w:rPr>
        <w:t>硅质抗裂防水剂应符合表5.0.5的规定。</w:t>
      </w:r>
    </w:p>
    <w:p w14:paraId="11824851">
      <w:pPr>
        <w:keepNext w:val="0"/>
        <w:keepLines w:val="0"/>
        <w:pageBreakBefore w:val="0"/>
        <w:widowControl w:val="0"/>
        <w:kinsoku/>
        <w:wordWrap/>
        <w:overflowPunct/>
        <w:topLinePunct w:val="0"/>
        <w:autoSpaceDE/>
        <w:autoSpaceDN/>
        <w:bidi w:val="0"/>
        <w:adjustRightInd/>
        <w:ind w:firstLine="0" w:firstLineChars="0"/>
        <w:jc w:val="center"/>
        <w:textAlignment w:val="auto"/>
        <w:rPr>
          <w:rFonts w:hint="eastAsia" w:ascii="Times New Roman" w:hAnsi="Times New Roman" w:eastAsia="宋体" w:cs="Times New Roman"/>
          <w:b/>
          <w:bCs w:val="0"/>
          <w:sz w:val="18"/>
          <w:szCs w:val="18"/>
          <w:highlight w:val="none"/>
          <w:lang w:val="en-US" w:eastAsia="zh-CN"/>
        </w:rPr>
      </w:pPr>
      <w:r>
        <w:rPr>
          <w:rFonts w:hint="eastAsia" w:ascii="Times New Roman" w:hAnsi="Times New Roman" w:eastAsia="宋体" w:cs="Times New Roman"/>
          <w:b/>
          <w:bCs w:val="0"/>
          <w:sz w:val="18"/>
          <w:szCs w:val="18"/>
          <w:highlight w:val="none"/>
          <w:lang w:val="en-US" w:eastAsia="zh-CN"/>
        </w:rPr>
        <w:t xml:space="preserve">表5.2.5 </w:t>
      </w:r>
      <w:r>
        <w:rPr>
          <w:rFonts w:hint="eastAsia" w:cs="Times New Roman"/>
          <w:b/>
          <w:bCs w:val="0"/>
          <w:sz w:val="18"/>
          <w:szCs w:val="18"/>
          <w:highlight w:val="none"/>
          <w:lang w:val="en-US" w:eastAsia="zh-CN"/>
        </w:rPr>
        <w:t>硅质抗裂防水剂</w:t>
      </w:r>
      <w:r>
        <w:rPr>
          <w:rFonts w:hint="eastAsia" w:ascii="Times New Roman" w:hAnsi="Times New Roman" w:eastAsia="宋体" w:cs="Times New Roman"/>
          <w:b/>
          <w:bCs w:val="0"/>
          <w:sz w:val="18"/>
          <w:szCs w:val="18"/>
          <w:highlight w:val="none"/>
          <w:lang w:val="en-US" w:eastAsia="zh-CN"/>
        </w:rPr>
        <w:t>性能要求</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4"/>
        <w:gridCol w:w="3757"/>
        <w:gridCol w:w="3053"/>
      </w:tblGrid>
      <w:tr w14:paraId="1E2C1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3355" w:type="pct"/>
            <w:gridSpan w:val="2"/>
            <w:noWrap w:val="0"/>
            <w:vAlign w:val="center"/>
          </w:tcPr>
          <w:p w14:paraId="64E745B1">
            <w:pPr>
              <w:jc w:val="center"/>
              <w:rPr>
                <w:rFonts w:hint="default" w:ascii="Times New Roman" w:hAnsi="Times New Roman" w:cs="Times New Roman"/>
                <w:sz w:val="18"/>
                <w:szCs w:val="18"/>
              </w:rPr>
            </w:pPr>
            <w:r>
              <w:rPr>
                <w:rFonts w:hint="default" w:ascii="Times New Roman" w:hAnsi="Times New Roman" w:cs="Times New Roman"/>
                <w:sz w:val="18"/>
                <w:szCs w:val="18"/>
              </w:rPr>
              <w:t>项目</w:t>
            </w:r>
          </w:p>
        </w:tc>
        <w:tc>
          <w:tcPr>
            <w:tcW w:w="1644" w:type="pct"/>
            <w:noWrap w:val="0"/>
            <w:vAlign w:val="center"/>
          </w:tcPr>
          <w:p w14:paraId="50C206EF">
            <w:pPr>
              <w:jc w:val="center"/>
              <w:rPr>
                <w:rFonts w:hint="default" w:ascii="Times New Roman" w:hAnsi="Times New Roman" w:cs="Times New Roman"/>
                <w:sz w:val="18"/>
                <w:szCs w:val="18"/>
              </w:rPr>
            </w:pPr>
            <w:r>
              <w:rPr>
                <w:rFonts w:hint="default" w:ascii="Times New Roman" w:hAnsi="Times New Roman" w:cs="Times New Roman"/>
                <w:sz w:val="18"/>
                <w:szCs w:val="18"/>
              </w:rPr>
              <w:t>性能指标</w:t>
            </w:r>
          </w:p>
        </w:tc>
      </w:tr>
      <w:tr w14:paraId="673BE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355" w:type="pct"/>
            <w:gridSpan w:val="2"/>
            <w:noWrap w:val="0"/>
            <w:vAlign w:val="center"/>
          </w:tcPr>
          <w:p w14:paraId="067F1B41">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含水率</w:t>
            </w:r>
            <w:r>
              <w:rPr>
                <w:rFonts w:hint="default" w:ascii="Times New Roman" w:hAnsi="Times New Roman" w:cs="Times New Roman"/>
                <w:sz w:val="18"/>
                <w:szCs w:val="18"/>
              </w:rPr>
              <w:t>（%）</w:t>
            </w:r>
          </w:p>
          <w:p w14:paraId="784EE872">
            <w:pPr>
              <w:jc w:val="center"/>
              <w:rPr>
                <w:rFonts w:hint="default" w:ascii="Times New Roman" w:hAnsi="Times New Roman" w:cs="Times New Roman"/>
                <w:sz w:val="18"/>
                <w:szCs w:val="18"/>
              </w:rPr>
            </w:pPr>
          </w:p>
        </w:tc>
        <w:tc>
          <w:tcPr>
            <w:tcW w:w="1644" w:type="pct"/>
            <w:noWrap w:val="0"/>
            <w:vAlign w:val="center"/>
          </w:tcPr>
          <w:p w14:paraId="08230062">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2.0</w:t>
            </w:r>
          </w:p>
        </w:tc>
      </w:tr>
      <w:tr w14:paraId="0790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355" w:type="pct"/>
            <w:gridSpan w:val="2"/>
            <w:noWrap w:val="0"/>
            <w:vAlign w:val="center"/>
          </w:tcPr>
          <w:p w14:paraId="60797E86">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氯离子</w:t>
            </w:r>
            <w:r>
              <w:rPr>
                <w:rFonts w:hint="default" w:ascii="Times New Roman" w:hAnsi="Times New Roman" w:cs="Times New Roman"/>
                <w:sz w:val="18"/>
                <w:szCs w:val="18"/>
              </w:rPr>
              <w:t>含量（%）</w:t>
            </w:r>
          </w:p>
          <w:p w14:paraId="0EFB928B">
            <w:pPr>
              <w:jc w:val="center"/>
              <w:rPr>
                <w:rFonts w:hint="default" w:ascii="Times New Roman" w:hAnsi="Times New Roman" w:cs="Times New Roman"/>
                <w:sz w:val="18"/>
                <w:szCs w:val="18"/>
              </w:rPr>
            </w:pPr>
          </w:p>
        </w:tc>
        <w:tc>
          <w:tcPr>
            <w:tcW w:w="1644" w:type="pct"/>
            <w:noWrap w:val="0"/>
            <w:vAlign w:val="center"/>
          </w:tcPr>
          <w:p w14:paraId="3EA346E4">
            <w:pPr>
              <w:jc w:val="center"/>
              <w:rPr>
                <w:rFonts w:hint="default" w:ascii="Times New Roman" w:hAnsi="Times New Roman" w:cs="Times New Roman"/>
                <w:sz w:val="18"/>
                <w:szCs w:val="18"/>
              </w:rPr>
            </w:pPr>
            <w:r>
              <w:rPr>
                <w:rFonts w:hint="default" w:ascii="Times New Roman" w:hAnsi="Times New Roman" w:cs="Times New Roman"/>
                <w:sz w:val="18"/>
                <w:szCs w:val="18"/>
              </w:rPr>
              <w:t>≤0.</w:t>
            </w:r>
            <w:r>
              <w:rPr>
                <w:rFonts w:hint="default" w:ascii="Times New Roman" w:hAnsi="Times New Roman" w:cs="Times New Roman"/>
                <w:sz w:val="18"/>
                <w:szCs w:val="18"/>
                <w:lang w:val="en-US" w:eastAsia="zh-CN"/>
              </w:rPr>
              <w:t>06</w:t>
            </w:r>
          </w:p>
        </w:tc>
      </w:tr>
      <w:tr w14:paraId="6D83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32" w:type="pct"/>
            <w:noWrap w:val="0"/>
            <w:vAlign w:val="center"/>
          </w:tcPr>
          <w:p w14:paraId="54CAA8C2">
            <w:pPr>
              <w:jc w:val="center"/>
              <w:rPr>
                <w:rFonts w:hint="default" w:ascii="Times New Roman" w:hAnsi="Times New Roman" w:cs="Times New Roman"/>
                <w:sz w:val="18"/>
                <w:szCs w:val="18"/>
              </w:rPr>
            </w:pPr>
            <w:r>
              <w:rPr>
                <w:rFonts w:hint="default" w:ascii="Times New Roman" w:hAnsi="Times New Roman" w:cs="Times New Roman"/>
                <w:sz w:val="18"/>
                <w:szCs w:val="18"/>
              </w:rPr>
              <w:t>细度（%）</w:t>
            </w:r>
          </w:p>
        </w:tc>
        <w:tc>
          <w:tcPr>
            <w:tcW w:w="2023" w:type="pct"/>
            <w:noWrap w:val="0"/>
            <w:vAlign w:val="center"/>
          </w:tcPr>
          <w:p w14:paraId="5EDAA984">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0.315</w:t>
            </w:r>
            <w:r>
              <w:rPr>
                <w:rFonts w:hint="default" w:ascii="Times New Roman" w:hAnsi="Times New Roman" w:cs="Times New Roman"/>
                <w:sz w:val="18"/>
                <w:szCs w:val="18"/>
              </w:rPr>
              <w:t xml:space="preserve"> </w:t>
            </w:r>
            <w:r>
              <w:rPr>
                <w:rFonts w:hint="default" w:ascii="Times New Roman" w:hAnsi="Times New Roman" w:cs="Times New Roman"/>
                <w:sz w:val="18"/>
                <w:szCs w:val="18"/>
                <w:lang w:val="en-US" w:eastAsia="zh-CN"/>
              </w:rPr>
              <w:t>m</w:t>
            </w:r>
            <w:r>
              <w:rPr>
                <w:rFonts w:hint="default" w:ascii="Times New Roman" w:hAnsi="Times New Roman" w:cs="Times New Roman"/>
                <w:sz w:val="18"/>
                <w:szCs w:val="18"/>
              </w:rPr>
              <w:t>m方孔筛筛余</w:t>
            </w:r>
          </w:p>
        </w:tc>
        <w:tc>
          <w:tcPr>
            <w:tcW w:w="1644" w:type="pct"/>
            <w:noWrap w:val="0"/>
            <w:vAlign w:val="center"/>
          </w:tcPr>
          <w:p w14:paraId="1B59906E">
            <w:pPr>
              <w:jc w:val="center"/>
              <w:rPr>
                <w:rFonts w:hint="default" w:ascii="Times New Roman" w:hAnsi="Times New Roman" w:cs="Times New Roman"/>
                <w:sz w:val="18"/>
                <w:szCs w:val="18"/>
              </w:rPr>
            </w:pPr>
            <w:r>
              <w:rPr>
                <w:rFonts w:hint="default" w:ascii="Times New Roman" w:hAnsi="Times New Roman" w:cs="Times New Roman"/>
                <w:sz w:val="18"/>
                <w:szCs w:val="18"/>
              </w:rPr>
              <w:t>≤5.0</w:t>
            </w:r>
          </w:p>
        </w:tc>
      </w:tr>
      <w:tr w14:paraId="797D8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355" w:type="pct"/>
            <w:gridSpan w:val="2"/>
            <w:noWrap w:val="0"/>
            <w:vAlign w:val="center"/>
          </w:tcPr>
          <w:p w14:paraId="2A586AE7">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泌水率比</w:t>
            </w:r>
            <w:r>
              <w:rPr>
                <w:rFonts w:hint="default" w:ascii="Times New Roman" w:hAnsi="Times New Roman" w:cs="Times New Roman"/>
                <w:sz w:val="18"/>
                <w:szCs w:val="18"/>
              </w:rPr>
              <w:t>（%）</w:t>
            </w:r>
          </w:p>
        </w:tc>
        <w:tc>
          <w:tcPr>
            <w:tcW w:w="1644" w:type="pct"/>
            <w:noWrap w:val="0"/>
            <w:vAlign w:val="center"/>
          </w:tcPr>
          <w:p w14:paraId="47A0BA11">
            <w:pPr>
              <w:jc w:val="center"/>
              <w:rPr>
                <w:rFonts w:hint="default" w:ascii="Times New Roman" w:hAnsi="Times New Roman" w:cs="Times New Roman"/>
                <w:sz w:val="18"/>
                <w:szCs w:val="18"/>
              </w:rPr>
            </w:pPr>
            <w:r>
              <w:rPr>
                <w:rFonts w:hint="default" w:ascii="Times New Roman" w:hAnsi="Times New Roman" w:cs="Times New Roman"/>
                <w:sz w:val="18"/>
                <w:szCs w:val="18"/>
              </w:rPr>
              <w:t>≤50</w:t>
            </w:r>
          </w:p>
        </w:tc>
      </w:tr>
      <w:tr w14:paraId="3C9A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355" w:type="pct"/>
            <w:gridSpan w:val="2"/>
            <w:noWrap w:val="0"/>
            <w:vAlign w:val="center"/>
          </w:tcPr>
          <w:p w14:paraId="50FE9B6D">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初凝时间差（min）</w:t>
            </w:r>
          </w:p>
        </w:tc>
        <w:tc>
          <w:tcPr>
            <w:tcW w:w="1644" w:type="pct"/>
            <w:noWrap w:val="0"/>
            <w:vAlign w:val="center"/>
          </w:tcPr>
          <w:p w14:paraId="4DADF289">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-90</w:t>
            </w:r>
          </w:p>
        </w:tc>
      </w:tr>
      <w:tr w14:paraId="049C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332" w:type="pct"/>
            <w:vMerge w:val="restart"/>
            <w:noWrap w:val="0"/>
            <w:vAlign w:val="center"/>
          </w:tcPr>
          <w:p w14:paraId="7C529F37">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抗压强度</w:t>
            </w:r>
            <w:r>
              <w:rPr>
                <w:rFonts w:hint="default" w:ascii="Times New Roman" w:hAnsi="Times New Roman" w:cs="Times New Roman"/>
                <w:sz w:val="18"/>
                <w:szCs w:val="18"/>
                <w:lang w:val="en-US" w:eastAsia="zh-CN"/>
              </w:rPr>
              <w:t>比</w:t>
            </w:r>
            <w:r>
              <w:rPr>
                <w:rFonts w:hint="default" w:ascii="Times New Roman" w:hAnsi="Times New Roman" w:cs="Times New Roman"/>
                <w:sz w:val="18"/>
                <w:szCs w:val="18"/>
              </w:rPr>
              <w:t>（</w:t>
            </w:r>
            <w:r>
              <w:rPr>
                <w:rFonts w:hint="eastAsia" w:ascii="Times New Roman" w:hAnsi="Times New Roman" w:cs="Times New Roman"/>
                <w:sz w:val="18"/>
                <w:szCs w:val="18"/>
                <w:lang w:val="en-US" w:eastAsia="zh-CN"/>
              </w:rPr>
              <w:t>%</w:t>
            </w:r>
            <w:bookmarkStart w:id="142" w:name="_GoBack"/>
            <w:bookmarkEnd w:id="142"/>
            <w:r>
              <w:rPr>
                <w:rFonts w:hint="default" w:ascii="Times New Roman" w:hAnsi="Times New Roman" w:cs="Times New Roman"/>
                <w:sz w:val="18"/>
                <w:szCs w:val="18"/>
              </w:rPr>
              <w:t>）</w:t>
            </w:r>
          </w:p>
        </w:tc>
        <w:tc>
          <w:tcPr>
            <w:tcW w:w="2023" w:type="pct"/>
            <w:noWrap w:val="0"/>
            <w:vAlign w:val="center"/>
          </w:tcPr>
          <w:p w14:paraId="7360F5B7">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3d</w:t>
            </w:r>
          </w:p>
        </w:tc>
        <w:tc>
          <w:tcPr>
            <w:tcW w:w="1644" w:type="pct"/>
            <w:noWrap w:val="0"/>
            <w:vAlign w:val="center"/>
          </w:tcPr>
          <w:p w14:paraId="66C63525">
            <w:pPr>
              <w:jc w:val="center"/>
              <w:rPr>
                <w:rFonts w:hint="default" w:ascii="Times New Roman" w:hAnsi="Times New Roman" w:cs="Times New Roman"/>
                <w:sz w:val="18"/>
                <w:szCs w:val="18"/>
                <w:lang w:val="en-US"/>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100</w:t>
            </w:r>
          </w:p>
        </w:tc>
      </w:tr>
      <w:tr w14:paraId="52752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332" w:type="pct"/>
            <w:vMerge w:val="continue"/>
            <w:tcBorders/>
            <w:noWrap w:val="0"/>
            <w:vAlign w:val="center"/>
          </w:tcPr>
          <w:p w14:paraId="6AB64DAA">
            <w:pPr>
              <w:jc w:val="center"/>
              <w:rPr>
                <w:rFonts w:hint="default" w:ascii="Times New Roman" w:hAnsi="Times New Roman" w:cs="Times New Roman"/>
                <w:sz w:val="18"/>
                <w:szCs w:val="18"/>
              </w:rPr>
            </w:pPr>
          </w:p>
        </w:tc>
        <w:tc>
          <w:tcPr>
            <w:tcW w:w="2023" w:type="pct"/>
            <w:shd w:val="clear"/>
            <w:noWrap w:val="0"/>
            <w:vAlign w:val="center"/>
          </w:tcPr>
          <w:p w14:paraId="18EBDBF2">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7d</w:t>
            </w:r>
          </w:p>
        </w:tc>
        <w:tc>
          <w:tcPr>
            <w:tcW w:w="1644" w:type="pct"/>
            <w:noWrap w:val="0"/>
            <w:vAlign w:val="center"/>
          </w:tcPr>
          <w:p w14:paraId="757EFDAD">
            <w:pPr>
              <w:jc w:val="center"/>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110</w:t>
            </w:r>
          </w:p>
        </w:tc>
      </w:tr>
      <w:tr w14:paraId="77C21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332" w:type="pct"/>
            <w:vMerge w:val="continue"/>
            <w:tcBorders/>
            <w:noWrap w:val="0"/>
            <w:vAlign w:val="center"/>
          </w:tcPr>
          <w:p w14:paraId="4D379964">
            <w:pPr>
              <w:jc w:val="center"/>
              <w:rPr>
                <w:rFonts w:hint="default" w:ascii="Times New Roman" w:hAnsi="Times New Roman" w:cs="Times New Roman"/>
                <w:sz w:val="18"/>
                <w:szCs w:val="18"/>
              </w:rPr>
            </w:pPr>
          </w:p>
        </w:tc>
        <w:tc>
          <w:tcPr>
            <w:tcW w:w="2023" w:type="pct"/>
            <w:shd w:val="clear"/>
            <w:noWrap w:val="0"/>
            <w:vAlign w:val="top"/>
          </w:tcPr>
          <w:p w14:paraId="21497AC5">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rPr>
              <w:t>28d</w:t>
            </w:r>
          </w:p>
        </w:tc>
        <w:tc>
          <w:tcPr>
            <w:tcW w:w="1644" w:type="pct"/>
            <w:noWrap w:val="0"/>
            <w:vAlign w:val="center"/>
          </w:tcPr>
          <w:p w14:paraId="71072019">
            <w:pPr>
              <w:jc w:val="center"/>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100</w:t>
            </w:r>
          </w:p>
        </w:tc>
      </w:tr>
      <w:tr w14:paraId="3B68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332" w:type="pct"/>
            <w:vMerge w:val="restart"/>
            <w:noWrap w:val="0"/>
            <w:vAlign w:val="center"/>
          </w:tcPr>
          <w:p w14:paraId="12F45875">
            <w:pPr>
              <w:jc w:val="center"/>
              <w:rPr>
                <w:rFonts w:hint="default" w:ascii="Times New Roman" w:hAnsi="Times New Roman" w:cs="Times New Roman"/>
                <w:sz w:val="18"/>
                <w:szCs w:val="18"/>
              </w:rPr>
            </w:pPr>
            <w:r>
              <w:rPr>
                <w:rFonts w:hint="default" w:ascii="Times New Roman" w:hAnsi="Times New Roman" w:cs="Times New Roman"/>
                <w:sz w:val="18"/>
                <w:szCs w:val="18"/>
              </w:rPr>
              <w:t>限制膨胀率（%）</w:t>
            </w:r>
          </w:p>
        </w:tc>
        <w:tc>
          <w:tcPr>
            <w:tcW w:w="2023" w:type="pct"/>
            <w:noWrap w:val="0"/>
            <w:vAlign w:val="top"/>
          </w:tcPr>
          <w:p w14:paraId="347C3685">
            <w:pPr>
              <w:jc w:val="center"/>
              <w:rPr>
                <w:rFonts w:hint="default" w:ascii="Times New Roman" w:hAnsi="Times New Roman" w:cs="Times New Roman"/>
                <w:sz w:val="18"/>
                <w:szCs w:val="18"/>
              </w:rPr>
            </w:pPr>
            <w:r>
              <w:rPr>
                <w:rFonts w:hint="default" w:ascii="Times New Roman" w:hAnsi="Times New Roman" w:cs="Times New Roman"/>
                <w:sz w:val="18"/>
                <w:szCs w:val="18"/>
              </w:rPr>
              <w:t>水中7d</w:t>
            </w:r>
          </w:p>
          <w:p w14:paraId="20A0DAF4">
            <w:pPr>
              <w:jc w:val="center"/>
              <w:rPr>
                <w:rFonts w:hint="default" w:ascii="Times New Roman" w:hAnsi="Times New Roman" w:cs="Times New Roman"/>
                <w:sz w:val="18"/>
                <w:szCs w:val="18"/>
              </w:rPr>
            </w:pPr>
          </w:p>
        </w:tc>
        <w:tc>
          <w:tcPr>
            <w:tcW w:w="1644" w:type="pct"/>
            <w:noWrap w:val="0"/>
            <w:vAlign w:val="center"/>
          </w:tcPr>
          <w:p w14:paraId="341B43A6">
            <w:pPr>
              <w:jc w:val="center"/>
              <w:rPr>
                <w:rFonts w:hint="default" w:ascii="Times New Roman" w:hAnsi="Times New Roman" w:cs="Times New Roman"/>
                <w:sz w:val="18"/>
                <w:szCs w:val="18"/>
              </w:rPr>
            </w:pPr>
            <w:r>
              <w:rPr>
                <w:rFonts w:hint="default" w:ascii="Times New Roman" w:hAnsi="Times New Roman" w:cs="Times New Roman"/>
                <w:sz w:val="18"/>
                <w:szCs w:val="18"/>
              </w:rPr>
              <w:t>≥0.0</w:t>
            </w:r>
            <w:r>
              <w:rPr>
                <w:rFonts w:hint="default" w:ascii="Times New Roman" w:hAnsi="Times New Roman" w:cs="Times New Roman"/>
                <w:sz w:val="18"/>
                <w:szCs w:val="18"/>
                <w:lang w:val="en-US" w:eastAsia="zh-CN"/>
              </w:rPr>
              <w:t>3</w:t>
            </w:r>
            <w:r>
              <w:rPr>
                <w:rFonts w:hint="default" w:ascii="Times New Roman" w:hAnsi="Times New Roman" w:cs="Times New Roman"/>
                <w:sz w:val="18"/>
                <w:szCs w:val="18"/>
              </w:rPr>
              <w:t>5</w:t>
            </w:r>
          </w:p>
        </w:tc>
      </w:tr>
      <w:tr w14:paraId="024E8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332" w:type="pct"/>
            <w:vMerge w:val="continue"/>
            <w:noWrap w:val="0"/>
            <w:vAlign w:val="center"/>
          </w:tcPr>
          <w:p w14:paraId="596D4C30">
            <w:pPr>
              <w:jc w:val="center"/>
              <w:rPr>
                <w:rFonts w:hint="default" w:ascii="Times New Roman" w:hAnsi="Times New Roman" w:cs="Times New Roman"/>
                <w:sz w:val="18"/>
                <w:szCs w:val="18"/>
              </w:rPr>
            </w:pPr>
          </w:p>
        </w:tc>
        <w:tc>
          <w:tcPr>
            <w:tcW w:w="2023" w:type="pct"/>
            <w:noWrap w:val="0"/>
            <w:vAlign w:val="top"/>
          </w:tcPr>
          <w:p w14:paraId="3FB0D77C">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空气中21d</w:t>
            </w:r>
          </w:p>
        </w:tc>
        <w:tc>
          <w:tcPr>
            <w:tcW w:w="1644" w:type="pct"/>
            <w:noWrap w:val="0"/>
            <w:vAlign w:val="center"/>
          </w:tcPr>
          <w:p w14:paraId="372318D9">
            <w:pPr>
              <w:jc w:val="center"/>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w:t>
            </w:r>
            <w:r>
              <w:rPr>
                <w:rFonts w:hint="default" w:ascii="Times New Roman" w:hAnsi="Times New Roman" w:cs="Times New Roman"/>
                <w:sz w:val="18"/>
                <w:szCs w:val="18"/>
              </w:rPr>
              <w:t>0.015</w:t>
            </w:r>
          </w:p>
        </w:tc>
      </w:tr>
      <w:tr w14:paraId="183B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355" w:type="pct"/>
            <w:gridSpan w:val="2"/>
            <w:noWrap w:val="0"/>
            <w:vAlign w:val="center"/>
          </w:tcPr>
          <w:p w14:paraId="35007D01">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渗透高度比</w:t>
            </w:r>
            <w:r>
              <w:rPr>
                <w:rFonts w:hint="default" w:ascii="Times New Roman" w:hAnsi="Times New Roman" w:cs="Times New Roman"/>
                <w:sz w:val="18"/>
                <w:szCs w:val="18"/>
              </w:rPr>
              <w:t>（%）</w:t>
            </w:r>
          </w:p>
          <w:p w14:paraId="0493C489">
            <w:pPr>
              <w:jc w:val="center"/>
              <w:rPr>
                <w:rFonts w:hint="default" w:ascii="Times New Roman" w:hAnsi="Times New Roman" w:cs="Times New Roman"/>
                <w:sz w:val="18"/>
                <w:szCs w:val="18"/>
              </w:rPr>
            </w:pPr>
          </w:p>
        </w:tc>
        <w:tc>
          <w:tcPr>
            <w:tcW w:w="1644" w:type="pct"/>
            <w:noWrap w:val="0"/>
            <w:vAlign w:val="center"/>
          </w:tcPr>
          <w:p w14:paraId="5B7BF519">
            <w:pPr>
              <w:jc w:val="center"/>
              <w:rPr>
                <w:rFonts w:hint="default" w:ascii="Times New Roman" w:hAnsi="Times New Roman" w:cs="Times New Roman"/>
                <w:sz w:val="18"/>
                <w:szCs w:val="18"/>
                <w:lang w:val="en-US"/>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30</w:t>
            </w:r>
          </w:p>
        </w:tc>
      </w:tr>
      <w:tr w14:paraId="586E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355" w:type="pct"/>
            <w:gridSpan w:val="2"/>
            <w:noWrap w:val="0"/>
            <w:vAlign w:val="center"/>
          </w:tcPr>
          <w:p w14:paraId="1158D32E">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48h吸水量比</w:t>
            </w:r>
            <w:r>
              <w:rPr>
                <w:rFonts w:hint="default" w:ascii="Times New Roman" w:hAnsi="Times New Roman" w:cs="Times New Roman"/>
                <w:sz w:val="18"/>
                <w:szCs w:val="18"/>
              </w:rPr>
              <w:t>（%）</w:t>
            </w:r>
          </w:p>
        </w:tc>
        <w:tc>
          <w:tcPr>
            <w:tcW w:w="1644" w:type="pct"/>
            <w:noWrap w:val="0"/>
            <w:vAlign w:val="center"/>
          </w:tcPr>
          <w:p w14:paraId="1A08D0FF">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65</w:t>
            </w:r>
          </w:p>
        </w:tc>
      </w:tr>
      <w:tr w14:paraId="476D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3355" w:type="pct"/>
            <w:gridSpan w:val="2"/>
            <w:noWrap w:val="0"/>
            <w:vAlign w:val="center"/>
          </w:tcPr>
          <w:p w14:paraId="5D820180">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28d收缩率比</w:t>
            </w:r>
            <w:r>
              <w:rPr>
                <w:rFonts w:hint="default" w:ascii="Times New Roman" w:hAnsi="Times New Roman" w:cs="Times New Roman"/>
                <w:sz w:val="18"/>
                <w:szCs w:val="18"/>
              </w:rPr>
              <w:t>（%）</w:t>
            </w:r>
          </w:p>
        </w:tc>
        <w:tc>
          <w:tcPr>
            <w:tcW w:w="1644" w:type="pct"/>
            <w:noWrap w:val="0"/>
            <w:vAlign w:val="center"/>
          </w:tcPr>
          <w:p w14:paraId="2A7E3A62">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125</w:t>
            </w:r>
          </w:p>
        </w:tc>
      </w:tr>
      <w:tr w14:paraId="5D199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exact"/>
          <w:jc w:val="center"/>
        </w:trPr>
        <w:tc>
          <w:tcPr>
            <w:tcW w:w="1332" w:type="pct"/>
            <w:vMerge w:val="restart"/>
            <w:noWrap w:val="0"/>
            <w:vAlign w:val="center"/>
          </w:tcPr>
          <w:p w14:paraId="1FA228C9">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混凝土抗渗性能</w:t>
            </w:r>
          </w:p>
        </w:tc>
        <w:tc>
          <w:tcPr>
            <w:tcW w:w="2023" w:type="pct"/>
            <w:noWrap w:val="0"/>
            <w:vAlign w:val="center"/>
          </w:tcPr>
          <w:p w14:paraId="067AD02E">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掺防水剂混凝土的抗渗压力28d（MPa）</w:t>
            </w:r>
          </w:p>
        </w:tc>
        <w:tc>
          <w:tcPr>
            <w:tcW w:w="1644" w:type="pct"/>
            <w:noWrap w:val="0"/>
            <w:vAlign w:val="center"/>
          </w:tcPr>
          <w:p w14:paraId="2ACDC85E">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实测值</w:t>
            </w:r>
          </w:p>
        </w:tc>
      </w:tr>
      <w:tr w14:paraId="067E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exact"/>
          <w:jc w:val="center"/>
        </w:trPr>
        <w:tc>
          <w:tcPr>
            <w:tcW w:w="1332" w:type="pct"/>
            <w:vMerge w:val="continue"/>
            <w:tcBorders/>
            <w:noWrap w:val="0"/>
            <w:vAlign w:val="center"/>
          </w:tcPr>
          <w:p w14:paraId="59BE2FA0">
            <w:pPr>
              <w:jc w:val="center"/>
              <w:rPr>
                <w:rFonts w:hint="default" w:ascii="Times New Roman" w:hAnsi="Times New Roman" w:cs="Times New Roman"/>
                <w:sz w:val="18"/>
                <w:szCs w:val="18"/>
              </w:rPr>
            </w:pPr>
          </w:p>
        </w:tc>
        <w:tc>
          <w:tcPr>
            <w:tcW w:w="2023" w:type="pct"/>
            <w:noWrap w:val="0"/>
            <w:vAlign w:val="top"/>
          </w:tcPr>
          <w:p w14:paraId="17C271FD">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抗渗压力比28d</w:t>
            </w:r>
            <w:r>
              <w:rPr>
                <w:rFonts w:hint="default" w:ascii="Times New Roman" w:hAnsi="Times New Roman" w:cs="Times New Roman"/>
                <w:sz w:val="18"/>
                <w:szCs w:val="18"/>
              </w:rPr>
              <w:t>（%）</w:t>
            </w:r>
          </w:p>
        </w:tc>
        <w:tc>
          <w:tcPr>
            <w:tcW w:w="1644" w:type="pct"/>
            <w:noWrap w:val="0"/>
            <w:vAlign w:val="center"/>
          </w:tcPr>
          <w:p w14:paraId="18EA5888">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200</w:t>
            </w:r>
          </w:p>
        </w:tc>
      </w:tr>
      <w:tr w14:paraId="5F0F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exact"/>
          <w:jc w:val="center"/>
        </w:trPr>
        <w:tc>
          <w:tcPr>
            <w:tcW w:w="1332" w:type="pct"/>
            <w:vMerge w:val="continue"/>
            <w:tcBorders/>
            <w:noWrap w:val="0"/>
            <w:vAlign w:val="center"/>
          </w:tcPr>
          <w:p w14:paraId="208FF218">
            <w:pPr>
              <w:jc w:val="center"/>
              <w:rPr>
                <w:rFonts w:hint="default" w:ascii="Times New Roman" w:hAnsi="Times New Roman" w:cs="Times New Roman"/>
                <w:sz w:val="18"/>
                <w:szCs w:val="18"/>
              </w:rPr>
            </w:pPr>
          </w:p>
        </w:tc>
        <w:tc>
          <w:tcPr>
            <w:tcW w:w="2023" w:type="pct"/>
            <w:noWrap w:val="0"/>
            <w:vAlign w:val="top"/>
          </w:tcPr>
          <w:p w14:paraId="379D80BB">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掺防水剂混凝土的第二次抗渗压力56d（MPa）</w:t>
            </w:r>
          </w:p>
        </w:tc>
        <w:tc>
          <w:tcPr>
            <w:tcW w:w="1644" w:type="pct"/>
            <w:noWrap w:val="0"/>
            <w:vAlign w:val="center"/>
          </w:tcPr>
          <w:p w14:paraId="6A31A4C0">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实测值</w:t>
            </w:r>
          </w:p>
        </w:tc>
      </w:tr>
      <w:tr w14:paraId="15F37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exact"/>
          <w:jc w:val="center"/>
        </w:trPr>
        <w:tc>
          <w:tcPr>
            <w:tcW w:w="1332" w:type="pct"/>
            <w:tcBorders/>
            <w:noWrap w:val="0"/>
            <w:vAlign w:val="center"/>
          </w:tcPr>
          <w:p w14:paraId="608412F4">
            <w:pPr>
              <w:jc w:val="center"/>
              <w:rPr>
                <w:rFonts w:hint="default" w:ascii="Times New Roman" w:hAnsi="Times New Roman" w:cs="Times New Roman"/>
                <w:sz w:val="18"/>
                <w:szCs w:val="18"/>
              </w:rPr>
            </w:pPr>
          </w:p>
        </w:tc>
        <w:tc>
          <w:tcPr>
            <w:tcW w:w="2023" w:type="pct"/>
            <w:noWrap w:val="0"/>
            <w:vAlign w:val="top"/>
          </w:tcPr>
          <w:p w14:paraId="2C5463F6">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第二次抗渗压力比56d</w:t>
            </w:r>
            <w:r>
              <w:rPr>
                <w:rFonts w:hint="default" w:ascii="Times New Roman" w:hAnsi="Times New Roman" w:cs="Times New Roman"/>
                <w:sz w:val="18"/>
                <w:szCs w:val="18"/>
              </w:rPr>
              <w:t>（%）</w:t>
            </w:r>
          </w:p>
        </w:tc>
        <w:tc>
          <w:tcPr>
            <w:tcW w:w="1644" w:type="pct"/>
            <w:noWrap w:val="0"/>
            <w:vAlign w:val="center"/>
          </w:tcPr>
          <w:p w14:paraId="0119C815">
            <w:pPr>
              <w:jc w:val="center"/>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lang w:val="en-US" w:eastAsia="zh-CN"/>
              </w:rPr>
              <w:t>150</w:t>
            </w:r>
          </w:p>
        </w:tc>
      </w:tr>
    </w:tbl>
    <w:p w14:paraId="263EB42E">
      <w:pPr>
        <w:spacing w:line="360" w:lineRule="auto"/>
        <w:ind w:firstLine="420" w:firstLineChars="200"/>
        <w:rPr>
          <w:rFonts w:hint="eastAsia" w:eastAsia="宋体"/>
          <w:bCs/>
          <w:color w:val="000000" w:themeColor="text1"/>
          <w:szCs w:val="21"/>
          <w:lang w:eastAsia="zh-CN"/>
          <w14:textFill>
            <w14:solidFill>
              <w14:schemeClr w14:val="tx1"/>
            </w14:solidFill>
          </w14:textFill>
        </w:rPr>
      </w:pPr>
      <w:r>
        <w:rPr>
          <w:rFonts w:hint="eastAsia"/>
          <w:b w:val="0"/>
          <w:bCs/>
          <w:color w:val="000000" w:themeColor="text1"/>
          <w:szCs w:val="21"/>
          <w:lang w:val="en-US" w:eastAsia="zh-CN"/>
          <w14:textFill>
            <w14:solidFill>
              <w14:schemeClr w14:val="tx1"/>
            </w14:solidFill>
          </w14:textFill>
        </w:rPr>
        <w:t>7</w:t>
      </w:r>
      <w:r>
        <w:rPr>
          <w:rFonts w:hint="eastAsia"/>
          <w:bCs/>
          <w:color w:val="000000" w:themeColor="text1"/>
          <w:szCs w:val="21"/>
          <w:lang w:val="en-US" w:eastAsia="zh-CN"/>
          <w14:textFill>
            <w14:solidFill>
              <w14:schemeClr w14:val="tx1"/>
            </w14:solidFill>
          </w14:textFill>
        </w:rPr>
        <w:t xml:space="preserve"> </w:t>
      </w:r>
      <w:r>
        <w:rPr>
          <w:bCs/>
          <w:color w:val="000000" w:themeColor="text1"/>
          <w:szCs w:val="21"/>
          <w14:textFill>
            <w14:solidFill>
              <w14:schemeClr w14:val="tx1"/>
            </w14:solidFill>
          </w14:textFill>
        </w:rPr>
        <w:t>对有抗冻要求的混凝土，宜选用复合引气组分的防水剂</w:t>
      </w:r>
      <w:r>
        <w:rPr>
          <w:color w:val="000000" w:themeColor="text1"/>
          <w:szCs w:val="21"/>
          <w14:textFill>
            <w14:solidFill>
              <w14:schemeClr w14:val="tx1"/>
            </w14:solidFill>
          </w14:textFill>
        </w:rPr>
        <w:t>，性能应符合</w:t>
      </w:r>
      <w:r>
        <w:rPr>
          <w:szCs w:val="21"/>
        </w:rPr>
        <w:t>现行国家标准《混凝土外加剂》GB/T 8076和</w:t>
      </w:r>
      <w:r>
        <w:rPr>
          <w:rFonts w:hint="eastAsia"/>
          <w:szCs w:val="21"/>
          <w:lang w:val="en-US" w:eastAsia="zh-CN"/>
        </w:rPr>
        <w:t>现行行业标准</w:t>
      </w:r>
      <w:r>
        <w:rPr>
          <w:szCs w:val="21"/>
        </w:rPr>
        <w:t>《砂浆、混凝土防水剂》JC/T 474规定</w:t>
      </w:r>
      <w:r>
        <w:rPr>
          <w:rFonts w:hint="eastAsia"/>
          <w:szCs w:val="21"/>
          <w:lang w:eastAsia="zh-CN"/>
        </w:rPr>
        <w:t>；</w:t>
      </w:r>
    </w:p>
    <w:p w14:paraId="4E931849">
      <w:pPr>
        <w:spacing w:line="360" w:lineRule="auto"/>
        <w:ind w:firstLine="422" w:firstLineChars="200"/>
        <w:rPr>
          <w:color w:val="000000" w:themeColor="text1"/>
          <w:szCs w:val="21"/>
          <w14:textFill>
            <w14:solidFill>
              <w14:schemeClr w14:val="tx1"/>
            </w14:solidFill>
          </w14:textFill>
        </w:rPr>
      </w:pPr>
      <w:r>
        <w:rPr>
          <w:rFonts w:hint="eastAsia"/>
          <w:b/>
          <w:bCs/>
          <w:color w:val="000000" w:themeColor="text1"/>
          <w:szCs w:val="21"/>
          <w:lang w:val="en-US" w:eastAsia="zh-CN"/>
          <w14:textFill>
            <w14:solidFill>
              <w14:schemeClr w14:val="tx1"/>
            </w14:solidFill>
          </w14:textFill>
        </w:rPr>
        <w:t>8</w:t>
      </w:r>
      <w:r>
        <w:rPr>
          <w:color w:val="000000" w:themeColor="text1"/>
          <w:szCs w:val="21"/>
          <w14:textFill>
            <w14:solidFill>
              <w14:schemeClr w14:val="tx1"/>
            </w14:solidFill>
          </w14:textFill>
        </w:rPr>
        <w:t>使用其他防水剂时应符合相关标准的规定。</w:t>
      </w:r>
    </w:p>
    <w:p w14:paraId="7C17959D">
      <w:pPr>
        <w:spacing w:line="360" w:lineRule="auto"/>
        <w:rPr>
          <w:szCs w:val="21"/>
        </w:rPr>
      </w:pPr>
      <w:r>
        <w:rPr>
          <w:b/>
          <w:bCs/>
          <w:szCs w:val="21"/>
        </w:rPr>
        <w:t>5.0.6</w:t>
      </w:r>
      <w:r>
        <w:rPr>
          <w:szCs w:val="21"/>
        </w:rPr>
        <w:t xml:space="preserve"> 拌合水应符合现行行业标准</w:t>
      </w:r>
      <w:bookmarkStart w:id="52" w:name="_Hlk222903312"/>
      <w:r>
        <w:rPr>
          <w:szCs w:val="21"/>
        </w:rPr>
        <w:t>《混凝土用水标准》JGJ 63</w:t>
      </w:r>
      <w:bookmarkEnd w:id="52"/>
      <w:r>
        <w:rPr>
          <w:szCs w:val="21"/>
        </w:rPr>
        <w:t>的规定。</w:t>
      </w:r>
    </w:p>
    <w:p w14:paraId="2FD393DC">
      <w:pPr>
        <w:spacing w:line="360" w:lineRule="auto"/>
        <w:rPr>
          <w:color w:val="000000" w:themeColor="text1"/>
          <w:szCs w:val="21"/>
          <w14:textFill>
            <w14:solidFill>
              <w14:schemeClr w14:val="tx1"/>
            </w14:solidFill>
          </w14:textFill>
        </w:rPr>
      </w:pPr>
      <w:r>
        <w:rPr>
          <w:b/>
          <w:bCs/>
          <w:szCs w:val="21"/>
        </w:rPr>
        <w:t>5.0.7</w:t>
      </w:r>
      <w:r>
        <w:rPr>
          <w:rFonts w:hint="eastAsia"/>
          <w:b w:val="0"/>
          <w:bCs w:val="0"/>
          <w:szCs w:val="21"/>
          <w:lang w:val="en-US" w:eastAsia="zh-CN"/>
        </w:rPr>
        <w:t>掺加防水剂的</w:t>
      </w:r>
      <w:r>
        <w:rPr>
          <w:color w:val="000000" w:themeColor="text1"/>
          <w:szCs w:val="21"/>
          <w14:textFill>
            <w14:solidFill>
              <w14:schemeClr w14:val="tx1"/>
            </w14:solidFill>
          </w14:textFill>
        </w:rPr>
        <w:t>混凝土可根据工程抗裂需要掺入钢纤维或合成纤维，纤维性能应符合现行行业标准</w:t>
      </w:r>
      <w:bookmarkStart w:id="53" w:name="_Hlk222903317"/>
      <w:r>
        <w:rPr>
          <w:color w:val="000000" w:themeColor="text1"/>
          <w:szCs w:val="21"/>
          <w14:textFill>
            <w14:solidFill>
              <w14:schemeClr w14:val="tx1"/>
            </w14:solidFill>
          </w14:textFill>
        </w:rPr>
        <w:t>《纤维混凝土应用技术规程》JGJ/T 221</w:t>
      </w:r>
      <w:bookmarkEnd w:id="53"/>
      <w:r>
        <w:rPr>
          <w:color w:val="000000" w:themeColor="text1"/>
          <w:szCs w:val="21"/>
          <w14:textFill>
            <w14:solidFill>
              <w14:schemeClr w14:val="tx1"/>
            </w14:solidFill>
          </w14:textFill>
        </w:rPr>
        <w:t>的规定，纤维的品种及掺量应经过试验确定。</w:t>
      </w:r>
    </w:p>
    <w:p w14:paraId="62DC2115">
      <w:pPr>
        <w:pStyle w:val="2"/>
        <w:spacing w:before="0" w:after="0" w:line="240" w:lineRule="auto"/>
        <w:jc w:val="center"/>
        <w:rPr>
          <w:sz w:val="30"/>
          <w:szCs w:val="30"/>
        </w:rPr>
      </w:pPr>
      <w:r>
        <w:rPr>
          <w:rFonts w:eastAsia="黑体"/>
          <w:bCs w:val="0"/>
          <w:sz w:val="28"/>
          <w:szCs w:val="28"/>
        </w:rPr>
        <w:br w:type="page"/>
      </w:r>
      <w:bookmarkStart w:id="54" w:name="_Toc20075"/>
      <w:bookmarkStart w:id="55" w:name="_Toc117066878"/>
    </w:p>
    <w:p w14:paraId="31EE0B61">
      <w:pPr>
        <w:pStyle w:val="2"/>
        <w:spacing w:before="312" w:beforeLines="100" w:after="312" w:afterLines="100" w:line="360" w:lineRule="auto"/>
        <w:jc w:val="center"/>
        <w:rPr>
          <w:rFonts w:eastAsia="黑体"/>
          <w:b w:val="0"/>
          <w:bCs w:val="0"/>
          <w:sz w:val="32"/>
          <w:szCs w:val="32"/>
        </w:rPr>
      </w:pPr>
      <w:bookmarkStart w:id="56" w:name="_Toc222865914"/>
      <w:bookmarkStart w:id="57" w:name="_Toc222866258"/>
      <w:bookmarkStart w:id="58" w:name="_Toc13520"/>
      <w:bookmarkStart w:id="59" w:name="_Toc222866054"/>
      <w:r>
        <w:rPr>
          <w:sz w:val="32"/>
          <w:szCs w:val="32"/>
        </w:rPr>
        <w:t>6 配合比设计</w:t>
      </w:r>
      <w:bookmarkEnd w:id="54"/>
      <w:bookmarkEnd w:id="55"/>
      <w:bookmarkEnd w:id="56"/>
      <w:bookmarkEnd w:id="57"/>
      <w:bookmarkEnd w:id="58"/>
      <w:bookmarkEnd w:id="59"/>
    </w:p>
    <w:p w14:paraId="14375F88">
      <w:pPr>
        <w:spacing w:line="360" w:lineRule="auto"/>
        <w:rPr>
          <w:szCs w:val="21"/>
        </w:rPr>
      </w:pPr>
      <w:r>
        <w:rPr>
          <w:b/>
          <w:bCs/>
          <w:szCs w:val="21"/>
        </w:rPr>
        <w:t>6.0.1</w:t>
      </w:r>
      <w:r>
        <w:rPr>
          <w:szCs w:val="21"/>
        </w:rPr>
        <w:t xml:space="preserve"> 掺加防水剂混凝土的配合比设计，应满足设计所需要的强度、抗渗性、耐久性等技术指标和施工工作性要求。</w:t>
      </w:r>
    </w:p>
    <w:p w14:paraId="2B58AF56">
      <w:pPr>
        <w:spacing w:line="360" w:lineRule="auto"/>
        <w:rPr>
          <w:szCs w:val="21"/>
        </w:rPr>
      </w:pPr>
      <w:r>
        <w:rPr>
          <w:b/>
          <w:bCs/>
          <w:szCs w:val="21"/>
        </w:rPr>
        <w:t>6.0.2</w:t>
      </w:r>
      <w:r>
        <w:rPr>
          <w:szCs w:val="21"/>
        </w:rPr>
        <w:t>掺加防水剂混凝土配合比除应符合现行行业标准</w:t>
      </w:r>
      <w:bookmarkStart w:id="60" w:name="_Hlk222903327"/>
      <w:r>
        <w:rPr>
          <w:szCs w:val="21"/>
        </w:rPr>
        <w:t>《普通混凝土配合比设计规程》JGJ 55</w:t>
      </w:r>
      <w:bookmarkEnd w:id="60"/>
      <w:r>
        <w:rPr>
          <w:szCs w:val="21"/>
        </w:rPr>
        <w:t>的规定，还宜符合下列规定：</w:t>
      </w:r>
    </w:p>
    <w:p w14:paraId="044B424C">
      <w:pPr>
        <w:spacing w:line="360" w:lineRule="auto"/>
        <w:ind w:firstLine="316" w:firstLineChars="150"/>
        <w:rPr>
          <w:rFonts w:hint="eastAsia" w:eastAsia="宋体"/>
          <w:szCs w:val="21"/>
          <w:lang w:eastAsia="zh-CN"/>
        </w:rPr>
      </w:pPr>
      <w:r>
        <w:rPr>
          <w:b/>
          <w:szCs w:val="21"/>
        </w:rPr>
        <w:t>1</w:t>
      </w:r>
      <w:r>
        <w:rPr>
          <w:szCs w:val="21"/>
        </w:rPr>
        <w:t>胶凝材料用量应根据混凝土强度等级、抗裂性能、抗渗性能以及耐久性能确定，其总用量不宜小于320kg/m</w:t>
      </w:r>
      <w:r>
        <w:rPr>
          <w:szCs w:val="21"/>
          <w:vertAlign w:val="superscript"/>
        </w:rPr>
        <w:t>3</w:t>
      </w:r>
      <w:r>
        <w:rPr>
          <w:szCs w:val="21"/>
        </w:rPr>
        <w:t>；</w:t>
      </w:r>
      <w:r>
        <w:rPr>
          <w:rFonts w:hint="eastAsia"/>
          <w:szCs w:val="21"/>
        </w:rPr>
        <w:t>胶凝材料的最大用量不宜超过表</w:t>
      </w:r>
      <w:r>
        <w:rPr>
          <w:rFonts w:hint="eastAsia"/>
          <w:szCs w:val="21"/>
          <w:lang w:val="en-US" w:eastAsia="zh-CN"/>
        </w:rPr>
        <w:t>6</w:t>
      </w:r>
      <w:r>
        <w:rPr>
          <w:rFonts w:hint="eastAsia"/>
          <w:szCs w:val="21"/>
        </w:rPr>
        <w:t>.0.</w:t>
      </w:r>
      <w:r>
        <w:rPr>
          <w:rFonts w:hint="eastAsia"/>
          <w:szCs w:val="21"/>
          <w:lang w:val="en-US" w:eastAsia="zh-CN"/>
        </w:rPr>
        <w:t>2</w:t>
      </w:r>
      <w:r>
        <w:rPr>
          <w:rFonts w:hint="eastAsia"/>
          <w:szCs w:val="21"/>
        </w:rPr>
        <w:t>的规定，自密实成型时由试验确定</w:t>
      </w:r>
      <w:r>
        <w:rPr>
          <w:rFonts w:hint="eastAsia"/>
          <w:szCs w:val="21"/>
          <w:lang w:eastAsia="zh-CN"/>
        </w:rPr>
        <w:t>；</w:t>
      </w:r>
    </w:p>
    <w:p w14:paraId="212393F6">
      <w:pPr>
        <w:keepNext w:val="0"/>
        <w:keepLines w:val="0"/>
        <w:pageBreakBefore w:val="0"/>
        <w:widowControl w:val="0"/>
        <w:kinsoku/>
        <w:wordWrap/>
        <w:overflowPunct/>
        <w:topLinePunct w:val="0"/>
        <w:autoSpaceDE/>
        <w:autoSpaceDN/>
        <w:bidi w:val="0"/>
        <w:adjustRightInd/>
        <w:ind w:firstLine="0" w:firstLineChars="0"/>
        <w:jc w:val="center"/>
        <w:textAlignment w:val="auto"/>
        <w:rPr>
          <w:rFonts w:hint="default" w:ascii="Times New Roman" w:hAnsi="Times New Roman" w:eastAsia="宋体" w:cs="Times New Roman"/>
          <w:b/>
          <w:bCs w:val="0"/>
          <w:sz w:val="18"/>
          <w:szCs w:val="18"/>
          <w:highlight w:val="none"/>
          <w:lang w:val="en-US" w:eastAsia="zh-CN"/>
        </w:rPr>
      </w:pPr>
      <w:r>
        <w:rPr>
          <w:rFonts w:hint="default" w:ascii="Times New Roman" w:hAnsi="Times New Roman" w:eastAsia="宋体" w:cs="Times New Roman"/>
          <w:b/>
          <w:bCs w:val="0"/>
          <w:sz w:val="18"/>
          <w:szCs w:val="18"/>
          <w:highlight w:val="none"/>
          <w:lang w:val="en-US" w:eastAsia="zh-CN"/>
        </w:rPr>
        <w:t>表</w:t>
      </w:r>
      <w:r>
        <w:rPr>
          <w:rFonts w:hint="eastAsia" w:ascii="Times New Roman" w:hAnsi="Times New Roman" w:eastAsia="宋体" w:cs="Times New Roman"/>
          <w:b/>
          <w:bCs w:val="0"/>
          <w:sz w:val="18"/>
          <w:szCs w:val="18"/>
          <w:highlight w:val="none"/>
          <w:lang w:val="en-US" w:eastAsia="zh-CN"/>
        </w:rPr>
        <w:t>6</w:t>
      </w:r>
      <w:r>
        <w:rPr>
          <w:rFonts w:hint="eastAsia" w:cs="Times New Roman"/>
          <w:b/>
          <w:bCs w:val="0"/>
          <w:sz w:val="18"/>
          <w:szCs w:val="18"/>
          <w:highlight w:val="none"/>
          <w:lang w:val="en-US" w:eastAsia="zh-CN"/>
        </w:rPr>
        <w:t>.0.2</w:t>
      </w:r>
      <w:r>
        <w:rPr>
          <w:rFonts w:hint="default" w:ascii="Times New Roman" w:hAnsi="Times New Roman" w:eastAsia="宋体" w:cs="Times New Roman"/>
          <w:b/>
          <w:bCs w:val="0"/>
          <w:sz w:val="18"/>
          <w:szCs w:val="18"/>
          <w:highlight w:val="none"/>
          <w:lang w:val="en-US" w:eastAsia="zh-CN"/>
        </w:rPr>
        <w:t xml:space="preserve"> 混凝土中胶凝材料最大用量限值</w:t>
      </w:r>
    </w:p>
    <w:tbl>
      <w:tblPr>
        <w:tblStyle w:val="1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1"/>
        <w:gridCol w:w="4643"/>
      </w:tblGrid>
      <w:tr w14:paraId="0BCF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99" w:type="pct"/>
            <w:tcBorders>
              <w:tl2br w:val="nil"/>
              <w:tr2bl w:val="nil"/>
            </w:tcBorders>
            <w:noWrap w:val="0"/>
            <w:vAlign w:val="center"/>
          </w:tcPr>
          <w:p w14:paraId="1BAF63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混凝土强度等级</w:t>
            </w:r>
          </w:p>
        </w:tc>
        <w:tc>
          <w:tcPr>
            <w:tcW w:w="2500" w:type="pct"/>
            <w:tcBorders>
              <w:tl2br w:val="nil"/>
              <w:tr2bl w:val="nil"/>
            </w:tcBorders>
            <w:noWrap w:val="0"/>
            <w:vAlign w:val="center"/>
          </w:tcPr>
          <w:p w14:paraId="0ECE39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胶凝材料最大用量限值（kg/m</w:t>
            </w:r>
            <w:r>
              <w:rPr>
                <w:rFonts w:hint="default" w:ascii="Times New Roman" w:hAnsi="Times New Roman" w:cs="Times New Roman"/>
                <w:sz w:val="18"/>
                <w:szCs w:val="18"/>
                <w:highlight w:val="none"/>
                <w:vertAlign w:val="superscript"/>
              </w:rPr>
              <w:t>3</w:t>
            </w:r>
            <w:r>
              <w:rPr>
                <w:rFonts w:hint="default" w:ascii="Times New Roman" w:hAnsi="Times New Roman" w:cs="Times New Roman"/>
                <w:sz w:val="18"/>
                <w:szCs w:val="18"/>
                <w:highlight w:val="none"/>
              </w:rPr>
              <w:t>）</w:t>
            </w:r>
          </w:p>
        </w:tc>
      </w:tr>
      <w:tr w14:paraId="5A0B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nil"/>
              <w:tr2bl w:val="nil"/>
            </w:tcBorders>
            <w:noWrap w:val="0"/>
            <w:vAlign w:val="center"/>
          </w:tcPr>
          <w:p w14:paraId="1F1C70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C30</w:t>
            </w:r>
          </w:p>
        </w:tc>
        <w:tc>
          <w:tcPr>
            <w:tcW w:w="2500" w:type="pct"/>
            <w:tcBorders>
              <w:tl2br w:val="nil"/>
              <w:tr2bl w:val="nil"/>
            </w:tcBorders>
            <w:noWrap w:val="0"/>
            <w:vAlign w:val="center"/>
          </w:tcPr>
          <w:p w14:paraId="3D1853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3</w:t>
            </w:r>
            <w:r>
              <w:rPr>
                <w:rFonts w:hint="eastAsia" w:ascii="Times New Roman" w:hAnsi="Times New Roman" w:cs="Times New Roman"/>
                <w:sz w:val="18"/>
                <w:szCs w:val="18"/>
                <w:highlight w:val="none"/>
                <w:lang w:val="en-US" w:eastAsia="zh-CN"/>
              </w:rPr>
              <w:t>8</w:t>
            </w:r>
            <w:r>
              <w:rPr>
                <w:rFonts w:hint="default" w:ascii="Times New Roman" w:hAnsi="Times New Roman" w:cs="Times New Roman"/>
                <w:sz w:val="18"/>
                <w:szCs w:val="18"/>
                <w:highlight w:val="none"/>
              </w:rPr>
              <w:t>0</w:t>
            </w:r>
          </w:p>
        </w:tc>
      </w:tr>
      <w:tr w14:paraId="68D3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nil"/>
              <w:tr2bl w:val="nil"/>
            </w:tcBorders>
            <w:noWrap w:val="0"/>
            <w:vAlign w:val="center"/>
          </w:tcPr>
          <w:p w14:paraId="3E4E2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C35</w:t>
            </w:r>
          </w:p>
        </w:tc>
        <w:tc>
          <w:tcPr>
            <w:tcW w:w="2500" w:type="pct"/>
            <w:tcBorders>
              <w:tl2br w:val="nil"/>
              <w:tr2bl w:val="nil"/>
            </w:tcBorders>
            <w:noWrap w:val="0"/>
            <w:vAlign w:val="center"/>
          </w:tcPr>
          <w:p w14:paraId="39818E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lang w:val="en-US" w:eastAsia="zh-CN"/>
              </w:rPr>
              <w:t>40</w:t>
            </w:r>
            <w:r>
              <w:rPr>
                <w:rFonts w:hint="default" w:ascii="Times New Roman" w:hAnsi="Times New Roman" w:cs="Times New Roman"/>
                <w:sz w:val="18"/>
                <w:szCs w:val="18"/>
                <w:highlight w:val="none"/>
              </w:rPr>
              <w:t>0</w:t>
            </w:r>
          </w:p>
        </w:tc>
      </w:tr>
      <w:tr w14:paraId="21C6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nil"/>
              <w:tr2bl w:val="nil"/>
            </w:tcBorders>
            <w:noWrap w:val="0"/>
            <w:vAlign w:val="center"/>
          </w:tcPr>
          <w:p w14:paraId="478841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C40~C45</w:t>
            </w:r>
          </w:p>
        </w:tc>
        <w:tc>
          <w:tcPr>
            <w:tcW w:w="2500" w:type="pct"/>
            <w:tcBorders>
              <w:tl2br w:val="nil"/>
              <w:tr2bl w:val="nil"/>
            </w:tcBorders>
            <w:noWrap w:val="0"/>
            <w:vAlign w:val="center"/>
          </w:tcPr>
          <w:p w14:paraId="067F75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450</w:t>
            </w:r>
          </w:p>
        </w:tc>
      </w:tr>
      <w:tr w14:paraId="4BF5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nil"/>
              <w:tr2bl w:val="nil"/>
            </w:tcBorders>
            <w:noWrap w:val="0"/>
            <w:vAlign w:val="center"/>
          </w:tcPr>
          <w:p w14:paraId="43CF42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C50</w:t>
            </w:r>
          </w:p>
        </w:tc>
        <w:tc>
          <w:tcPr>
            <w:tcW w:w="2500" w:type="pct"/>
            <w:tcBorders>
              <w:tl2br w:val="nil"/>
              <w:tr2bl w:val="nil"/>
            </w:tcBorders>
            <w:noWrap w:val="0"/>
            <w:vAlign w:val="center"/>
          </w:tcPr>
          <w:p w14:paraId="594D17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lang w:val="en-US"/>
              </w:rPr>
            </w:pPr>
            <w:r>
              <w:rPr>
                <w:rFonts w:hint="default" w:ascii="Times New Roman" w:hAnsi="Times New Roman" w:cs="Times New Roman"/>
                <w:sz w:val="18"/>
                <w:szCs w:val="18"/>
                <w:highlight w:val="none"/>
                <w:lang w:val="en-US" w:eastAsia="zh-CN"/>
              </w:rPr>
              <w:t>480</w:t>
            </w:r>
          </w:p>
        </w:tc>
      </w:tr>
      <w:tr w14:paraId="3F72A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pct"/>
            <w:tcBorders>
              <w:tl2br w:val="nil"/>
              <w:tr2bl w:val="nil"/>
            </w:tcBorders>
            <w:noWrap w:val="0"/>
            <w:vAlign w:val="center"/>
          </w:tcPr>
          <w:p w14:paraId="0A252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C55~C60</w:t>
            </w:r>
          </w:p>
        </w:tc>
        <w:tc>
          <w:tcPr>
            <w:tcW w:w="2500" w:type="pct"/>
            <w:tcBorders>
              <w:tl2br w:val="nil"/>
              <w:tr2bl w:val="nil"/>
            </w:tcBorders>
            <w:noWrap w:val="0"/>
            <w:vAlign w:val="center"/>
          </w:tcPr>
          <w:p w14:paraId="4029D0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5</w:t>
            </w:r>
            <w:r>
              <w:rPr>
                <w:rFonts w:hint="default" w:ascii="Times New Roman" w:hAnsi="Times New Roman" w:cs="Times New Roman"/>
                <w:sz w:val="18"/>
                <w:szCs w:val="18"/>
                <w:highlight w:val="none"/>
                <w:lang w:val="en-US" w:eastAsia="zh-CN"/>
              </w:rPr>
              <w:t>0</w:t>
            </w:r>
            <w:r>
              <w:rPr>
                <w:rFonts w:hint="default" w:ascii="Times New Roman" w:hAnsi="Times New Roman" w:cs="Times New Roman"/>
                <w:sz w:val="18"/>
                <w:szCs w:val="18"/>
                <w:highlight w:val="none"/>
              </w:rPr>
              <w:t>0</w:t>
            </w:r>
          </w:p>
        </w:tc>
      </w:tr>
    </w:tbl>
    <w:p w14:paraId="563B1F18">
      <w:pPr>
        <w:spacing w:line="360" w:lineRule="auto"/>
        <w:ind w:firstLine="316" w:firstLineChars="150"/>
        <w:rPr>
          <w:rFonts w:hint="eastAsia" w:eastAsia="宋体"/>
          <w:szCs w:val="21"/>
          <w:lang w:eastAsia="zh-CN"/>
        </w:rPr>
      </w:pPr>
      <w:r>
        <w:rPr>
          <w:b/>
          <w:szCs w:val="21"/>
        </w:rPr>
        <w:t>2</w:t>
      </w:r>
      <w:r>
        <w:rPr>
          <w:szCs w:val="21"/>
        </w:rPr>
        <w:t>水胶比不应大于0.50，有侵蚀介质时水胶比不宜大于0.45</w:t>
      </w:r>
      <w:r>
        <w:rPr>
          <w:rFonts w:hint="eastAsia"/>
          <w:szCs w:val="21"/>
          <w:lang w:eastAsia="zh-CN"/>
        </w:rPr>
        <w:t>；</w:t>
      </w:r>
    </w:p>
    <w:p w14:paraId="3524D27B">
      <w:pPr>
        <w:spacing w:line="360" w:lineRule="auto"/>
        <w:ind w:firstLine="316" w:firstLineChars="150"/>
        <w:rPr>
          <w:color w:val="000000" w:themeColor="text1"/>
          <w:szCs w:val="21"/>
          <w14:textFill>
            <w14:solidFill>
              <w14:schemeClr w14:val="tx1"/>
            </w14:solidFill>
          </w14:textFill>
        </w:rPr>
      </w:pPr>
      <w:r>
        <w:rPr>
          <w:b/>
          <w:szCs w:val="21"/>
        </w:rPr>
        <w:t>3</w:t>
      </w:r>
      <w:r>
        <w:rPr>
          <w:color w:val="000000" w:themeColor="text1"/>
          <w:szCs w:val="21"/>
          <w14:textFill>
            <w14:solidFill>
              <w14:schemeClr w14:val="tx1"/>
            </w14:solidFill>
          </w14:textFill>
        </w:rPr>
        <w:t>使用潜在碱活性骨料时，</w:t>
      </w:r>
      <w:r>
        <w:rPr>
          <w:rFonts w:hint="eastAsia"/>
          <w:color w:val="000000" w:themeColor="text1"/>
          <w:szCs w:val="21"/>
          <w:lang w:val="en-US" w:eastAsia="zh-CN"/>
          <w14:textFill>
            <w14:solidFill>
              <w14:schemeClr w14:val="tx1"/>
            </w14:solidFill>
          </w14:textFill>
        </w:rPr>
        <w:t>掺加防水剂的</w:t>
      </w:r>
      <w:r>
        <w:rPr>
          <w:color w:val="000000" w:themeColor="text1"/>
          <w:szCs w:val="21"/>
          <w14:textFill>
            <w14:solidFill>
              <w14:schemeClr w14:val="tx1"/>
            </w14:solidFill>
          </w14:textFill>
        </w:rPr>
        <w:t>混凝土中各类材料的总碱量（Na</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O当量）不得大于3kg/m</w:t>
      </w:r>
      <w:r>
        <w:rPr>
          <w:color w:val="000000" w:themeColor="text1"/>
          <w:szCs w:val="21"/>
          <w:vertAlign w:val="superscript"/>
          <w14:textFill>
            <w14:solidFill>
              <w14:schemeClr w14:val="tx1"/>
            </w14:solidFill>
          </w14:textFill>
        </w:rPr>
        <w:t>3</w:t>
      </w:r>
      <w:r>
        <w:rPr>
          <w:color w:val="000000" w:themeColor="text1"/>
          <w:szCs w:val="21"/>
          <w14:textFill>
            <w14:solidFill>
              <w14:schemeClr w14:val="tx1"/>
            </w14:solidFill>
          </w14:textFill>
        </w:rPr>
        <w:t>；</w:t>
      </w:r>
    </w:p>
    <w:p w14:paraId="60AB8EB3">
      <w:pPr>
        <w:spacing w:line="360" w:lineRule="auto"/>
        <w:ind w:firstLine="316" w:firstLineChars="150"/>
        <w:rPr>
          <w:rFonts w:hint="eastAsia" w:eastAsia="宋体"/>
          <w:color w:val="000000" w:themeColor="text1"/>
          <w:szCs w:val="21"/>
          <w:lang w:eastAsia="zh-CN"/>
          <w14:textFill>
            <w14:solidFill>
              <w14:schemeClr w14:val="tx1"/>
            </w14:solidFill>
          </w14:textFill>
        </w:rPr>
      </w:pPr>
      <w:r>
        <w:rPr>
          <w:b/>
          <w:szCs w:val="21"/>
        </w:rPr>
        <w:t>4</w:t>
      </w:r>
      <w:r>
        <w:rPr>
          <w:color w:val="000000" w:themeColor="text1"/>
          <w:szCs w:val="21"/>
          <w14:textFill>
            <w14:solidFill>
              <w14:schemeClr w14:val="tx1"/>
            </w14:solidFill>
          </w14:textFill>
        </w:rPr>
        <w:t>氯离子含量应符合现行行业标准《普通混凝土配合比设计规程》JGJ 55的规定</w:t>
      </w:r>
      <w:r>
        <w:rPr>
          <w:rFonts w:hint="eastAsia"/>
          <w:color w:val="000000" w:themeColor="text1"/>
          <w:szCs w:val="21"/>
          <w:lang w:eastAsia="zh-CN"/>
          <w14:textFill>
            <w14:solidFill>
              <w14:schemeClr w14:val="tx1"/>
            </w14:solidFill>
          </w14:textFill>
        </w:rPr>
        <w:t>；</w:t>
      </w:r>
    </w:p>
    <w:p w14:paraId="308E56F3">
      <w:pPr>
        <w:spacing w:line="360" w:lineRule="auto"/>
        <w:ind w:firstLine="316" w:firstLineChars="150"/>
        <w:rPr>
          <w:szCs w:val="21"/>
        </w:rPr>
      </w:pPr>
      <w:r>
        <w:rPr>
          <w:b/>
          <w:szCs w:val="21"/>
        </w:rPr>
        <w:t xml:space="preserve">5 </w:t>
      </w:r>
      <w:r>
        <w:rPr>
          <w:rFonts w:hint="eastAsia"/>
          <w:b w:val="0"/>
          <w:bCs/>
          <w:szCs w:val="21"/>
          <w:lang w:val="en-US" w:eastAsia="zh-CN"/>
        </w:rPr>
        <w:t>掺加防水剂的</w:t>
      </w:r>
      <w:r>
        <w:rPr>
          <w:b w:val="0"/>
          <w:bCs/>
          <w:szCs w:val="21"/>
        </w:rPr>
        <w:t>混</w:t>
      </w:r>
      <w:r>
        <w:rPr>
          <w:szCs w:val="21"/>
        </w:rPr>
        <w:t>凝土用于大体积结构，可采用60d或90d的抗压强度</w:t>
      </w:r>
      <w:r>
        <w:rPr>
          <w:rFonts w:hint="eastAsia"/>
          <w:szCs w:val="21"/>
          <w:lang w:val="en-US" w:eastAsia="zh-CN"/>
        </w:rPr>
        <w:t>作为评定依据</w:t>
      </w:r>
      <w:r>
        <w:rPr>
          <w:szCs w:val="21"/>
        </w:rPr>
        <w:t>；</w:t>
      </w:r>
    </w:p>
    <w:p w14:paraId="5FAA6DA9">
      <w:pPr>
        <w:spacing w:line="360" w:lineRule="auto"/>
        <w:ind w:firstLine="316" w:firstLineChars="150"/>
        <w:rPr>
          <w:bCs/>
          <w:szCs w:val="21"/>
        </w:rPr>
      </w:pPr>
      <w:r>
        <w:rPr>
          <w:b/>
          <w:szCs w:val="21"/>
        </w:rPr>
        <w:t xml:space="preserve">6 </w:t>
      </w:r>
      <w:r>
        <w:rPr>
          <w:rFonts w:hint="eastAsia"/>
          <w:b w:val="0"/>
          <w:bCs/>
          <w:szCs w:val="21"/>
          <w:lang w:val="en-US" w:eastAsia="zh-CN"/>
        </w:rPr>
        <w:t>掺加防水剂的</w:t>
      </w:r>
      <w:r>
        <w:rPr>
          <w:b w:val="0"/>
          <w:bCs/>
          <w:szCs w:val="21"/>
        </w:rPr>
        <w:t>混</w:t>
      </w:r>
      <w:r>
        <w:rPr>
          <w:szCs w:val="21"/>
        </w:rPr>
        <w:t>凝土</w:t>
      </w:r>
      <w:r>
        <w:rPr>
          <w:bCs/>
          <w:szCs w:val="21"/>
        </w:rPr>
        <w:t>的施工配合比应通过试验确定，试配混凝土的</w:t>
      </w:r>
      <w:r>
        <w:rPr>
          <w:bCs/>
          <w:szCs w:val="21"/>
          <w:highlight w:val="none"/>
        </w:rPr>
        <w:t>抗渗</w:t>
      </w:r>
      <w:r>
        <w:rPr>
          <w:rFonts w:hint="eastAsia"/>
          <w:bCs/>
          <w:szCs w:val="21"/>
          <w:highlight w:val="none"/>
          <w:lang w:val="en-US" w:eastAsia="zh-CN"/>
        </w:rPr>
        <w:t>压力值</w:t>
      </w:r>
      <w:r>
        <w:rPr>
          <w:bCs/>
          <w:szCs w:val="21"/>
          <w:highlight w:val="none"/>
        </w:rPr>
        <w:t>应比设计</w:t>
      </w:r>
      <w:r>
        <w:rPr>
          <w:bCs/>
          <w:szCs w:val="21"/>
        </w:rPr>
        <w:t>要求提高0.2MPa。</w:t>
      </w:r>
    </w:p>
    <w:p w14:paraId="283DCDE1">
      <w:pPr>
        <w:spacing w:line="360" w:lineRule="auto"/>
        <w:rPr>
          <w:color w:val="000000" w:themeColor="text1"/>
          <w:szCs w:val="21"/>
          <w14:textFill>
            <w14:solidFill>
              <w14:schemeClr w14:val="tx1"/>
            </w14:solidFill>
          </w14:textFill>
        </w:rPr>
      </w:pPr>
      <w:r>
        <w:rPr>
          <w:b/>
          <w:bCs/>
          <w:szCs w:val="21"/>
        </w:rPr>
        <w:t xml:space="preserve">6.0.3 </w:t>
      </w:r>
      <w:r>
        <w:rPr>
          <w:szCs w:val="21"/>
        </w:rPr>
        <w:t>混凝土防水剂掺量</w:t>
      </w:r>
      <w:r>
        <w:rPr>
          <w:color w:val="000000" w:themeColor="text1"/>
          <w:szCs w:val="21"/>
          <w14:textFill>
            <w14:solidFill>
              <w14:schemeClr w14:val="tx1"/>
            </w14:solidFill>
          </w14:textFill>
        </w:rPr>
        <w:t>应根据设计要求的抗渗等级</w:t>
      </w:r>
      <w:r>
        <w:rPr>
          <w:rFonts w:hint="eastAsia"/>
          <w:color w:val="000000" w:themeColor="text1"/>
          <w:szCs w:val="21"/>
          <w:lang w:eastAsia="zh-CN"/>
          <w14:textFill>
            <w14:solidFill>
              <w14:schemeClr w14:val="tx1"/>
            </w14:solidFill>
          </w14:textFill>
        </w:rPr>
        <w:t>，</w:t>
      </w:r>
      <w:r>
        <w:rPr>
          <w:color w:val="000000" w:themeColor="text1"/>
          <w:szCs w:val="21"/>
          <w14:textFill>
            <w14:solidFill>
              <w14:schemeClr w14:val="tx1"/>
            </w14:solidFill>
          </w14:textFill>
        </w:rPr>
        <w:t>并采用实际工程使用的材料，经过混凝土配合比试验后确定。</w:t>
      </w:r>
    </w:p>
    <w:p w14:paraId="661CEF74">
      <w:pPr>
        <w:spacing w:line="360" w:lineRule="auto"/>
        <w:rPr>
          <w:szCs w:val="21"/>
        </w:rPr>
      </w:pPr>
      <w:r>
        <w:rPr>
          <w:b/>
          <w:bCs/>
          <w:szCs w:val="21"/>
        </w:rPr>
        <w:t xml:space="preserve">6.0.4 </w:t>
      </w:r>
      <w:r>
        <w:rPr>
          <w:szCs w:val="21"/>
        </w:rPr>
        <w:t>混凝土防水剂与其他外加剂复合使用时，应进行相容性试验，试验方法按照</w:t>
      </w:r>
      <w:bookmarkStart w:id="61" w:name="_Hlk222903340"/>
      <w:r>
        <w:rPr>
          <w:rFonts w:hint="eastAsia"/>
          <w:szCs w:val="21"/>
          <w:lang w:val="en-US" w:eastAsia="zh-CN"/>
        </w:rPr>
        <w:t>现行国家标准</w:t>
      </w:r>
      <w:r>
        <w:rPr>
          <w:szCs w:val="21"/>
        </w:rPr>
        <w:t>《混凝土外加剂应用技术规范》GB 50119</w:t>
      </w:r>
      <w:bookmarkEnd w:id="61"/>
      <w:r>
        <w:rPr>
          <w:szCs w:val="21"/>
        </w:rPr>
        <w:t>进行。</w:t>
      </w:r>
    </w:p>
    <w:p w14:paraId="7F1B1951">
      <w:pPr>
        <w:spacing w:line="360" w:lineRule="auto"/>
        <w:rPr>
          <w:szCs w:val="21"/>
        </w:rPr>
      </w:pPr>
      <w:r>
        <w:rPr>
          <w:b/>
          <w:bCs/>
          <w:szCs w:val="21"/>
        </w:rPr>
        <w:t xml:space="preserve">6.0.5 </w:t>
      </w:r>
      <w:r>
        <w:rPr>
          <w:szCs w:val="21"/>
        </w:rPr>
        <w:t>在满足混凝土工作性要求的前提下，宜降低单位体积用水量、增加单位体积骨料用量。</w:t>
      </w:r>
    </w:p>
    <w:p w14:paraId="4DA73302">
      <w:pPr>
        <w:rPr>
          <w:rFonts w:hint="eastAsia" w:eastAsia="黑体"/>
          <w:b/>
          <w:bCs/>
          <w:sz w:val="28"/>
          <w:szCs w:val="28"/>
        </w:rPr>
      </w:pPr>
    </w:p>
    <w:p w14:paraId="225CB3DD">
      <w:pPr>
        <w:spacing w:before="312" w:beforeLines="100" w:after="312" w:afterLines="100"/>
        <w:jc w:val="center"/>
        <w:outlineLvl w:val="0"/>
        <w:rPr>
          <w:b/>
          <w:bCs/>
          <w:sz w:val="32"/>
          <w:szCs w:val="32"/>
        </w:rPr>
      </w:pPr>
      <w:r>
        <w:br w:type="page"/>
      </w:r>
      <w:bookmarkStart w:id="62" w:name="_Toc222865915"/>
      <w:bookmarkStart w:id="63" w:name="_Toc117066879"/>
      <w:bookmarkStart w:id="64" w:name="_Toc222866055"/>
      <w:bookmarkStart w:id="65" w:name="_Toc7010"/>
      <w:bookmarkStart w:id="66" w:name="_Toc222866259"/>
      <w:r>
        <w:rPr>
          <w:b/>
          <w:bCs/>
          <w:sz w:val="32"/>
          <w:szCs w:val="32"/>
        </w:rPr>
        <w:t>7 施工</w:t>
      </w:r>
      <w:bookmarkEnd w:id="62"/>
      <w:bookmarkEnd w:id="63"/>
      <w:bookmarkEnd w:id="64"/>
      <w:bookmarkEnd w:id="65"/>
      <w:bookmarkEnd w:id="66"/>
    </w:p>
    <w:p w14:paraId="5E238642">
      <w:pPr>
        <w:pStyle w:val="3"/>
        <w:spacing w:before="312" w:beforeLines="100" w:after="156" w:afterLines="50" w:line="360" w:lineRule="auto"/>
        <w:jc w:val="center"/>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7.1 一般规定</w:t>
      </w:r>
    </w:p>
    <w:p w14:paraId="414D18A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pacing w:val="0"/>
          <w:sz w:val="21"/>
          <w:szCs w:val="21"/>
          <w:highlight w:val="none"/>
        </w:rPr>
      </w:pPr>
      <w:r>
        <w:rPr>
          <w:rFonts w:hint="eastAsia"/>
          <w:b/>
          <w:bCs/>
          <w:spacing w:val="0"/>
          <w:sz w:val="21"/>
          <w:szCs w:val="21"/>
          <w:highlight w:val="none"/>
          <w:lang w:val="en-US" w:eastAsia="zh-CN"/>
        </w:rPr>
        <w:t>7.1.1</w:t>
      </w:r>
      <w:r>
        <w:rPr>
          <w:spacing w:val="0"/>
          <w:sz w:val="21"/>
          <w:szCs w:val="21"/>
          <w:highlight w:val="none"/>
        </w:rPr>
        <w:t xml:space="preserve"> </w:t>
      </w:r>
      <w:r>
        <w:rPr>
          <w:rFonts w:hint="eastAsia"/>
          <w:spacing w:val="0"/>
          <w:sz w:val="21"/>
          <w:szCs w:val="21"/>
          <w:highlight w:val="none"/>
          <w:lang w:val="en-US" w:eastAsia="zh-CN"/>
        </w:rPr>
        <w:t xml:space="preserve"> </w:t>
      </w:r>
      <w:r>
        <w:rPr>
          <w:spacing w:val="0"/>
          <w:sz w:val="21"/>
          <w:szCs w:val="21"/>
          <w:highlight w:val="none"/>
        </w:rPr>
        <w:t>防水混凝土结构工程在浇筑预留孔洞、预埋管、预埋件及止水带周边混凝土时，</w:t>
      </w:r>
      <w:r>
        <w:rPr>
          <w:rFonts w:hint="eastAsia"/>
          <w:spacing w:val="0"/>
          <w:sz w:val="21"/>
          <w:szCs w:val="21"/>
          <w:highlight w:val="none"/>
        </w:rPr>
        <w:t>振捣时应避免破坏、松动预埋件，并确保振捣密实，必要时辅以人工插捣</w:t>
      </w:r>
      <w:r>
        <w:rPr>
          <w:spacing w:val="0"/>
          <w:sz w:val="21"/>
          <w:szCs w:val="21"/>
          <w:highlight w:val="none"/>
        </w:rPr>
        <w:t>。</w:t>
      </w:r>
    </w:p>
    <w:p w14:paraId="6E0BE92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pacing w:val="0"/>
          <w:sz w:val="21"/>
          <w:szCs w:val="21"/>
          <w:highlight w:val="none"/>
        </w:rPr>
      </w:pPr>
      <w:r>
        <w:rPr>
          <w:rFonts w:hint="eastAsia"/>
          <w:b/>
          <w:spacing w:val="0"/>
          <w:sz w:val="21"/>
          <w:szCs w:val="21"/>
          <w:highlight w:val="none"/>
          <w:lang w:val="en-US" w:eastAsia="zh-CN"/>
        </w:rPr>
        <w:t xml:space="preserve">7.1.2  </w:t>
      </w:r>
      <w:r>
        <w:rPr>
          <w:spacing w:val="0"/>
          <w:sz w:val="21"/>
          <w:szCs w:val="21"/>
          <w:highlight w:val="none"/>
        </w:rPr>
        <w:t>防水混凝土结构</w:t>
      </w:r>
      <w:r>
        <w:rPr>
          <w:rFonts w:hint="eastAsia"/>
          <w:spacing w:val="0"/>
          <w:sz w:val="21"/>
          <w:szCs w:val="21"/>
          <w:highlight w:val="none"/>
        </w:rPr>
        <w:t>应确保钢筋保护层厚度满足设计要求，</w:t>
      </w:r>
      <w:r>
        <w:rPr>
          <w:spacing w:val="0"/>
          <w:sz w:val="21"/>
          <w:szCs w:val="21"/>
          <w:highlight w:val="none"/>
        </w:rPr>
        <w:t>绑扎铁丝</w:t>
      </w:r>
      <w:r>
        <w:rPr>
          <w:rFonts w:hint="eastAsia"/>
          <w:spacing w:val="0"/>
          <w:sz w:val="21"/>
          <w:szCs w:val="21"/>
          <w:highlight w:val="none"/>
        </w:rPr>
        <w:t>端头</w:t>
      </w:r>
      <w:r>
        <w:rPr>
          <w:spacing w:val="0"/>
          <w:sz w:val="21"/>
          <w:szCs w:val="21"/>
          <w:highlight w:val="none"/>
        </w:rPr>
        <w:t>不得进入保护层。</w:t>
      </w:r>
    </w:p>
    <w:p w14:paraId="0837FF5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pacing w:val="0"/>
          <w:sz w:val="21"/>
          <w:szCs w:val="21"/>
          <w:highlight w:val="none"/>
        </w:rPr>
      </w:pPr>
      <w:r>
        <w:rPr>
          <w:rFonts w:hint="eastAsia"/>
          <w:b/>
          <w:bCs/>
          <w:spacing w:val="0"/>
          <w:sz w:val="21"/>
          <w:szCs w:val="21"/>
          <w:highlight w:val="none"/>
          <w:lang w:val="en-US" w:eastAsia="zh-CN"/>
        </w:rPr>
        <w:t>7.1.3</w:t>
      </w:r>
      <w:r>
        <w:rPr>
          <w:b/>
          <w:spacing w:val="0"/>
          <w:sz w:val="21"/>
          <w:szCs w:val="21"/>
          <w:highlight w:val="none"/>
        </w:rPr>
        <w:t>　</w:t>
      </w:r>
      <w:r>
        <w:rPr>
          <w:spacing w:val="0"/>
          <w:sz w:val="21"/>
          <w:szCs w:val="21"/>
          <w:highlight w:val="none"/>
        </w:rPr>
        <w:t>明挖法地下工程防水施工中的降水应符合下列规定：</w:t>
      </w:r>
    </w:p>
    <w:p w14:paraId="32F79FC9">
      <w:pPr>
        <w:pStyle w:val="35"/>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cs="Times New Roman"/>
          <w:spacing w:val="0"/>
          <w:sz w:val="21"/>
          <w:szCs w:val="21"/>
          <w:highlight w:val="none"/>
        </w:rPr>
      </w:pPr>
      <w:r>
        <w:rPr>
          <w:rFonts w:cs="Times New Roman"/>
          <w:b/>
          <w:spacing w:val="0"/>
          <w:sz w:val="21"/>
          <w:szCs w:val="21"/>
          <w:highlight w:val="none"/>
        </w:rPr>
        <w:t>1</w:t>
      </w:r>
      <w:r>
        <w:rPr>
          <w:rFonts w:cs="Times New Roman"/>
          <w:spacing w:val="0"/>
          <w:sz w:val="21"/>
          <w:szCs w:val="21"/>
          <w:highlight w:val="none"/>
        </w:rPr>
        <w:t>　在浇筑底板混凝土前及地下防水工程施工期间，地下水位应低于垫层底部标高500mm；</w:t>
      </w:r>
    </w:p>
    <w:p w14:paraId="057E2667">
      <w:pPr>
        <w:pStyle w:val="35"/>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cs="Times New Roman"/>
          <w:spacing w:val="0"/>
          <w:sz w:val="21"/>
          <w:szCs w:val="21"/>
          <w:highlight w:val="none"/>
        </w:rPr>
      </w:pPr>
      <w:r>
        <w:rPr>
          <w:rFonts w:cs="Times New Roman"/>
          <w:b/>
          <w:spacing w:val="0"/>
          <w:sz w:val="21"/>
          <w:szCs w:val="21"/>
          <w:highlight w:val="none"/>
        </w:rPr>
        <w:t>2　</w:t>
      </w:r>
      <w:r>
        <w:rPr>
          <w:rFonts w:cs="Times New Roman"/>
          <w:spacing w:val="0"/>
          <w:sz w:val="21"/>
          <w:szCs w:val="21"/>
          <w:highlight w:val="none"/>
        </w:rPr>
        <w:t>工程底板范围内的降水井，在降水结束后应封堵</w:t>
      </w:r>
      <w:r>
        <w:rPr>
          <w:rFonts w:hint="eastAsia" w:cs="Times New Roman"/>
          <w:spacing w:val="0"/>
          <w:sz w:val="21"/>
          <w:szCs w:val="21"/>
          <w:highlight w:val="none"/>
        </w:rPr>
        <w:t>牢固、</w:t>
      </w:r>
      <w:r>
        <w:rPr>
          <w:rFonts w:cs="Times New Roman"/>
          <w:spacing w:val="0"/>
          <w:sz w:val="21"/>
          <w:szCs w:val="21"/>
          <w:highlight w:val="none"/>
        </w:rPr>
        <w:t>密实。</w:t>
      </w:r>
    </w:p>
    <w:p w14:paraId="4F795F3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pacing w:val="0"/>
          <w:sz w:val="21"/>
          <w:szCs w:val="21"/>
          <w:highlight w:val="none"/>
        </w:rPr>
      </w:pPr>
      <w:r>
        <w:rPr>
          <w:rFonts w:hint="eastAsia"/>
          <w:b/>
          <w:spacing w:val="0"/>
          <w:sz w:val="21"/>
          <w:szCs w:val="21"/>
          <w:highlight w:val="none"/>
          <w:lang w:val="en-US" w:eastAsia="zh-CN"/>
        </w:rPr>
        <w:t>7.1.4</w:t>
      </w:r>
      <w:r>
        <w:rPr>
          <w:b/>
          <w:spacing w:val="0"/>
          <w:sz w:val="21"/>
          <w:szCs w:val="21"/>
          <w:highlight w:val="none"/>
        </w:rPr>
        <w:t xml:space="preserve"> </w:t>
      </w:r>
      <w:r>
        <w:rPr>
          <w:spacing w:val="0"/>
          <w:sz w:val="21"/>
          <w:szCs w:val="21"/>
          <w:highlight w:val="none"/>
        </w:rPr>
        <w:t xml:space="preserve"> 混凝土结构自防水屋面板应进行淋水或蓄水试验，</w:t>
      </w:r>
      <w:r>
        <w:rPr>
          <w:rFonts w:hint="eastAsia"/>
          <w:spacing w:val="0"/>
          <w:sz w:val="21"/>
          <w:szCs w:val="21"/>
          <w:highlight w:val="none"/>
        </w:rPr>
        <w:t>试验应在</w:t>
      </w:r>
      <w:r>
        <w:rPr>
          <w:spacing w:val="0"/>
          <w:sz w:val="21"/>
          <w:szCs w:val="21"/>
          <w:highlight w:val="none"/>
        </w:rPr>
        <w:t>混凝土</w:t>
      </w:r>
      <w:r>
        <w:rPr>
          <w:rFonts w:hint="eastAsia"/>
          <w:spacing w:val="0"/>
          <w:sz w:val="21"/>
          <w:szCs w:val="21"/>
          <w:highlight w:val="none"/>
        </w:rPr>
        <w:t>达到设计</w:t>
      </w:r>
      <w:r>
        <w:rPr>
          <w:spacing w:val="0"/>
          <w:sz w:val="21"/>
          <w:szCs w:val="21"/>
          <w:highlight w:val="none"/>
        </w:rPr>
        <w:t>强度80%</w:t>
      </w:r>
      <w:r>
        <w:rPr>
          <w:rFonts w:hint="eastAsia"/>
          <w:spacing w:val="0"/>
          <w:sz w:val="21"/>
          <w:szCs w:val="21"/>
          <w:highlight w:val="none"/>
        </w:rPr>
        <w:t>后进行</w:t>
      </w:r>
      <w:r>
        <w:rPr>
          <w:spacing w:val="0"/>
          <w:sz w:val="21"/>
          <w:szCs w:val="21"/>
          <w:highlight w:val="none"/>
        </w:rPr>
        <w:t>，在防水层施工前，应对渗漏水或其他混凝土缺陷进行</w:t>
      </w:r>
      <w:r>
        <w:rPr>
          <w:rFonts w:hint="eastAsia"/>
          <w:spacing w:val="0"/>
          <w:sz w:val="21"/>
          <w:szCs w:val="21"/>
          <w:highlight w:val="none"/>
          <w:lang w:eastAsia="zh-CN"/>
        </w:rPr>
        <w:t>修复</w:t>
      </w:r>
      <w:r>
        <w:rPr>
          <w:spacing w:val="0"/>
          <w:sz w:val="21"/>
          <w:szCs w:val="21"/>
          <w:highlight w:val="none"/>
        </w:rPr>
        <w:t>，试验合格后方可进行下一道工序施工。</w:t>
      </w:r>
    </w:p>
    <w:p w14:paraId="5581A6F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pacing w:val="0"/>
          <w:sz w:val="21"/>
          <w:szCs w:val="21"/>
          <w:highlight w:val="none"/>
        </w:rPr>
      </w:pPr>
      <w:r>
        <w:rPr>
          <w:rFonts w:hint="eastAsia"/>
          <w:b/>
          <w:bCs/>
          <w:spacing w:val="0"/>
          <w:sz w:val="21"/>
          <w:szCs w:val="21"/>
          <w:highlight w:val="none"/>
          <w:lang w:val="en-US" w:eastAsia="zh-CN"/>
        </w:rPr>
        <w:t>7.1.5</w:t>
      </w:r>
      <w:r>
        <w:rPr>
          <w:spacing w:val="0"/>
          <w:sz w:val="21"/>
          <w:szCs w:val="21"/>
          <w:highlight w:val="none"/>
        </w:rPr>
        <w:t xml:space="preserve"> 蓄水类工程的混凝土底板和顶板，应连续浇筑且不应留设施工缝。</w:t>
      </w:r>
    </w:p>
    <w:p w14:paraId="6905B8D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pacing w:val="0"/>
          <w:sz w:val="21"/>
          <w:szCs w:val="21"/>
          <w:highlight w:val="none"/>
        </w:rPr>
      </w:pPr>
      <w:r>
        <w:rPr>
          <w:rFonts w:hint="eastAsia"/>
          <w:b/>
          <w:bCs/>
          <w:spacing w:val="0"/>
          <w:sz w:val="21"/>
          <w:szCs w:val="21"/>
          <w:highlight w:val="none"/>
          <w:lang w:val="en-US" w:eastAsia="zh-CN"/>
        </w:rPr>
        <w:t>7.1.6</w:t>
      </w:r>
      <w:r>
        <w:rPr>
          <w:b/>
          <w:bCs/>
          <w:spacing w:val="0"/>
          <w:sz w:val="21"/>
          <w:szCs w:val="21"/>
          <w:highlight w:val="none"/>
        </w:rPr>
        <w:t xml:space="preserve"> </w:t>
      </w:r>
      <w:r>
        <w:rPr>
          <w:spacing w:val="0"/>
          <w:sz w:val="21"/>
          <w:szCs w:val="21"/>
          <w:highlight w:val="none"/>
        </w:rPr>
        <w:t>蓄水类工程的混凝土壁板，应分层交圈和连续浇筑，不应</w:t>
      </w:r>
      <w:r>
        <w:rPr>
          <w:rFonts w:hint="eastAsia"/>
          <w:spacing w:val="0"/>
          <w:sz w:val="21"/>
          <w:szCs w:val="21"/>
          <w:highlight w:val="none"/>
        </w:rPr>
        <w:t>留设</w:t>
      </w:r>
      <w:r>
        <w:rPr>
          <w:spacing w:val="0"/>
          <w:sz w:val="21"/>
          <w:szCs w:val="21"/>
          <w:highlight w:val="none"/>
        </w:rPr>
        <w:t>垂直施工缝。</w:t>
      </w:r>
    </w:p>
    <w:p w14:paraId="1FD4A5B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cs="Times New Roman"/>
          <w:i w:val="0"/>
          <w:iCs w:val="0"/>
          <w:caps w:val="0"/>
          <w:spacing w:val="0"/>
          <w:sz w:val="21"/>
          <w:szCs w:val="21"/>
          <w:highlight w:val="none"/>
          <w:shd w:val="clear"/>
          <w:lang w:val="en-US" w:eastAsia="zh-CN"/>
        </w:rPr>
      </w:pPr>
      <w:r>
        <w:rPr>
          <w:rFonts w:hint="eastAsia"/>
          <w:b/>
          <w:bCs/>
          <w:spacing w:val="0"/>
          <w:sz w:val="21"/>
          <w:szCs w:val="21"/>
          <w:highlight w:val="none"/>
          <w:lang w:val="en-US" w:eastAsia="zh-CN"/>
        </w:rPr>
        <w:t>7.1.7</w:t>
      </w:r>
      <w:r>
        <w:rPr>
          <w:b/>
          <w:bCs/>
          <w:spacing w:val="0"/>
          <w:sz w:val="21"/>
          <w:szCs w:val="21"/>
          <w:highlight w:val="none"/>
        </w:rPr>
        <w:t xml:space="preserve"> </w:t>
      </w:r>
      <w:r>
        <w:rPr>
          <w:rFonts w:hint="eastAsia"/>
          <w:spacing w:val="0"/>
          <w:sz w:val="21"/>
          <w:szCs w:val="21"/>
          <w:highlight w:val="none"/>
          <w:lang w:val="en-US" w:eastAsia="zh-CN"/>
        </w:rPr>
        <w:t>超长混凝土结构的施工应符合现行行业标准</w:t>
      </w:r>
      <w:r>
        <w:rPr>
          <w:rFonts w:ascii="Times New Roman" w:hAnsi="Times New Roman" w:eastAsia="宋体" w:cs="Times New Roman"/>
          <w:b w:val="0"/>
          <w:bCs w:val="0"/>
          <w:i w:val="0"/>
          <w:iCs w:val="0"/>
          <w:caps w:val="0"/>
          <w:color w:val="auto"/>
          <w:spacing w:val="0"/>
          <w:sz w:val="21"/>
          <w:szCs w:val="21"/>
          <w:highlight w:val="none"/>
          <w:shd w:val="clear" w:fill="auto"/>
        </w:rPr>
        <w:t>《超长混凝土结构无缝施工标准》</w:t>
      </w:r>
      <w:r>
        <w:rPr>
          <w:rFonts w:ascii="Times New Roman" w:hAnsi="Times New Roman" w:eastAsia="宋体" w:cs="Times New Roman"/>
          <w:i w:val="0"/>
          <w:iCs w:val="0"/>
          <w:caps w:val="0"/>
          <w:color w:val="auto"/>
          <w:spacing w:val="0"/>
          <w:sz w:val="21"/>
          <w:szCs w:val="21"/>
          <w:highlight w:val="none"/>
          <w:shd w:val="clear" w:fill="auto"/>
        </w:rPr>
        <w:t>JGJ/T</w:t>
      </w:r>
      <w:r>
        <w:rPr>
          <w:rFonts w:hint="eastAsia" w:cs="Times New Roman"/>
          <w:i w:val="0"/>
          <w:iCs w:val="0"/>
          <w:caps w:val="0"/>
          <w:spacing w:val="0"/>
          <w:sz w:val="21"/>
          <w:szCs w:val="21"/>
          <w:highlight w:val="none"/>
          <w:shd w:val="clear"/>
          <w:lang w:val="en-US" w:eastAsia="zh-CN"/>
        </w:rPr>
        <w:t xml:space="preserve"> </w:t>
      </w:r>
      <w:r>
        <w:rPr>
          <w:rFonts w:ascii="Times New Roman" w:hAnsi="Times New Roman" w:eastAsia="宋体" w:cs="Times New Roman"/>
          <w:i w:val="0"/>
          <w:iCs w:val="0"/>
          <w:caps w:val="0"/>
          <w:color w:val="auto"/>
          <w:spacing w:val="0"/>
          <w:sz w:val="21"/>
          <w:szCs w:val="21"/>
          <w:highlight w:val="none"/>
          <w:shd w:val="clear" w:fill="auto"/>
        </w:rPr>
        <w:t>492</w:t>
      </w:r>
      <w:r>
        <w:rPr>
          <w:rFonts w:hint="eastAsia" w:cs="Times New Roman"/>
          <w:i w:val="0"/>
          <w:iCs w:val="0"/>
          <w:caps w:val="0"/>
          <w:spacing w:val="0"/>
          <w:sz w:val="21"/>
          <w:szCs w:val="21"/>
          <w:highlight w:val="none"/>
          <w:shd w:val="clear"/>
          <w:lang w:val="en-US" w:eastAsia="zh-CN"/>
        </w:rPr>
        <w:t>的有关规定。</w:t>
      </w:r>
    </w:p>
    <w:p w14:paraId="6E9D1417">
      <w:pPr>
        <w:spacing w:line="360" w:lineRule="auto"/>
        <w:rPr>
          <w:rFonts w:hint="default"/>
          <w:b w:val="0"/>
          <w:bCs w:val="0"/>
          <w:spacing w:val="0"/>
          <w:sz w:val="21"/>
          <w:szCs w:val="21"/>
          <w:lang w:val="en-US" w:eastAsia="zh-CN"/>
        </w:rPr>
      </w:pPr>
      <w:bookmarkStart w:id="67" w:name="_Toc14777"/>
      <w:bookmarkStart w:id="68" w:name="_Toc222866056"/>
      <w:bookmarkStart w:id="69" w:name="_Toc16347"/>
      <w:bookmarkStart w:id="70" w:name="_Toc222865916"/>
      <w:bookmarkStart w:id="71" w:name="_Toc222866260"/>
      <w:bookmarkStart w:id="72" w:name="_Toc117066880"/>
      <w:r>
        <w:rPr>
          <w:rFonts w:hint="eastAsia"/>
          <w:b/>
          <w:bCs/>
          <w:spacing w:val="0"/>
          <w:sz w:val="21"/>
          <w:szCs w:val="21"/>
          <w:lang w:val="en-US" w:eastAsia="zh-CN"/>
        </w:rPr>
        <w:t xml:space="preserve">7.1.8 </w:t>
      </w:r>
      <w:r>
        <w:rPr>
          <w:rFonts w:hint="default"/>
          <w:b w:val="0"/>
          <w:bCs w:val="0"/>
          <w:spacing w:val="0"/>
          <w:sz w:val="21"/>
          <w:szCs w:val="21"/>
          <w:lang w:val="en-US" w:eastAsia="zh-CN"/>
        </w:rPr>
        <w:t>掺加防水剂的混凝土施工完毕，应对影响防水功能的缺陷部位进行治理，并应符合下列规定：</w:t>
      </w:r>
    </w:p>
    <w:p w14:paraId="7EC9442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b w:val="0"/>
          <w:bCs w:val="0"/>
          <w:spacing w:val="0"/>
          <w:sz w:val="21"/>
          <w:szCs w:val="21"/>
          <w:lang w:val="en-US" w:eastAsia="zh-CN"/>
        </w:rPr>
      </w:pPr>
      <w:r>
        <w:rPr>
          <w:rFonts w:hint="default"/>
          <w:b/>
          <w:bCs/>
          <w:spacing w:val="0"/>
          <w:sz w:val="21"/>
          <w:szCs w:val="21"/>
          <w:lang w:val="en-US" w:eastAsia="zh-CN"/>
        </w:rPr>
        <w:t>1</w:t>
      </w:r>
      <w:r>
        <w:rPr>
          <w:rFonts w:hint="default"/>
          <w:b w:val="0"/>
          <w:bCs w:val="0"/>
          <w:spacing w:val="0"/>
          <w:sz w:val="21"/>
          <w:szCs w:val="21"/>
          <w:lang w:val="en-US" w:eastAsia="zh-CN"/>
        </w:rPr>
        <w:t>治理后的防水效果应符合设计要求的防水等级，且不得影响结构和环境安全；</w:t>
      </w:r>
    </w:p>
    <w:p w14:paraId="6C53507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b w:val="0"/>
          <w:bCs w:val="0"/>
          <w:spacing w:val="0"/>
          <w:sz w:val="21"/>
          <w:szCs w:val="21"/>
          <w:lang w:val="en-US" w:eastAsia="zh-CN"/>
        </w:rPr>
      </w:pPr>
      <w:r>
        <w:rPr>
          <w:rFonts w:hint="default"/>
          <w:b/>
          <w:bCs/>
          <w:spacing w:val="0"/>
          <w:sz w:val="21"/>
          <w:szCs w:val="21"/>
          <w:lang w:val="en-US" w:eastAsia="zh-CN"/>
        </w:rPr>
        <w:t>2</w:t>
      </w:r>
      <w:r>
        <w:rPr>
          <w:rFonts w:hint="default"/>
          <w:b w:val="0"/>
          <w:bCs w:val="0"/>
          <w:spacing w:val="0"/>
          <w:sz w:val="21"/>
          <w:szCs w:val="21"/>
          <w:lang w:val="en-US" w:eastAsia="zh-CN"/>
        </w:rPr>
        <w:t>裂缝渗漏水宜采用钻孔注浆的方法治理。堵漏用聚氨酯灌浆材料、丙烯酸盐灌浆材料和速凝型无机防水堵漏材料的物理力学性能指标应符合现行行业标准《建筑防水维修用快速堵漏材料技术条件》JG/T 316的规定；</w:t>
      </w:r>
    </w:p>
    <w:p w14:paraId="2A20904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b w:val="0"/>
          <w:bCs w:val="0"/>
          <w:spacing w:val="0"/>
          <w:sz w:val="21"/>
          <w:szCs w:val="21"/>
          <w:lang w:val="en-US" w:eastAsia="zh-CN"/>
        </w:rPr>
      </w:pPr>
      <w:r>
        <w:rPr>
          <w:rFonts w:hint="default"/>
          <w:b/>
          <w:bCs/>
          <w:spacing w:val="0"/>
          <w:sz w:val="21"/>
          <w:szCs w:val="21"/>
          <w:lang w:val="en-US" w:eastAsia="zh-CN"/>
        </w:rPr>
        <w:t>3</w:t>
      </w:r>
      <w:r>
        <w:rPr>
          <w:rFonts w:hint="default"/>
          <w:b w:val="0"/>
          <w:bCs w:val="0"/>
          <w:spacing w:val="0"/>
          <w:sz w:val="21"/>
          <w:szCs w:val="21"/>
          <w:lang w:val="en-US" w:eastAsia="zh-CN"/>
        </w:rPr>
        <w:t>缺陷补强宜采用环氧树脂等材料灌浆，环氧树脂灌浆材料性能应符合现行行业标准《混凝土裂缝用环氧树脂灌浆材料》JC/T 1041的规定；</w:t>
      </w:r>
    </w:p>
    <w:p w14:paraId="459C8E9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b w:val="0"/>
          <w:bCs w:val="0"/>
          <w:spacing w:val="0"/>
          <w:sz w:val="21"/>
          <w:szCs w:val="21"/>
          <w:lang w:val="en-US" w:eastAsia="zh-CN"/>
        </w:rPr>
      </w:pPr>
      <w:r>
        <w:rPr>
          <w:rFonts w:hint="default"/>
          <w:b/>
          <w:bCs/>
          <w:spacing w:val="0"/>
          <w:sz w:val="21"/>
          <w:szCs w:val="21"/>
          <w:lang w:val="en-US" w:eastAsia="zh-CN"/>
        </w:rPr>
        <w:t>4</w:t>
      </w:r>
      <w:r>
        <w:rPr>
          <w:rFonts w:hint="default"/>
          <w:b w:val="0"/>
          <w:bCs w:val="0"/>
          <w:spacing w:val="0"/>
          <w:sz w:val="21"/>
          <w:szCs w:val="21"/>
          <w:lang w:val="en-US" w:eastAsia="zh-CN"/>
        </w:rPr>
        <w:t>穿墙管和预埋件根部渗漏，宜先止水再采用嵌填密封材料、涂刷防水涂料等措施进行表面处理</w:t>
      </w:r>
      <w:r>
        <w:rPr>
          <w:rFonts w:hint="eastAsia"/>
          <w:b w:val="0"/>
          <w:bCs w:val="0"/>
          <w:spacing w:val="0"/>
          <w:sz w:val="21"/>
          <w:szCs w:val="21"/>
          <w:lang w:val="en-US" w:eastAsia="zh-CN"/>
        </w:rPr>
        <w:t>；</w:t>
      </w:r>
    </w:p>
    <w:p w14:paraId="428113F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Ansi="宋体"/>
          <w:sz w:val="21"/>
          <w:szCs w:val="21"/>
        </w:rPr>
      </w:pPr>
      <w:r>
        <w:rPr>
          <w:rFonts w:hint="default"/>
          <w:b/>
          <w:bCs/>
          <w:spacing w:val="0"/>
          <w:sz w:val="21"/>
          <w:szCs w:val="21"/>
          <w:lang w:val="en-US" w:eastAsia="zh-CN"/>
        </w:rPr>
        <w:t>5</w:t>
      </w:r>
      <w:r>
        <w:rPr>
          <w:rFonts w:hint="default"/>
          <w:b w:val="0"/>
          <w:bCs w:val="0"/>
          <w:spacing w:val="0"/>
          <w:sz w:val="21"/>
          <w:szCs w:val="21"/>
          <w:lang w:val="en-US" w:eastAsia="zh-CN"/>
        </w:rPr>
        <w:t>施工缝渗漏，止水后表面宜设置防水砂浆、涂料防水层等加强处理。</w:t>
      </w:r>
    </w:p>
    <w:p w14:paraId="596CDA7C">
      <w:pPr>
        <w:pStyle w:val="3"/>
        <w:spacing w:before="312" w:beforeLines="100" w:after="156" w:afterLines="50" w:line="360" w:lineRule="auto"/>
        <w:jc w:val="center"/>
        <w:rPr>
          <w:rFonts w:ascii="Times New Roman" w:hAnsi="Times New Roman" w:eastAsia="黑体"/>
          <w:b w:val="0"/>
          <w:bCs w:val="0"/>
          <w:kern w:val="0"/>
          <w:sz w:val="24"/>
          <w:szCs w:val="24"/>
        </w:rPr>
      </w:pPr>
      <w:r>
        <w:rPr>
          <w:rFonts w:ascii="Times New Roman" w:hAnsi="Times New Roman"/>
          <w:kern w:val="0"/>
          <w:sz w:val="24"/>
          <w:szCs w:val="24"/>
        </w:rPr>
        <w:t>7.</w:t>
      </w:r>
      <w:r>
        <w:rPr>
          <w:rFonts w:hint="eastAsia" w:ascii="Times New Roman" w:hAnsi="Times New Roman"/>
          <w:kern w:val="0"/>
          <w:sz w:val="24"/>
          <w:szCs w:val="24"/>
          <w:lang w:val="en-US" w:eastAsia="zh-CN"/>
        </w:rPr>
        <w:t>2</w:t>
      </w:r>
      <w:r>
        <w:rPr>
          <w:rFonts w:ascii="Times New Roman" w:hAnsi="Times New Roman"/>
          <w:kern w:val="0"/>
          <w:sz w:val="24"/>
          <w:szCs w:val="24"/>
        </w:rPr>
        <w:t xml:space="preserve"> </w:t>
      </w:r>
      <w:r>
        <w:rPr>
          <w:rFonts w:ascii="Times New Roman" w:hAnsi="Times New Roman" w:eastAsia="黑体"/>
          <w:b w:val="0"/>
          <w:bCs w:val="0"/>
          <w:kern w:val="0"/>
          <w:sz w:val="24"/>
          <w:szCs w:val="24"/>
        </w:rPr>
        <w:t>生产和运输</w:t>
      </w:r>
      <w:bookmarkEnd w:id="67"/>
      <w:bookmarkEnd w:id="68"/>
      <w:bookmarkEnd w:id="69"/>
      <w:bookmarkEnd w:id="70"/>
      <w:bookmarkEnd w:id="71"/>
      <w:bookmarkEnd w:id="72"/>
    </w:p>
    <w:p w14:paraId="40069F8A">
      <w:pPr>
        <w:spacing w:line="360" w:lineRule="auto"/>
        <w:rPr>
          <w:szCs w:val="21"/>
        </w:rPr>
      </w:pPr>
      <w:r>
        <w:rPr>
          <w:b/>
          <w:bCs/>
          <w:szCs w:val="21"/>
        </w:rPr>
        <w:t>7.</w:t>
      </w:r>
      <w:r>
        <w:rPr>
          <w:rFonts w:hint="eastAsia"/>
          <w:b/>
          <w:bCs/>
          <w:szCs w:val="21"/>
          <w:lang w:val="en-US" w:eastAsia="zh-CN"/>
        </w:rPr>
        <w:t>2</w:t>
      </w:r>
      <w:r>
        <w:rPr>
          <w:b/>
          <w:bCs/>
          <w:szCs w:val="21"/>
        </w:rPr>
        <w:t>.1</w:t>
      </w:r>
      <w:r>
        <w:rPr>
          <w:szCs w:val="21"/>
        </w:rPr>
        <w:t xml:space="preserve"> 掺加防水剂的混凝土宜采用预拌混凝土，并应符合现行国家标准</w:t>
      </w:r>
      <w:bookmarkStart w:id="73" w:name="_Hlk222903349"/>
      <w:r>
        <w:rPr>
          <w:szCs w:val="21"/>
        </w:rPr>
        <w:t>《预拌混凝土》GB/T 14902</w:t>
      </w:r>
      <w:bookmarkEnd w:id="73"/>
      <w:r>
        <w:rPr>
          <w:szCs w:val="21"/>
        </w:rPr>
        <w:t>的有关规定。</w:t>
      </w:r>
    </w:p>
    <w:p w14:paraId="65F653A9">
      <w:pPr>
        <w:spacing w:line="360" w:lineRule="auto"/>
        <w:rPr>
          <w:szCs w:val="21"/>
        </w:rPr>
      </w:pPr>
      <w:r>
        <w:rPr>
          <w:rFonts w:hint="eastAsia" w:ascii="Times New Roman" w:hAnsi="Times New Roman" w:eastAsia="宋体" w:cs="Times New Roman"/>
          <w:b/>
          <w:bCs/>
          <w:szCs w:val="21"/>
          <w:lang w:val="en-US" w:eastAsia="zh-CN"/>
        </w:rPr>
        <w:t>7.2.2</w:t>
      </w:r>
      <w:r>
        <w:rPr>
          <w:rFonts w:hint="eastAsia" w:ascii="Times New Roman" w:hAnsi="Times New Roman" w:eastAsia="宋体" w:cs="Times New Roman"/>
          <w:szCs w:val="21"/>
          <w:lang w:val="en-US" w:eastAsia="zh-CN"/>
        </w:rPr>
        <w:t>砂、石骨料可以搭设遮阳棚来降低原材料温度；刚出厂的水泥应放置一定时间，待其温度降低至60℃以下；另外还可以通过加冰控制混凝土入模温度。</w:t>
      </w:r>
    </w:p>
    <w:p w14:paraId="2A031E32">
      <w:pPr>
        <w:spacing w:line="360" w:lineRule="auto"/>
        <w:rPr>
          <w:szCs w:val="21"/>
        </w:rPr>
      </w:pPr>
      <w:r>
        <w:rPr>
          <w:b/>
          <w:bCs/>
          <w:szCs w:val="21"/>
        </w:rPr>
        <w:t>7.</w:t>
      </w:r>
      <w:r>
        <w:rPr>
          <w:rFonts w:hint="eastAsia"/>
          <w:b/>
          <w:bCs/>
          <w:szCs w:val="21"/>
          <w:lang w:val="en-US" w:eastAsia="zh-CN"/>
        </w:rPr>
        <w:t>2</w:t>
      </w:r>
      <w:r>
        <w:rPr>
          <w:b/>
          <w:bCs/>
          <w:szCs w:val="21"/>
        </w:rPr>
        <w:t>.</w:t>
      </w:r>
      <w:r>
        <w:rPr>
          <w:rFonts w:hint="eastAsia"/>
          <w:b/>
          <w:bCs/>
          <w:szCs w:val="21"/>
          <w:lang w:val="en-US" w:eastAsia="zh-CN"/>
        </w:rPr>
        <w:t>3</w:t>
      </w:r>
      <w:r>
        <w:rPr>
          <w:szCs w:val="21"/>
        </w:rPr>
        <w:t xml:space="preserve"> 混凝土用防水剂严禁超量掺加。</w:t>
      </w:r>
      <w:r>
        <w:rPr>
          <w:rFonts w:hint="eastAsia"/>
          <w:szCs w:val="21"/>
          <w:lang w:val="en-US" w:eastAsia="zh-CN"/>
        </w:rPr>
        <w:t>掺加</w:t>
      </w:r>
      <w:r>
        <w:rPr>
          <w:szCs w:val="21"/>
        </w:rPr>
        <w:t>防水剂的混凝土的各种原材料必须采用专用计量设备进行准确计量。计量设备应定期校验，使用前应进行零点校核，保持计量准确。原材料每盘计量允许偏差应符合表7.</w:t>
      </w:r>
      <w:r>
        <w:rPr>
          <w:rFonts w:hint="eastAsia"/>
          <w:szCs w:val="21"/>
          <w:lang w:val="en-US" w:eastAsia="zh-CN"/>
        </w:rPr>
        <w:t>2</w:t>
      </w:r>
      <w:r>
        <w:rPr>
          <w:szCs w:val="21"/>
        </w:rPr>
        <w:t>.</w:t>
      </w:r>
      <w:r>
        <w:rPr>
          <w:rFonts w:hint="eastAsia"/>
          <w:szCs w:val="21"/>
          <w:lang w:val="en-US" w:eastAsia="zh-CN"/>
        </w:rPr>
        <w:t>3</w:t>
      </w:r>
      <w:r>
        <w:rPr>
          <w:szCs w:val="21"/>
        </w:rPr>
        <w:t>的规定。</w:t>
      </w:r>
    </w:p>
    <w:p w14:paraId="47BB1462">
      <w:pPr>
        <w:spacing w:before="156" w:beforeLines="50"/>
        <w:jc w:val="center"/>
        <w:rPr>
          <w:rFonts w:eastAsia="黑体"/>
          <w:b/>
          <w:sz w:val="18"/>
          <w:szCs w:val="18"/>
        </w:rPr>
      </w:pPr>
      <w:r>
        <w:rPr>
          <w:b/>
          <w:sz w:val="18"/>
          <w:szCs w:val="18"/>
        </w:rPr>
        <w:t>表7.</w:t>
      </w:r>
      <w:r>
        <w:rPr>
          <w:rFonts w:hint="eastAsia"/>
          <w:b/>
          <w:sz w:val="18"/>
          <w:szCs w:val="18"/>
          <w:lang w:val="en-US" w:eastAsia="zh-CN"/>
        </w:rPr>
        <w:t>2</w:t>
      </w:r>
      <w:r>
        <w:rPr>
          <w:b/>
          <w:sz w:val="18"/>
          <w:szCs w:val="18"/>
        </w:rPr>
        <w:t>.</w:t>
      </w:r>
      <w:r>
        <w:rPr>
          <w:rFonts w:hint="eastAsia"/>
          <w:b/>
          <w:sz w:val="18"/>
          <w:szCs w:val="18"/>
          <w:lang w:val="en-US" w:eastAsia="zh-CN"/>
        </w:rPr>
        <w:t>3</w:t>
      </w:r>
      <w:r>
        <w:rPr>
          <w:b/>
          <w:sz w:val="18"/>
          <w:szCs w:val="18"/>
        </w:rPr>
        <w:t xml:space="preserve">  原材料每盘称量的允许质量偏差</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7"/>
        <w:gridCol w:w="4359"/>
      </w:tblGrid>
      <w:tr w14:paraId="21AA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667" w:type="dxa"/>
          </w:tcPr>
          <w:p w14:paraId="6F09D861">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材料名称</w:t>
            </w:r>
          </w:p>
        </w:tc>
        <w:tc>
          <w:tcPr>
            <w:tcW w:w="4359" w:type="dxa"/>
          </w:tcPr>
          <w:p w14:paraId="67BEE6D7">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允许偏差(%)</w:t>
            </w:r>
          </w:p>
        </w:tc>
      </w:tr>
      <w:tr w14:paraId="7A6E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tcPr>
          <w:p w14:paraId="2B87446A">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水泥、矿物掺合料</w:t>
            </w:r>
          </w:p>
        </w:tc>
        <w:tc>
          <w:tcPr>
            <w:tcW w:w="4359" w:type="dxa"/>
          </w:tcPr>
          <w:p w14:paraId="7F5852D2">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±2</w:t>
            </w:r>
          </w:p>
        </w:tc>
      </w:tr>
      <w:tr w14:paraId="08D33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tcPr>
          <w:p w14:paraId="743E7ED4">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粗、细骨料</w:t>
            </w:r>
          </w:p>
        </w:tc>
        <w:tc>
          <w:tcPr>
            <w:tcW w:w="4359" w:type="dxa"/>
          </w:tcPr>
          <w:p w14:paraId="1C948587">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±3</w:t>
            </w:r>
          </w:p>
        </w:tc>
      </w:tr>
      <w:tr w14:paraId="0829D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67" w:type="dxa"/>
          </w:tcPr>
          <w:p w14:paraId="2B21A406">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混凝土防水剂、水、其他外加剂</w:t>
            </w:r>
          </w:p>
        </w:tc>
        <w:tc>
          <w:tcPr>
            <w:tcW w:w="4359" w:type="dxa"/>
          </w:tcPr>
          <w:p w14:paraId="449E4E2D">
            <w:pPr>
              <w:keepNext w:val="0"/>
              <w:keepLines w:val="0"/>
              <w:suppressLineNumbers w:val="0"/>
              <w:spacing w:before="0" w:beforeAutospacing="0" w:after="0" w:afterAutospacing="0"/>
              <w:ind w:left="0" w:right="0"/>
              <w:jc w:val="center"/>
              <w:rPr>
                <w:rFonts w:hint="default"/>
                <w:sz w:val="18"/>
                <w:szCs w:val="18"/>
              </w:rPr>
            </w:pPr>
            <w:r>
              <w:rPr>
                <w:rFonts w:hint="default"/>
                <w:sz w:val="18"/>
                <w:szCs w:val="18"/>
              </w:rPr>
              <w:t>±1</w:t>
            </w:r>
          </w:p>
        </w:tc>
      </w:tr>
    </w:tbl>
    <w:p w14:paraId="4972F254">
      <w:pPr>
        <w:spacing w:before="156" w:beforeLines="50" w:line="300" w:lineRule="auto"/>
        <w:rPr>
          <w:szCs w:val="21"/>
        </w:rPr>
      </w:pPr>
      <w:r>
        <w:rPr>
          <w:b/>
          <w:bCs/>
          <w:szCs w:val="21"/>
        </w:rPr>
        <w:t>7.</w:t>
      </w:r>
      <w:r>
        <w:rPr>
          <w:rFonts w:hint="eastAsia"/>
          <w:b/>
          <w:bCs/>
          <w:szCs w:val="21"/>
          <w:lang w:val="en-US" w:eastAsia="zh-CN"/>
        </w:rPr>
        <w:t>2</w:t>
      </w:r>
      <w:r>
        <w:rPr>
          <w:b/>
          <w:bCs/>
          <w:szCs w:val="21"/>
        </w:rPr>
        <w:t>.</w:t>
      </w:r>
      <w:r>
        <w:rPr>
          <w:rFonts w:hint="eastAsia"/>
          <w:b/>
          <w:bCs/>
          <w:szCs w:val="21"/>
          <w:lang w:val="en-US" w:eastAsia="zh-CN"/>
        </w:rPr>
        <w:t>4</w:t>
      </w:r>
      <w:r>
        <w:rPr>
          <w:szCs w:val="21"/>
        </w:rPr>
        <w:t xml:space="preserve"> 掺加防水剂的</w:t>
      </w:r>
      <w:r>
        <w:rPr>
          <w:rFonts w:hint="eastAsia"/>
          <w:szCs w:val="21"/>
          <w:lang w:eastAsia="zh-CN"/>
        </w:rPr>
        <w:t>混凝土</w:t>
      </w:r>
      <w:r>
        <w:rPr>
          <w:szCs w:val="21"/>
        </w:rPr>
        <w:t>应</w:t>
      </w:r>
      <w:r>
        <w:rPr>
          <w:bCs/>
          <w:szCs w:val="21"/>
        </w:rPr>
        <w:t>搅拌均匀。</w:t>
      </w:r>
      <w:r>
        <w:rPr>
          <w:szCs w:val="21"/>
        </w:rPr>
        <w:t>预拌防水剂混凝土搅拌时间与普通混凝土相同，现场拌制的防水剂混凝土搅拌时间应比普通混凝土延长30s以上</w:t>
      </w:r>
      <w:r>
        <w:rPr>
          <w:bCs/>
          <w:szCs w:val="21"/>
        </w:rPr>
        <w:t>。</w:t>
      </w:r>
    </w:p>
    <w:p w14:paraId="59C757E1">
      <w:pPr>
        <w:spacing w:line="360" w:lineRule="auto"/>
        <w:rPr>
          <w:szCs w:val="21"/>
        </w:rPr>
      </w:pPr>
      <w:r>
        <w:rPr>
          <w:b/>
          <w:bCs/>
          <w:szCs w:val="21"/>
        </w:rPr>
        <w:t>7.</w:t>
      </w:r>
      <w:r>
        <w:rPr>
          <w:rFonts w:hint="eastAsia"/>
          <w:b/>
          <w:bCs/>
          <w:szCs w:val="21"/>
          <w:lang w:val="en-US" w:eastAsia="zh-CN"/>
        </w:rPr>
        <w:t>2</w:t>
      </w:r>
      <w:r>
        <w:rPr>
          <w:b/>
          <w:bCs/>
          <w:szCs w:val="21"/>
        </w:rPr>
        <w:t>.</w:t>
      </w:r>
      <w:r>
        <w:rPr>
          <w:rFonts w:hint="eastAsia"/>
          <w:b/>
          <w:bCs/>
          <w:szCs w:val="21"/>
          <w:lang w:val="en-US" w:eastAsia="zh-CN"/>
        </w:rPr>
        <w:t>5</w:t>
      </w:r>
      <w:r>
        <w:rPr>
          <w:szCs w:val="21"/>
        </w:rPr>
        <w:t xml:space="preserve"> 根据需要，粉体混凝土防水剂可在搅拌站配制成液体使用。</w:t>
      </w:r>
    </w:p>
    <w:p w14:paraId="4F834AFF">
      <w:pPr>
        <w:spacing w:line="360" w:lineRule="auto"/>
        <w:rPr>
          <w:szCs w:val="21"/>
        </w:rPr>
      </w:pPr>
      <w:r>
        <w:rPr>
          <w:b/>
          <w:bCs/>
          <w:szCs w:val="21"/>
        </w:rPr>
        <w:t>7.</w:t>
      </w:r>
      <w:r>
        <w:rPr>
          <w:rFonts w:hint="eastAsia"/>
          <w:b/>
          <w:bCs/>
          <w:szCs w:val="21"/>
          <w:lang w:val="en-US" w:eastAsia="zh-CN"/>
        </w:rPr>
        <w:t>2</w:t>
      </w:r>
      <w:r>
        <w:rPr>
          <w:b/>
          <w:bCs/>
          <w:szCs w:val="21"/>
        </w:rPr>
        <w:t>.</w:t>
      </w:r>
      <w:r>
        <w:rPr>
          <w:rFonts w:hint="eastAsia"/>
          <w:b/>
          <w:bCs/>
          <w:szCs w:val="21"/>
          <w:lang w:val="en-US" w:eastAsia="zh-CN"/>
        </w:rPr>
        <w:t>6</w:t>
      </w:r>
      <w:r>
        <w:rPr>
          <w:szCs w:val="21"/>
        </w:rPr>
        <w:t xml:space="preserve"> 混凝土拌合物运输应采用混凝土搅拌运输车。运输车应根据施工现场实际情况，具有防晒、防雨和保温措施。</w:t>
      </w:r>
    </w:p>
    <w:p w14:paraId="7AE106EE">
      <w:pPr>
        <w:spacing w:line="360" w:lineRule="auto"/>
        <w:rPr>
          <w:szCs w:val="21"/>
        </w:rPr>
      </w:pPr>
      <w:r>
        <w:rPr>
          <w:b/>
          <w:bCs/>
          <w:szCs w:val="21"/>
        </w:rPr>
        <w:t>7.</w:t>
      </w:r>
      <w:r>
        <w:rPr>
          <w:rFonts w:hint="eastAsia"/>
          <w:b/>
          <w:bCs/>
          <w:szCs w:val="21"/>
          <w:lang w:val="en-US" w:eastAsia="zh-CN"/>
        </w:rPr>
        <w:t>2</w:t>
      </w:r>
      <w:r>
        <w:rPr>
          <w:b/>
          <w:bCs/>
          <w:szCs w:val="21"/>
        </w:rPr>
        <w:t>.</w:t>
      </w:r>
      <w:r>
        <w:rPr>
          <w:rFonts w:hint="eastAsia"/>
          <w:b/>
          <w:bCs/>
          <w:szCs w:val="21"/>
          <w:lang w:val="en-US" w:eastAsia="zh-CN"/>
        </w:rPr>
        <w:t>7</w:t>
      </w:r>
      <w:r>
        <w:rPr>
          <w:szCs w:val="21"/>
        </w:rPr>
        <w:t xml:space="preserve"> 混凝土拌合物在运输后如出现分层、离析，必须进行二次搅拌。当坍落度损失不能满足施工要求时，应掺加与原混凝土配合比中品种相同的减水剂进行搅拌，严禁直接加水。减水剂掺量和搅拌时间应按照试验确定的预案执行。</w:t>
      </w:r>
    </w:p>
    <w:p w14:paraId="25D3C0B0">
      <w:pPr>
        <w:pStyle w:val="3"/>
        <w:spacing w:before="312" w:beforeLines="100" w:after="156" w:afterLines="50" w:line="360" w:lineRule="auto"/>
        <w:jc w:val="center"/>
        <w:rPr>
          <w:rFonts w:ascii="Times New Roman" w:hAnsi="Times New Roman" w:eastAsia="黑体"/>
          <w:b w:val="0"/>
          <w:bCs w:val="0"/>
          <w:kern w:val="0"/>
          <w:sz w:val="24"/>
          <w:szCs w:val="24"/>
        </w:rPr>
      </w:pPr>
      <w:bookmarkStart w:id="74" w:name="_Toc222866057"/>
      <w:bookmarkStart w:id="75" w:name="_Toc29266"/>
      <w:bookmarkStart w:id="76" w:name="_Toc7886"/>
      <w:bookmarkStart w:id="77" w:name="_Toc222866261"/>
      <w:bookmarkStart w:id="78" w:name="_Toc222865917"/>
      <w:bookmarkStart w:id="79" w:name="_Toc117066881"/>
      <w:r>
        <w:rPr>
          <w:rFonts w:ascii="Times New Roman" w:hAnsi="Times New Roman" w:eastAsia="黑体"/>
          <w:b w:val="0"/>
          <w:bCs w:val="0"/>
          <w:kern w:val="0"/>
          <w:sz w:val="24"/>
          <w:szCs w:val="24"/>
        </w:rPr>
        <w:t>7.</w:t>
      </w:r>
      <w:r>
        <w:rPr>
          <w:rFonts w:hint="eastAsia" w:ascii="Times New Roman" w:hAnsi="Times New Roman" w:eastAsia="黑体"/>
          <w:b w:val="0"/>
          <w:bCs w:val="0"/>
          <w:kern w:val="0"/>
          <w:sz w:val="24"/>
          <w:szCs w:val="24"/>
          <w:lang w:val="en-US" w:eastAsia="zh-CN"/>
        </w:rPr>
        <w:t>3</w:t>
      </w:r>
      <w:r>
        <w:rPr>
          <w:rFonts w:ascii="Times New Roman" w:hAnsi="Times New Roman" w:eastAsia="黑体"/>
          <w:b w:val="0"/>
          <w:bCs w:val="0"/>
          <w:kern w:val="0"/>
          <w:sz w:val="24"/>
          <w:szCs w:val="24"/>
        </w:rPr>
        <w:t xml:space="preserve"> 浇筑和养护</w:t>
      </w:r>
      <w:bookmarkEnd w:id="74"/>
      <w:bookmarkEnd w:id="75"/>
      <w:bookmarkEnd w:id="76"/>
      <w:bookmarkEnd w:id="77"/>
      <w:bookmarkEnd w:id="78"/>
      <w:bookmarkEnd w:id="79"/>
    </w:p>
    <w:p w14:paraId="4793ECE4">
      <w:pPr>
        <w:spacing w:line="360" w:lineRule="auto"/>
        <w:rPr>
          <w:rFonts w:hint="eastAsia" w:ascii="Times New Roman" w:hAnsi="Times New Roman" w:eastAsia="宋体" w:cs="Times New Roman"/>
          <w:szCs w:val="21"/>
          <w:highlight w:val="none"/>
          <w:lang w:val="en-US" w:eastAsia="zh-CN"/>
        </w:rPr>
      </w:pPr>
      <w:r>
        <w:rPr>
          <w:b/>
          <w:bCs/>
          <w:szCs w:val="21"/>
          <w:highlight w:val="none"/>
        </w:rPr>
        <w:t>7.</w:t>
      </w:r>
      <w:r>
        <w:rPr>
          <w:rFonts w:hint="eastAsia"/>
          <w:b/>
          <w:bCs/>
          <w:szCs w:val="21"/>
          <w:highlight w:val="none"/>
          <w:lang w:val="en-US" w:eastAsia="zh-CN"/>
        </w:rPr>
        <w:t>3</w:t>
      </w:r>
      <w:r>
        <w:rPr>
          <w:b/>
          <w:bCs/>
          <w:szCs w:val="21"/>
          <w:highlight w:val="none"/>
        </w:rPr>
        <w:t>.1</w:t>
      </w:r>
      <w:r>
        <w:rPr>
          <w:szCs w:val="21"/>
          <w:highlight w:val="none"/>
        </w:rPr>
        <w:t xml:space="preserve"> 混凝土墙体宜采用钢模板或铝模板</w:t>
      </w:r>
      <w:r>
        <w:rPr>
          <w:rFonts w:hint="eastAsia" w:ascii="Times New Roman" w:hAnsi="Times New Roman" w:eastAsia="宋体" w:cs="Times New Roman"/>
          <w:szCs w:val="21"/>
          <w:highlight w:val="none"/>
          <w:lang w:eastAsia="zh-CN"/>
        </w:rPr>
        <w:t>，</w:t>
      </w:r>
      <w:r>
        <w:rPr>
          <w:rFonts w:hint="eastAsia" w:ascii="Times New Roman" w:hAnsi="Times New Roman" w:eastAsia="宋体" w:cs="Times New Roman"/>
          <w:szCs w:val="21"/>
          <w:highlight w:val="none"/>
          <w:lang w:val="en-US" w:eastAsia="zh-CN"/>
        </w:rPr>
        <w:t>模板应拼缝严密、支撑牢固。</w:t>
      </w:r>
    </w:p>
    <w:p w14:paraId="1ED9CEE1">
      <w:pPr>
        <w:spacing w:line="360" w:lineRule="auto"/>
        <w:rPr>
          <w:rFonts w:hint="eastAsia" w:ascii="Times New Roman" w:hAnsi="Times New Roman" w:eastAsia="宋体" w:cs="Times New Roman"/>
          <w:szCs w:val="21"/>
          <w:highlight w:val="none"/>
          <w:lang w:val="en-US" w:eastAsia="zh-CN"/>
        </w:rPr>
      </w:pPr>
      <w:r>
        <w:rPr>
          <w:rFonts w:hint="eastAsia" w:ascii="Times New Roman" w:hAnsi="Times New Roman" w:eastAsia="宋体" w:cs="Times New Roman"/>
          <w:b/>
          <w:bCs/>
          <w:szCs w:val="21"/>
          <w:highlight w:val="none"/>
          <w:lang w:val="en-US" w:eastAsia="zh-CN"/>
        </w:rPr>
        <w:t>7.3.2</w:t>
      </w:r>
      <w:r>
        <w:rPr>
          <w:rFonts w:hint="eastAsia" w:ascii="Times New Roman" w:hAnsi="Times New Roman" w:eastAsia="宋体" w:cs="Times New Roman"/>
          <w:szCs w:val="21"/>
          <w:highlight w:val="none"/>
          <w:lang w:val="en-US" w:eastAsia="zh-CN"/>
        </w:rPr>
        <w:t>浇筑混凝土前，应清除模板内或垫层上的杂物。表面干燥的地基、垫层、模板上应洒水湿润；现场环境温度高于35℃时，宜对金属模板进行洒水降温；洒水后不得留有积水。</w:t>
      </w:r>
    </w:p>
    <w:p w14:paraId="10F3AF36">
      <w:pPr>
        <w:spacing w:line="360" w:lineRule="auto"/>
        <w:rPr>
          <w:szCs w:val="21"/>
          <w:highlight w:val="none"/>
        </w:rPr>
      </w:pPr>
      <w:r>
        <w:rPr>
          <w:b/>
          <w:bCs/>
          <w:szCs w:val="21"/>
          <w:highlight w:val="none"/>
        </w:rPr>
        <w:t>7.</w:t>
      </w:r>
      <w:r>
        <w:rPr>
          <w:rFonts w:hint="eastAsia"/>
          <w:b/>
          <w:bCs/>
          <w:szCs w:val="21"/>
          <w:highlight w:val="none"/>
          <w:lang w:val="en-US" w:eastAsia="zh-CN"/>
        </w:rPr>
        <w:t>3</w:t>
      </w:r>
      <w:r>
        <w:rPr>
          <w:b/>
          <w:bCs/>
          <w:szCs w:val="21"/>
          <w:highlight w:val="none"/>
        </w:rPr>
        <w:t>.</w:t>
      </w:r>
      <w:r>
        <w:rPr>
          <w:rFonts w:hint="eastAsia"/>
          <w:b/>
          <w:bCs/>
          <w:szCs w:val="21"/>
          <w:highlight w:val="none"/>
          <w:lang w:val="en-US" w:eastAsia="zh-CN"/>
        </w:rPr>
        <w:t>3</w:t>
      </w:r>
      <w:r>
        <w:rPr>
          <w:szCs w:val="21"/>
          <w:highlight w:val="none"/>
        </w:rPr>
        <w:t xml:space="preserve"> 混凝土入模温度宜控制在5℃~30℃。</w:t>
      </w:r>
    </w:p>
    <w:p w14:paraId="7EEE7BC1">
      <w:pPr>
        <w:spacing w:line="360" w:lineRule="auto"/>
        <w:rPr>
          <w:rFonts w:hint="eastAsia" w:ascii="Times New Roman" w:hAnsi="Times New Roman" w:eastAsia="宋体" w:cs="Times New Roman"/>
          <w:b w:val="0"/>
          <w:bCs w:val="0"/>
          <w:szCs w:val="21"/>
          <w:highlight w:val="none"/>
          <w:lang w:val="en-US" w:eastAsia="zh-CN"/>
        </w:rPr>
      </w:pPr>
      <w:bookmarkStart w:id="80" w:name="OLE_LINK1"/>
      <w:r>
        <w:rPr>
          <w:rFonts w:hint="eastAsia" w:ascii="Times New Roman" w:hAnsi="Times New Roman" w:eastAsia="宋体" w:cs="Times New Roman"/>
          <w:b/>
          <w:bCs/>
          <w:szCs w:val="21"/>
          <w:highlight w:val="none"/>
          <w:lang w:val="en-US" w:eastAsia="zh-CN"/>
        </w:rPr>
        <w:t>7.3.</w:t>
      </w:r>
      <w:bookmarkEnd w:id="80"/>
      <w:r>
        <w:rPr>
          <w:rFonts w:hint="eastAsia" w:ascii="Times New Roman" w:hAnsi="Times New Roman" w:eastAsia="宋体" w:cs="Times New Roman"/>
          <w:b/>
          <w:bCs/>
          <w:szCs w:val="21"/>
          <w:highlight w:val="none"/>
          <w:lang w:val="en-US" w:eastAsia="zh-CN"/>
        </w:rPr>
        <w:t>4</w:t>
      </w:r>
      <w:r>
        <w:rPr>
          <w:rFonts w:hint="eastAsia" w:ascii="Times New Roman" w:hAnsi="Times New Roman" w:eastAsia="宋体" w:cs="Times New Roman"/>
          <w:b w:val="0"/>
          <w:bCs w:val="0"/>
          <w:szCs w:val="21"/>
          <w:highlight w:val="none"/>
          <w:lang w:val="en-US" w:eastAsia="zh-CN"/>
        </w:rPr>
        <w:t>混凝土不得在有积水的环境中浇筑。混凝土施工不应在雨雪天作业；施工过程下雨时，应采取遮挡措施并适时中止施工。</w:t>
      </w:r>
    </w:p>
    <w:p w14:paraId="6F956FEC">
      <w:pPr>
        <w:spacing w:line="360" w:lineRule="auto"/>
        <w:rPr>
          <w:szCs w:val="21"/>
        </w:rPr>
      </w:pPr>
      <w:r>
        <w:rPr>
          <w:b/>
          <w:bCs/>
          <w:szCs w:val="21"/>
        </w:rPr>
        <w:t>7.</w:t>
      </w:r>
      <w:r>
        <w:rPr>
          <w:rFonts w:hint="eastAsia"/>
          <w:b/>
          <w:bCs/>
          <w:szCs w:val="21"/>
          <w:lang w:val="en-US" w:eastAsia="zh-CN"/>
        </w:rPr>
        <w:t>3</w:t>
      </w:r>
      <w:r>
        <w:rPr>
          <w:b/>
          <w:bCs/>
          <w:szCs w:val="21"/>
        </w:rPr>
        <w:t>.</w:t>
      </w:r>
      <w:r>
        <w:rPr>
          <w:rFonts w:hint="eastAsia"/>
          <w:b/>
          <w:bCs/>
          <w:szCs w:val="21"/>
          <w:lang w:val="en-US" w:eastAsia="zh-CN"/>
        </w:rPr>
        <w:t>5</w:t>
      </w:r>
      <w:r>
        <w:rPr>
          <w:szCs w:val="21"/>
        </w:rPr>
        <w:t xml:space="preserve"> 浇筑混凝土时应保证合适的凝结时间和浇筑时间间隔，避免出现施工冷缝。</w:t>
      </w:r>
    </w:p>
    <w:p w14:paraId="52F3B19C">
      <w:pPr>
        <w:spacing w:line="360" w:lineRule="auto"/>
        <w:rPr>
          <w:szCs w:val="21"/>
        </w:rPr>
      </w:pPr>
      <w:r>
        <w:rPr>
          <w:b/>
          <w:bCs/>
          <w:szCs w:val="21"/>
        </w:rPr>
        <w:t>7.</w:t>
      </w:r>
      <w:r>
        <w:rPr>
          <w:rFonts w:hint="eastAsia"/>
          <w:b/>
          <w:bCs/>
          <w:szCs w:val="21"/>
          <w:lang w:val="en-US" w:eastAsia="zh-CN"/>
        </w:rPr>
        <w:t>3</w:t>
      </w:r>
      <w:r>
        <w:rPr>
          <w:b/>
          <w:bCs/>
          <w:szCs w:val="21"/>
        </w:rPr>
        <w:t>.</w:t>
      </w:r>
      <w:r>
        <w:rPr>
          <w:rFonts w:hint="eastAsia"/>
          <w:b/>
          <w:bCs/>
          <w:szCs w:val="21"/>
          <w:lang w:val="en-US" w:eastAsia="zh-CN"/>
        </w:rPr>
        <w:t>6</w:t>
      </w:r>
      <w:r>
        <w:rPr>
          <w:b/>
          <w:bCs/>
          <w:szCs w:val="21"/>
        </w:rPr>
        <w:t xml:space="preserve"> </w:t>
      </w:r>
      <w:r>
        <w:rPr>
          <w:szCs w:val="21"/>
        </w:rPr>
        <w:t>大面积浇筑混凝土时，应合理划分施工段，施工段之间的垂直施工缝应设置止水钢板。</w:t>
      </w:r>
    </w:p>
    <w:p w14:paraId="69F197B1">
      <w:pPr>
        <w:spacing w:line="360" w:lineRule="auto"/>
        <w:rPr>
          <w:szCs w:val="21"/>
        </w:rPr>
      </w:pPr>
      <w:r>
        <w:rPr>
          <w:b/>
          <w:bCs/>
          <w:szCs w:val="21"/>
        </w:rPr>
        <w:t>7.</w:t>
      </w:r>
      <w:r>
        <w:rPr>
          <w:rFonts w:hint="eastAsia"/>
          <w:b/>
          <w:bCs/>
          <w:szCs w:val="21"/>
          <w:lang w:val="en-US" w:eastAsia="zh-CN"/>
        </w:rPr>
        <w:t>3</w:t>
      </w:r>
      <w:r>
        <w:rPr>
          <w:b/>
          <w:bCs/>
          <w:szCs w:val="21"/>
        </w:rPr>
        <w:t>.</w:t>
      </w:r>
      <w:r>
        <w:rPr>
          <w:rFonts w:hint="eastAsia"/>
          <w:b/>
          <w:bCs/>
          <w:szCs w:val="21"/>
          <w:lang w:val="en-US" w:eastAsia="zh-CN"/>
        </w:rPr>
        <w:t>7</w:t>
      </w:r>
      <w:r>
        <w:rPr>
          <w:szCs w:val="21"/>
        </w:rPr>
        <w:t xml:space="preserve"> 混凝土应分层连续浇筑，分层厚度应符合现行国家标准</w:t>
      </w:r>
      <w:bookmarkStart w:id="81" w:name="_Hlk222903359"/>
      <w:r>
        <w:rPr>
          <w:szCs w:val="21"/>
        </w:rPr>
        <w:t>《混凝土结构工程施工规范》GB 50666</w:t>
      </w:r>
      <w:bookmarkEnd w:id="81"/>
      <w:r>
        <w:rPr>
          <w:szCs w:val="21"/>
        </w:rPr>
        <w:t>的规定；大体积混凝土分层浇筑厚度不应大于500mm。</w:t>
      </w:r>
    </w:p>
    <w:p w14:paraId="74556253">
      <w:pPr>
        <w:spacing w:line="360" w:lineRule="auto"/>
        <w:rPr>
          <w:szCs w:val="21"/>
        </w:rPr>
      </w:pPr>
      <w:r>
        <w:rPr>
          <w:b/>
          <w:bCs/>
          <w:szCs w:val="21"/>
        </w:rPr>
        <w:t>7.</w:t>
      </w:r>
      <w:r>
        <w:rPr>
          <w:rFonts w:hint="eastAsia"/>
          <w:b/>
          <w:bCs/>
          <w:szCs w:val="21"/>
          <w:lang w:val="en-US" w:eastAsia="zh-CN"/>
        </w:rPr>
        <w:t>3</w:t>
      </w:r>
      <w:r>
        <w:rPr>
          <w:b/>
          <w:bCs/>
          <w:szCs w:val="21"/>
        </w:rPr>
        <w:t>.</w:t>
      </w:r>
      <w:r>
        <w:rPr>
          <w:rFonts w:hint="eastAsia"/>
          <w:b/>
          <w:bCs/>
          <w:szCs w:val="21"/>
          <w:lang w:val="en-US" w:eastAsia="zh-CN"/>
        </w:rPr>
        <w:t>8</w:t>
      </w:r>
      <w:r>
        <w:rPr>
          <w:szCs w:val="21"/>
        </w:rPr>
        <w:t xml:space="preserve"> 混凝土应采用机械振捣，不得漏振、欠振和过振。</w:t>
      </w:r>
    </w:p>
    <w:p w14:paraId="0AAA021E">
      <w:pPr>
        <w:spacing w:line="360" w:lineRule="auto"/>
        <w:rPr>
          <w:szCs w:val="21"/>
        </w:rPr>
      </w:pPr>
      <w:r>
        <w:rPr>
          <w:b/>
          <w:bCs/>
          <w:szCs w:val="21"/>
        </w:rPr>
        <w:t>7.</w:t>
      </w:r>
      <w:r>
        <w:rPr>
          <w:rFonts w:hint="eastAsia"/>
          <w:b/>
          <w:bCs/>
          <w:szCs w:val="21"/>
          <w:lang w:val="en-US" w:eastAsia="zh-CN"/>
        </w:rPr>
        <w:t>3</w:t>
      </w:r>
      <w:r>
        <w:rPr>
          <w:b/>
          <w:bCs/>
          <w:szCs w:val="21"/>
        </w:rPr>
        <w:t>.</w:t>
      </w:r>
      <w:r>
        <w:rPr>
          <w:rFonts w:hint="eastAsia"/>
          <w:b/>
          <w:bCs/>
          <w:szCs w:val="21"/>
          <w:lang w:val="en-US" w:eastAsia="zh-CN"/>
        </w:rPr>
        <w:t>9</w:t>
      </w:r>
      <w:r>
        <w:rPr>
          <w:szCs w:val="21"/>
        </w:rPr>
        <w:t xml:space="preserve"> 底板和顶板混凝土初凝及终凝前，宜分别对混凝土表面进行收光抹压处理。</w:t>
      </w:r>
    </w:p>
    <w:p w14:paraId="371FE508">
      <w:pPr>
        <w:spacing w:line="360" w:lineRule="auto"/>
        <w:rPr>
          <w:szCs w:val="21"/>
        </w:rPr>
      </w:pPr>
      <w:r>
        <w:rPr>
          <w:b/>
          <w:bCs/>
          <w:szCs w:val="21"/>
        </w:rPr>
        <w:t>7.</w:t>
      </w:r>
      <w:r>
        <w:rPr>
          <w:rFonts w:hint="eastAsia"/>
          <w:b/>
          <w:bCs/>
          <w:szCs w:val="21"/>
          <w:lang w:val="en-US" w:eastAsia="zh-CN"/>
        </w:rPr>
        <w:t>3</w:t>
      </w:r>
      <w:r>
        <w:rPr>
          <w:b/>
          <w:bCs/>
          <w:szCs w:val="21"/>
        </w:rPr>
        <w:t>.</w:t>
      </w:r>
      <w:r>
        <w:rPr>
          <w:rFonts w:hint="eastAsia"/>
          <w:b/>
          <w:bCs/>
          <w:szCs w:val="21"/>
          <w:lang w:val="en-US" w:eastAsia="zh-CN"/>
        </w:rPr>
        <w:t>10</w:t>
      </w:r>
      <w:r>
        <w:rPr>
          <w:szCs w:val="21"/>
        </w:rPr>
        <w:t xml:space="preserve"> 侧墙混凝土宜待温度降至环境温度时拆除模板。</w:t>
      </w:r>
    </w:p>
    <w:p w14:paraId="0A11A83E">
      <w:pPr>
        <w:spacing w:line="360" w:lineRule="auto"/>
        <w:rPr>
          <w:rFonts w:hint="eastAsia" w:ascii="Times New Roman" w:hAnsi="Times New Roman" w:eastAsia="宋体" w:cs="Times New Roman"/>
          <w:b w:val="0"/>
          <w:bCs w:val="0"/>
          <w:szCs w:val="21"/>
          <w:lang w:val="en-US" w:eastAsia="zh-CN"/>
        </w:rPr>
      </w:pPr>
      <w:r>
        <w:rPr>
          <w:rFonts w:hint="eastAsia" w:ascii="Times New Roman" w:hAnsi="Times New Roman" w:eastAsia="宋体" w:cs="Times New Roman"/>
          <w:b/>
          <w:bCs/>
          <w:szCs w:val="21"/>
          <w:lang w:val="en-US" w:eastAsia="zh-CN"/>
        </w:rPr>
        <w:t>7.3.11</w:t>
      </w:r>
      <w:r>
        <w:rPr>
          <w:rFonts w:hint="eastAsia" w:ascii="Times New Roman" w:hAnsi="Times New Roman" w:eastAsia="宋体" w:cs="Times New Roman"/>
          <w:b w:val="0"/>
          <w:bCs w:val="0"/>
          <w:szCs w:val="21"/>
          <w:lang w:val="en-US" w:eastAsia="zh-CN"/>
        </w:rPr>
        <w:t>混凝土终凝后应及时进行养护，应对混凝土外露面采取包裹、覆盖、喷淋洒水等保温保湿养护措施，混凝土最短养护时间应满足表7.3.13的规定。混凝土养护应包括适当的带模养护时间，当大气相对湿度小于50%，有风，或阳光直射时，带模养护时间不宜小于3d；大风、大日较差环境带模养护时间宜适当延长，不宜小于7d。</w:t>
      </w:r>
    </w:p>
    <w:p w14:paraId="2D9508F1">
      <w:pPr>
        <w:spacing w:before="156" w:beforeLines="50"/>
        <w:jc w:val="center"/>
        <w:rPr>
          <w:rFonts w:hint="eastAsia" w:ascii="Times New Roman" w:hAnsi="Times New Roman" w:eastAsia="宋体" w:cs="Times New Roman"/>
          <w:b/>
          <w:sz w:val="18"/>
          <w:szCs w:val="18"/>
          <w:lang w:val="en-US" w:eastAsia="zh-CN"/>
        </w:rPr>
      </w:pPr>
      <w:r>
        <w:rPr>
          <w:rFonts w:hint="eastAsia" w:ascii="Times New Roman" w:hAnsi="Times New Roman" w:eastAsia="宋体" w:cs="Times New Roman"/>
          <w:b/>
          <w:sz w:val="18"/>
          <w:szCs w:val="18"/>
          <w:lang w:val="en-US" w:eastAsia="zh-CN"/>
        </w:rPr>
        <w:t>表7.3.11 高性能防水混凝土最短养护时间</w:t>
      </w:r>
    </w:p>
    <w:tbl>
      <w:tblPr>
        <w:tblStyle w:val="18"/>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2429"/>
        <w:gridCol w:w="2754"/>
        <w:gridCol w:w="2337"/>
      </w:tblGrid>
      <w:tr w14:paraId="6555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7" w:type="pct"/>
            <w:vAlign w:val="center"/>
          </w:tcPr>
          <w:p w14:paraId="4FAEB5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日平均气温T（℃）</w:t>
            </w:r>
          </w:p>
        </w:tc>
        <w:tc>
          <w:tcPr>
            <w:tcW w:w="1309" w:type="pct"/>
            <w:vAlign w:val="center"/>
          </w:tcPr>
          <w:p w14:paraId="1A52A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大气潮湿（RH≥50%）无风、无阳光直射</w:t>
            </w:r>
          </w:p>
        </w:tc>
        <w:tc>
          <w:tcPr>
            <w:tcW w:w="1484" w:type="pct"/>
            <w:vAlign w:val="center"/>
          </w:tcPr>
          <w:p w14:paraId="04D6E1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大气干燥（20%≤RH&lt;50%）有风、或阳光直射</w:t>
            </w:r>
          </w:p>
        </w:tc>
        <w:tc>
          <w:tcPr>
            <w:tcW w:w="1259" w:type="pct"/>
            <w:vAlign w:val="center"/>
          </w:tcPr>
          <w:p w14:paraId="1F2F07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大气干燥（RH&lt;20%）大风、日较差大</w:t>
            </w:r>
          </w:p>
        </w:tc>
      </w:tr>
      <w:tr w14:paraId="58E9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7" w:type="pct"/>
            <w:vAlign w:val="center"/>
          </w:tcPr>
          <w:p w14:paraId="38D3A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5≤T&lt;10</w:t>
            </w:r>
          </w:p>
        </w:tc>
        <w:tc>
          <w:tcPr>
            <w:tcW w:w="1309" w:type="pct"/>
            <w:vAlign w:val="center"/>
          </w:tcPr>
          <w:p w14:paraId="26C2C7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21d</w:t>
            </w:r>
          </w:p>
        </w:tc>
        <w:tc>
          <w:tcPr>
            <w:tcW w:w="1484" w:type="pct"/>
            <w:vAlign w:val="center"/>
          </w:tcPr>
          <w:p w14:paraId="5FA6CF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28d</w:t>
            </w:r>
          </w:p>
        </w:tc>
        <w:tc>
          <w:tcPr>
            <w:tcW w:w="1259" w:type="pct"/>
            <w:vAlign w:val="center"/>
          </w:tcPr>
          <w:p w14:paraId="779807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56d</w:t>
            </w:r>
          </w:p>
        </w:tc>
      </w:tr>
      <w:tr w14:paraId="39E7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7" w:type="pct"/>
            <w:vAlign w:val="center"/>
          </w:tcPr>
          <w:p w14:paraId="1BCE31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10≤T&lt;20</w:t>
            </w:r>
          </w:p>
        </w:tc>
        <w:tc>
          <w:tcPr>
            <w:tcW w:w="1309" w:type="pct"/>
            <w:vAlign w:val="center"/>
          </w:tcPr>
          <w:p w14:paraId="07547A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14d</w:t>
            </w:r>
          </w:p>
        </w:tc>
        <w:tc>
          <w:tcPr>
            <w:tcW w:w="1484" w:type="pct"/>
            <w:vAlign w:val="center"/>
          </w:tcPr>
          <w:p w14:paraId="684BD5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21d</w:t>
            </w:r>
          </w:p>
        </w:tc>
        <w:tc>
          <w:tcPr>
            <w:tcW w:w="1259" w:type="pct"/>
            <w:vAlign w:val="center"/>
          </w:tcPr>
          <w:p w14:paraId="67D730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45d</w:t>
            </w:r>
          </w:p>
        </w:tc>
      </w:tr>
      <w:tr w14:paraId="59CE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7" w:type="pct"/>
            <w:vAlign w:val="center"/>
          </w:tcPr>
          <w:p w14:paraId="5BD85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T≥20</w:t>
            </w:r>
          </w:p>
        </w:tc>
        <w:tc>
          <w:tcPr>
            <w:tcW w:w="1309" w:type="pct"/>
            <w:vAlign w:val="center"/>
          </w:tcPr>
          <w:p w14:paraId="1870B1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10d</w:t>
            </w:r>
          </w:p>
        </w:tc>
        <w:tc>
          <w:tcPr>
            <w:tcW w:w="1484" w:type="pct"/>
            <w:vAlign w:val="center"/>
          </w:tcPr>
          <w:p w14:paraId="69206C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14d</w:t>
            </w:r>
          </w:p>
        </w:tc>
        <w:tc>
          <w:tcPr>
            <w:tcW w:w="1259" w:type="pct"/>
            <w:vAlign w:val="center"/>
          </w:tcPr>
          <w:p w14:paraId="5A3595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eastAsia"/>
                <w:kern w:val="0"/>
                <w:sz w:val="18"/>
                <w:szCs w:val="18"/>
                <w:lang w:val="en-US" w:eastAsia="zh-CN"/>
              </w:rPr>
            </w:pPr>
            <w:r>
              <w:rPr>
                <w:rFonts w:hint="eastAsia"/>
                <w:kern w:val="0"/>
                <w:sz w:val="18"/>
                <w:szCs w:val="18"/>
                <w:lang w:val="en-US" w:eastAsia="zh-CN"/>
              </w:rPr>
              <w:t>35d</w:t>
            </w:r>
          </w:p>
        </w:tc>
      </w:tr>
    </w:tbl>
    <w:p w14:paraId="2A1B7A9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Times New Roman" w:hAnsi="Times New Roman" w:eastAsia="宋体" w:cs="Times New Roman"/>
          <w:b w:val="0"/>
          <w:bCs w:val="0"/>
          <w:szCs w:val="21"/>
          <w:lang w:val="en-US" w:eastAsia="zh-CN"/>
        </w:rPr>
      </w:pPr>
      <w:r>
        <w:rPr>
          <w:rFonts w:hint="eastAsia" w:ascii="Times New Roman" w:hAnsi="Times New Roman" w:eastAsia="宋体" w:cs="Times New Roman"/>
          <w:b/>
          <w:bCs/>
          <w:szCs w:val="21"/>
          <w:lang w:val="en-US" w:eastAsia="zh-CN"/>
        </w:rPr>
        <w:t>7.3.12</w:t>
      </w:r>
      <w:r>
        <w:rPr>
          <w:rFonts w:hint="eastAsia" w:ascii="Times New Roman" w:hAnsi="Times New Roman" w:eastAsia="宋体" w:cs="Times New Roman"/>
          <w:b w:val="0"/>
          <w:bCs w:val="0"/>
          <w:szCs w:val="21"/>
          <w:lang w:val="en-US" w:eastAsia="zh-CN"/>
        </w:rPr>
        <w:t>混凝土养护期间，混凝土芯部与表面温度差值不应大于20℃，混凝土表面与环境之间的温差不应大于20℃；混凝土芯部开始降温之前不得进行拆模作业；混凝土表面温度与养护水的温差不得大于15℃。</w:t>
      </w:r>
    </w:p>
    <w:p w14:paraId="34137AF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szCs w:val="21"/>
        </w:rPr>
      </w:pPr>
      <w:r>
        <w:rPr>
          <w:b/>
          <w:bCs/>
          <w:szCs w:val="21"/>
        </w:rPr>
        <w:t>7.</w:t>
      </w:r>
      <w:r>
        <w:rPr>
          <w:rFonts w:hint="eastAsia"/>
          <w:b/>
          <w:bCs/>
          <w:szCs w:val="21"/>
          <w:lang w:val="en-US" w:eastAsia="zh-CN"/>
        </w:rPr>
        <w:t>3</w:t>
      </w:r>
      <w:r>
        <w:rPr>
          <w:b/>
          <w:bCs/>
          <w:szCs w:val="21"/>
        </w:rPr>
        <w:t>.1</w:t>
      </w:r>
      <w:r>
        <w:rPr>
          <w:rFonts w:hint="eastAsia"/>
          <w:b/>
          <w:bCs/>
          <w:szCs w:val="21"/>
          <w:lang w:val="en-US" w:eastAsia="zh-CN"/>
        </w:rPr>
        <w:t>3</w:t>
      </w:r>
      <w:r>
        <w:rPr>
          <w:szCs w:val="21"/>
        </w:rPr>
        <w:t>处于腐蚀介质的掺防水剂的混凝土，应采取防腐蚀措施。</w:t>
      </w:r>
    </w:p>
    <w:p w14:paraId="6A61259A">
      <w:pPr>
        <w:spacing w:line="360" w:lineRule="auto"/>
        <w:rPr>
          <w:szCs w:val="21"/>
        </w:rPr>
      </w:pPr>
      <w:r>
        <w:rPr>
          <w:b/>
          <w:bCs/>
          <w:szCs w:val="21"/>
        </w:rPr>
        <w:t>7.</w:t>
      </w:r>
      <w:r>
        <w:rPr>
          <w:rFonts w:hint="eastAsia"/>
          <w:b/>
          <w:bCs/>
          <w:szCs w:val="21"/>
          <w:lang w:val="en-US" w:eastAsia="zh-CN"/>
        </w:rPr>
        <w:t>3</w:t>
      </w:r>
      <w:r>
        <w:rPr>
          <w:b/>
          <w:bCs/>
          <w:szCs w:val="21"/>
        </w:rPr>
        <w:t>.1</w:t>
      </w:r>
      <w:r>
        <w:rPr>
          <w:rFonts w:hint="eastAsia"/>
          <w:b/>
          <w:bCs/>
          <w:szCs w:val="21"/>
          <w:lang w:val="en-US" w:eastAsia="zh-CN"/>
        </w:rPr>
        <w:t>4</w:t>
      </w:r>
      <w:r>
        <w:rPr>
          <w:szCs w:val="21"/>
        </w:rPr>
        <w:t xml:space="preserve"> 结构最小截面尺寸超过</w:t>
      </w:r>
      <w:r>
        <w:rPr>
          <w:rFonts w:hint="eastAsia"/>
          <w:szCs w:val="21"/>
        </w:rPr>
        <w:t>10</w:t>
      </w:r>
      <w:r>
        <w:rPr>
          <w:szCs w:val="21"/>
        </w:rPr>
        <w:t>00mm或预测因水化热容易产生开裂的</w:t>
      </w:r>
      <w:r>
        <w:rPr>
          <w:rFonts w:hint="eastAsia"/>
          <w:szCs w:val="21"/>
          <w:lang w:val="en-US" w:eastAsia="zh-CN"/>
        </w:rPr>
        <w:t>掺加</w:t>
      </w:r>
      <w:r>
        <w:rPr>
          <w:szCs w:val="21"/>
        </w:rPr>
        <w:t>防水剂的混凝土施工过程中宜进行温度监测与控制，温度监测与控制应符合现行国家标准</w:t>
      </w:r>
      <w:bookmarkStart w:id="82" w:name="_Hlk222903366"/>
      <w:r>
        <w:rPr>
          <w:szCs w:val="21"/>
        </w:rPr>
        <w:t>《大体积混凝土施工标准》GB 50496</w:t>
      </w:r>
      <w:bookmarkEnd w:id="82"/>
      <w:r>
        <w:rPr>
          <w:szCs w:val="21"/>
        </w:rPr>
        <w:t>的规定。</w:t>
      </w:r>
    </w:p>
    <w:p w14:paraId="1C5CEDC0">
      <w:pPr>
        <w:rPr>
          <w:b/>
          <w:bCs/>
          <w:sz w:val="32"/>
          <w:szCs w:val="32"/>
        </w:rPr>
      </w:pPr>
      <w:bookmarkStart w:id="83" w:name="_Toc222866058"/>
      <w:bookmarkStart w:id="84" w:name="_Toc222866262"/>
      <w:bookmarkStart w:id="85" w:name="_Toc222865918"/>
      <w:bookmarkStart w:id="86" w:name="_Toc16886"/>
      <w:bookmarkStart w:id="87" w:name="_Toc117066882"/>
      <w:r>
        <w:rPr>
          <w:b/>
          <w:bCs/>
          <w:sz w:val="32"/>
          <w:szCs w:val="32"/>
        </w:rPr>
        <w:br w:type="page"/>
      </w:r>
    </w:p>
    <w:p w14:paraId="2BEC76EA">
      <w:pPr>
        <w:spacing w:before="312" w:beforeLines="100" w:after="312" w:afterLines="100" w:line="360" w:lineRule="auto"/>
        <w:jc w:val="center"/>
        <w:outlineLvl w:val="0"/>
        <w:rPr>
          <w:rFonts w:eastAsia="黑体"/>
          <w:sz w:val="28"/>
          <w:szCs w:val="28"/>
        </w:rPr>
      </w:pPr>
      <w:r>
        <w:rPr>
          <w:b/>
          <w:bCs/>
          <w:sz w:val="32"/>
          <w:szCs w:val="32"/>
        </w:rPr>
        <w:t>8 质量检验和验收</w:t>
      </w:r>
      <w:bookmarkEnd w:id="83"/>
      <w:bookmarkEnd w:id="84"/>
      <w:bookmarkEnd w:id="85"/>
      <w:bookmarkEnd w:id="86"/>
      <w:bookmarkEnd w:id="87"/>
    </w:p>
    <w:p w14:paraId="299AAD0D">
      <w:pPr>
        <w:spacing w:line="360" w:lineRule="auto"/>
        <w:rPr>
          <w:szCs w:val="21"/>
        </w:rPr>
      </w:pPr>
      <w:r>
        <w:rPr>
          <w:b/>
          <w:bCs/>
          <w:szCs w:val="21"/>
        </w:rPr>
        <w:t>8.0.1</w:t>
      </w:r>
      <w:r>
        <w:rPr>
          <w:szCs w:val="21"/>
        </w:rPr>
        <w:t xml:space="preserve"> 原材料进场时，供方应按规定批次向需方提供质量证明文件，质量证明文件应包括型式检验报告、出厂检验报告与合格证等，外加剂产品还应提供使用说明书。</w:t>
      </w:r>
    </w:p>
    <w:p w14:paraId="2DED8E7C">
      <w:pPr>
        <w:spacing w:line="360" w:lineRule="auto"/>
        <w:rPr>
          <w:szCs w:val="21"/>
        </w:rPr>
      </w:pPr>
      <w:r>
        <w:rPr>
          <w:b/>
          <w:bCs/>
          <w:szCs w:val="21"/>
        </w:rPr>
        <w:t>8.0.2</w:t>
      </w:r>
      <w:r>
        <w:rPr>
          <w:szCs w:val="21"/>
        </w:rPr>
        <w:t xml:space="preserve"> 混凝土防水剂材料进场和施工中抽检应符合下列规定：</w:t>
      </w:r>
    </w:p>
    <w:p w14:paraId="1E2B3BBC">
      <w:pPr>
        <w:spacing w:line="360" w:lineRule="auto"/>
        <w:ind w:firstLine="422" w:firstLineChars="200"/>
        <w:rPr>
          <w:rFonts w:hint="eastAsia" w:eastAsia="宋体"/>
          <w:szCs w:val="21"/>
          <w:lang w:eastAsia="zh-CN"/>
        </w:rPr>
      </w:pPr>
      <w:r>
        <w:rPr>
          <w:rFonts w:hint="eastAsia"/>
          <w:b/>
          <w:bCs/>
          <w:szCs w:val="21"/>
          <w:lang w:val="en-US" w:eastAsia="zh-CN"/>
        </w:rPr>
        <w:t>1</w:t>
      </w:r>
      <w:r>
        <w:rPr>
          <w:szCs w:val="21"/>
        </w:rPr>
        <w:t>混凝土防水剂进场检验应按每50t为一检验批，不足50t时也应按一个检验批计</w:t>
      </w:r>
      <w:r>
        <w:rPr>
          <w:rFonts w:hint="eastAsia"/>
          <w:szCs w:val="21"/>
          <w:lang w:eastAsia="zh-CN"/>
        </w:rPr>
        <w:t>；</w:t>
      </w:r>
    </w:p>
    <w:p w14:paraId="4E9AB00B">
      <w:pPr>
        <w:spacing w:line="360" w:lineRule="auto"/>
        <w:ind w:firstLine="422" w:firstLineChars="200"/>
        <w:rPr>
          <w:rFonts w:hint="eastAsia"/>
          <w:szCs w:val="21"/>
          <w:lang w:val="en-US" w:eastAsia="zh-CN"/>
        </w:rPr>
      </w:pPr>
      <w:r>
        <w:rPr>
          <w:rFonts w:hint="eastAsia"/>
          <w:b/>
          <w:bCs/>
          <w:szCs w:val="21"/>
          <w:lang w:val="en-US" w:eastAsia="zh-CN"/>
        </w:rPr>
        <w:t>2</w:t>
      </w:r>
      <w:r>
        <w:rPr>
          <w:szCs w:val="21"/>
        </w:rPr>
        <w:t>混凝土防水剂材料进场和施工中抽检项目应</w:t>
      </w:r>
      <w:r>
        <w:rPr>
          <w:rFonts w:hint="eastAsia"/>
          <w:szCs w:val="21"/>
          <w:lang w:val="en-US" w:eastAsia="zh-CN"/>
        </w:rPr>
        <w:t>按表8.0.2。</w:t>
      </w:r>
    </w:p>
    <w:p w14:paraId="44BF8DA1">
      <w:pPr>
        <w:spacing w:before="156" w:beforeLines="50"/>
        <w:jc w:val="center"/>
        <w:rPr>
          <w:rFonts w:hint="default" w:ascii="Times New Roman" w:hAnsi="Times New Roman" w:eastAsia="宋体" w:cs="Times New Roman"/>
          <w:b/>
          <w:sz w:val="18"/>
          <w:szCs w:val="18"/>
          <w:lang w:val="en-US" w:eastAsia="zh-CN"/>
        </w:rPr>
      </w:pPr>
      <w:r>
        <w:rPr>
          <w:rFonts w:hint="eastAsia" w:ascii="Times New Roman" w:hAnsi="Times New Roman" w:eastAsia="宋体" w:cs="Times New Roman"/>
          <w:b/>
          <w:sz w:val="18"/>
          <w:szCs w:val="18"/>
          <w:lang w:val="en-US" w:eastAsia="zh-CN"/>
        </w:rPr>
        <w:t>表8.0.2 混凝土防水剂材料进场和施工中抽检项目</w:t>
      </w:r>
    </w:p>
    <w:tbl>
      <w:tblPr>
        <w:tblStyle w:val="1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5190"/>
        <w:gridCol w:w="2016"/>
      </w:tblGrid>
      <w:tr w14:paraId="0887B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pct"/>
          </w:tcPr>
          <w:p w14:paraId="6B155D12">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材料</w:t>
            </w:r>
          </w:p>
        </w:tc>
        <w:tc>
          <w:tcPr>
            <w:tcW w:w="2796" w:type="pct"/>
          </w:tcPr>
          <w:p w14:paraId="0111CB1F">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抽检项目</w:t>
            </w:r>
          </w:p>
        </w:tc>
        <w:tc>
          <w:tcPr>
            <w:tcW w:w="1086" w:type="pct"/>
          </w:tcPr>
          <w:p w14:paraId="2146B648">
            <w:pPr>
              <w:keepNext w:val="0"/>
              <w:keepLines w:val="0"/>
              <w:suppressLineNumbers w:val="0"/>
              <w:spacing w:before="0" w:beforeAutospacing="0" w:after="0" w:afterAutospacing="0" w:line="360" w:lineRule="auto"/>
              <w:ind w:left="0" w:right="0"/>
              <w:jc w:val="center"/>
              <w:rPr>
                <w:rFonts w:hint="eastAsia"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执行标准</w:t>
            </w:r>
          </w:p>
        </w:tc>
      </w:tr>
      <w:tr w14:paraId="327C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pct"/>
          </w:tcPr>
          <w:p w14:paraId="2800A2F7">
            <w:pPr>
              <w:keepNext w:val="0"/>
              <w:keepLines w:val="0"/>
              <w:suppressLineNumbers w:val="0"/>
              <w:spacing w:before="0" w:beforeAutospacing="0" w:after="0" w:afterAutospacing="0" w:line="360" w:lineRule="auto"/>
              <w:ind w:left="0" w:right="0"/>
              <w:jc w:val="center"/>
              <w:rPr>
                <w:rFonts w:hint="default"/>
                <w:color w:val="000000" w:themeColor="text1"/>
                <w:sz w:val="18"/>
                <w:szCs w:val="18"/>
                <w:vertAlign w:val="baseline"/>
                <w14:textFill>
                  <w14:solidFill>
                    <w14:schemeClr w14:val="tx1"/>
                  </w14:solidFill>
                </w14:textFill>
              </w:rPr>
            </w:pPr>
            <w:r>
              <w:rPr>
                <w:rFonts w:hint="eastAsia"/>
                <w:sz w:val="18"/>
                <w:szCs w:val="18"/>
                <w:lang w:val="en-US" w:eastAsia="zh-CN"/>
              </w:rPr>
              <w:t>砂浆、混凝土</w:t>
            </w:r>
            <w:r>
              <w:rPr>
                <w:rFonts w:hint="default"/>
                <w:sz w:val="18"/>
                <w:szCs w:val="18"/>
              </w:rPr>
              <w:t>防水剂</w:t>
            </w:r>
          </w:p>
        </w:tc>
        <w:tc>
          <w:tcPr>
            <w:tcW w:w="2796" w:type="pct"/>
          </w:tcPr>
          <w:p w14:paraId="5E0FF9FB">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密度（或细度）、固含量（或含水率）、渗透高度比、吸水量比</w:t>
            </w:r>
          </w:p>
        </w:tc>
        <w:tc>
          <w:tcPr>
            <w:tcW w:w="1086" w:type="pct"/>
          </w:tcPr>
          <w:p w14:paraId="3FF1FF6E">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GB/T 8076和JC/T 474</w:t>
            </w:r>
          </w:p>
        </w:tc>
      </w:tr>
      <w:tr w14:paraId="327C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117" w:type="pct"/>
          </w:tcPr>
          <w:p w14:paraId="44D6914E">
            <w:pPr>
              <w:keepNext w:val="0"/>
              <w:keepLines w:val="0"/>
              <w:suppressLineNumbers w:val="0"/>
              <w:spacing w:before="0" w:beforeAutospacing="0" w:after="0" w:afterAutospacing="0" w:line="360" w:lineRule="auto"/>
              <w:ind w:left="0" w:right="0"/>
              <w:jc w:val="center"/>
              <w:rPr>
                <w:rFonts w:hint="default"/>
                <w:color w:val="000000" w:themeColor="text1"/>
                <w:sz w:val="18"/>
                <w:szCs w:val="18"/>
                <w:vertAlign w:val="baseline"/>
                <w14:textFill>
                  <w14:solidFill>
                    <w14:schemeClr w14:val="tx1"/>
                  </w14:solidFill>
                </w14:textFill>
              </w:rPr>
            </w:pPr>
            <w:r>
              <w:rPr>
                <w:rFonts w:hint="default"/>
                <w:sz w:val="18"/>
                <w:szCs w:val="18"/>
              </w:rPr>
              <w:t>防裂抗渗复合材料</w:t>
            </w:r>
          </w:p>
        </w:tc>
        <w:tc>
          <w:tcPr>
            <w:tcW w:w="2796" w:type="pct"/>
          </w:tcPr>
          <w:p w14:paraId="4F407AC4">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细度、含水率、安定性、裂缝降低系数、混凝土抗压强度比、渗透高度比</w:t>
            </w:r>
          </w:p>
        </w:tc>
        <w:tc>
          <w:tcPr>
            <w:tcW w:w="1086" w:type="pct"/>
          </w:tcPr>
          <w:p w14:paraId="6F9BF670">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JC/T 60014</w:t>
            </w:r>
          </w:p>
        </w:tc>
      </w:tr>
      <w:tr w14:paraId="426D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pct"/>
          </w:tcPr>
          <w:p w14:paraId="64CB62F4">
            <w:pPr>
              <w:keepNext w:val="0"/>
              <w:keepLines w:val="0"/>
              <w:suppressLineNumbers w:val="0"/>
              <w:spacing w:before="0" w:beforeAutospacing="0" w:after="0" w:afterAutospacing="0" w:line="360" w:lineRule="auto"/>
              <w:ind w:left="0" w:right="0"/>
              <w:jc w:val="center"/>
              <w:rPr>
                <w:rFonts w:hint="default"/>
                <w:sz w:val="18"/>
                <w:szCs w:val="18"/>
              </w:rPr>
            </w:pPr>
            <w:r>
              <w:rPr>
                <w:rFonts w:hint="default"/>
                <w:color w:val="000000" w:themeColor="text1"/>
                <w:sz w:val="18"/>
                <w:szCs w:val="18"/>
                <w14:textFill>
                  <w14:solidFill>
                    <w14:schemeClr w14:val="tx1"/>
                  </w14:solidFill>
                </w14:textFill>
              </w:rPr>
              <w:t>抑温抗裂防水剂</w:t>
            </w:r>
          </w:p>
        </w:tc>
        <w:tc>
          <w:tcPr>
            <w:tcW w:w="2796" w:type="pct"/>
          </w:tcPr>
          <w:p w14:paraId="007DEA0D">
            <w:pPr>
              <w:keepNext w:val="0"/>
              <w:keepLines w:val="0"/>
              <w:suppressLineNumbers w:val="0"/>
              <w:spacing w:before="0" w:beforeAutospacing="0" w:after="0" w:afterAutospacing="0" w:line="360" w:lineRule="auto"/>
              <w:ind w:left="0" w:right="0"/>
              <w:jc w:val="center"/>
              <w:rPr>
                <w:rFonts w:hint="default"/>
                <w:color w:val="000000" w:themeColor="text1"/>
                <w:sz w:val="18"/>
                <w:szCs w:val="18"/>
                <w:vertAlign w:val="baseline"/>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抑温率、初始温升5℃时间差（h）</w:t>
            </w:r>
          </w:p>
        </w:tc>
        <w:tc>
          <w:tcPr>
            <w:tcW w:w="1086" w:type="pct"/>
          </w:tcPr>
          <w:p w14:paraId="127AD66D">
            <w:pPr>
              <w:keepNext w:val="0"/>
              <w:keepLines w:val="0"/>
              <w:suppressLineNumbers w:val="0"/>
              <w:spacing w:before="0" w:beforeAutospacing="0" w:after="0" w:afterAutospacing="0" w:line="360" w:lineRule="auto"/>
              <w:ind w:left="0" w:right="0"/>
              <w:jc w:val="center"/>
              <w:rPr>
                <w:rFonts w:hint="default"/>
                <w:color w:val="000000" w:themeColor="text1"/>
                <w:sz w:val="18"/>
                <w:szCs w:val="18"/>
                <w:vertAlign w:val="baseline"/>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JC/T 60014</w:t>
            </w:r>
          </w:p>
        </w:tc>
      </w:tr>
      <w:tr w14:paraId="0068A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pct"/>
          </w:tcPr>
          <w:p w14:paraId="0D1429F2">
            <w:pPr>
              <w:keepNext w:val="0"/>
              <w:keepLines w:val="0"/>
              <w:suppressLineNumbers w:val="0"/>
              <w:spacing w:before="0" w:beforeAutospacing="0" w:after="0" w:afterAutospacing="0" w:line="360" w:lineRule="auto"/>
              <w:ind w:left="0" w:right="0"/>
              <w:jc w:val="center"/>
              <w:rPr>
                <w:rFonts w:hint="default"/>
                <w:sz w:val="18"/>
                <w:szCs w:val="18"/>
                <w:highlight w:val="none"/>
              </w:rPr>
            </w:pPr>
            <w:r>
              <w:rPr>
                <w:rFonts w:hint="default"/>
                <w:color w:val="000000" w:themeColor="text1"/>
                <w:sz w:val="18"/>
                <w:szCs w:val="18"/>
                <w:highlight w:val="none"/>
                <w14:textFill>
                  <w14:solidFill>
                    <w14:schemeClr w14:val="tx1"/>
                  </w14:solidFill>
                </w14:textFill>
              </w:rPr>
              <w:t>无机抗裂减渗剂</w:t>
            </w:r>
          </w:p>
        </w:tc>
        <w:tc>
          <w:tcPr>
            <w:tcW w:w="2796" w:type="pct"/>
          </w:tcPr>
          <w:p w14:paraId="19CB52C6">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highlight w:val="none"/>
                <w:vertAlign w:val="baseline"/>
                <w:lang w:val="en-US" w:eastAsia="zh-CN"/>
                <w14:textFill>
                  <w14:solidFill>
                    <w14:schemeClr w14:val="tx1"/>
                  </w14:solidFill>
                </w14:textFill>
              </w:rPr>
            </w:pPr>
            <w:r>
              <w:rPr>
                <w:rFonts w:hint="eastAsia"/>
                <w:color w:val="000000" w:themeColor="text1"/>
                <w:sz w:val="18"/>
                <w:szCs w:val="18"/>
                <w:highlight w:val="none"/>
                <w:vertAlign w:val="baseline"/>
                <w:lang w:val="en-US" w:eastAsia="zh-CN"/>
                <w14:textFill>
                  <w14:solidFill>
                    <w14:schemeClr w14:val="tx1"/>
                  </w14:solidFill>
                </w14:textFill>
              </w:rPr>
              <w:t>收缩率比、极限拉伸比、渗透高度比</w:t>
            </w:r>
          </w:p>
        </w:tc>
        <w:tc>
          <w:tcPr>
            <w:tcW w:w="1086" w:type="pct"/>
          </w:tcPr>
          <w:p w14:paraId="1717582A">
            <w:pPr>
              <w:keepNext w:val="0"/>
              <w:keepLines w:val="0"/>
              <w:suppressLineNumbers w:val="0"/>
              <w:spacing w:before="0" w:beforeAutospacing="0" w:after="0" w:afterAutospacing="0" w:line="360" w:lineRule="auto"/>
              <w:ind w:left="0" w:right="0"/>
              <w:jc w:val="center"/>
              <w:rPr>
                <w:rFonts w:hint="default"/>
                <w:color w:val="000000" w:themeColor="text1"/>
                <w:sz w:val="18"/>
                <w:szCs w:val="18"/>
                <w:vertAlign w:val="baseline"/>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JC/T 60014</w:t>
            </w:r>
          </w:p>
        </w:tc>
      </w:tr>
      <w:tr w14:paraId="6B073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7" w:type="pct"/>
          </w:tcPr>
          <w:p w14:paraId="15ACBB9F">
            <w:pPr>
              <w:keepNext w:val="0"/>
              <w:keepLines w:val="0"/>
              <w:suppressLineNumbers w:val="0"/>
              <w:spacing w:before="0" w:beforeAutospacing="0" w:after="0" w:afterAutospacing="0" w:line="360" w:lineRule="auto"/>
              <w:ind w:left="0" w:right="0"/>
              <w:jc w:val="center"/>
              <w:rPr>
                <w:rFonts w:hint="default" w:eastAsia="宋体"/>
                <w:sz w:val="18"/>
                <w:szCs w:val="18"/>
                <w:lang w:val="en-US" w:eastAsia="zh-CN"/>
              </w:rPr>
            </w:pPr>
            <w:r>
              <w:rPr>
                <w:rFonts w:hint="eastAsia"/>
                <w:sz w:val="18"/>
                <w:szCs w:val="18"/>
                <w:lang w:val="en-US" w:eastAsia="zh-CN"/>
              </w:rPr>
              <w:t>水泥基渗透结晶防水剂</w:t>
            </w:r>
          </w:p>
        </w:tc>
        <w:tc>
          <w:tcPr>
            <w:tcW w:w="2796" w:type="pct"/>
          </w:tcPr>
          <w:p w14:paraId="0CFE4E4D">
            <w:pPr>
              <w:keepNext w:val="0"/>
              <w:keepLines w:val="0"/>
              <w:suppressLineNumbers w:val="0"/>
              <w:spacing w:before="0" w:beforeAutospacing="0" w:after="0" w:afterAutospacing="0" w:line="360" w:lineRule="auto"/>
              <w:ind w:left="0" w:right="0"/>
              <w:jc w:val="center"/>
              <w:rPr>
                <w:rFonts w:hint="default"/>
                <w:color w:val="000000" w:themeColor="text1"/>
                <w:sz w:val="18"/>
                <w:szCs w:val="18"/>
                <w:vertAlign w:val="baseline"/>
                <w14:textFill>
                  <w14:solidFill>
                    <w14:schemeClr w14:val="tx1"/>
                  </w14:solidFill>
                </w14:textFill>
              </w:rPr>
            </w:pPr>
            <w:r>
              <w:rPr>
                <w:rFonts w:hint="eastAsia" w:ascii="Times New Roman" w:hAnsi="Times New Roman" w:eastAsia="宋体" w:cs="Times New Roman"/>
                <w:sz w:val="18"/>
                <w:szCs w:val="18"/>
                <w:lang w:val="en-US" w:eastAsia="zh-CN"/>
              </w:rPr>
              <w:t>抗压强度比、收缩率比、抗渗性</w:t>
            </w:r>
          </w:p>
        </w:tc>
        <w:tc>
          <w:tcPr>
            <w:tcW w:w="1086" w:type="pct"/>
          </w:tcPr>
          <w:p w14:paraId="40885E37">
            <w:pPr>
              <w:keepNext w:val="0"/>
              <w:keepLines w:val="0"/>
              <w:suppressLineNumbers w:val="0"/>
              <w:spacing w:before="0" w:beforeAutospacing="0" w:after="0" w:afterAutospacing="0" w:line="360" w:lineRule="auto"/>
              <w:ind w:left="0" w:right="0"/>
              <w:jc w:val="center"/>
              <w:rPr>
                <w:rFonts w:hint="default" w:eastAsia="宋体"/>
                <w:color w:val="000000" w:themeColor="text1"/>
                <w:sz w:val="18"/>
                <w:szCs w:val="18"/>
                <w:vertAlign w:val="baseline"/>
                <w:lang w:val="en-US" w:eastAsia="zh-CN"/>
                <w14:textFill>
                  <w14:solidFill>
                    <w14:schemeClr w14:val="tx1"/>
                  </w14:solidFill>
                </w14:textFill>
              </w:rPr>
            </w:pPr>
            <w:r>
              <w:rPr>
                <w:rFonts w:hint="eastAsia"/>
                <w:color w:val="000000" w:themeColor="text1"/>
                <w:sz w:val="18"/>
                <w:szCs w:val="18"/>
                <w:vertAlign w:val="baseline"/>
                <w:lang w:val="en-US" w:eastAsia="zh-CN"/>
                <w14:textFill>
                  <w14:solidFill>
                    <w14:schemeClr w14:val="tx1"/>
                  </w14:solidFill>
                </w14:textFill>
              </w:rPr>
              <w:t>GB/T 18445</w:t>
            </w:r>
          </w:p>
        </w:tc>
      </w:tr>
    </w:tbl>
    <w:p w14:paraId="230978F6">
      <w:pPr>
        <w:spacing w:line="360" w:lineRule="auto"/>
        <w:rPr>
          <w:szCs w:val="21"/>
        </w:rPr>
      </w:pPr>
      <w:r>
        <w:rPr>
          <w:b/>
          <w:bCs/>
          <w:szCs w:val="21"/>
        </w:rPr>
        <w:t>8.0.3</w:t>
      </w:r>
      <w:r>
        <w:rPr>
          <w:szCs w:val="21"/>
        </w:rPr>
        <w:t xml:space="preserve"> 水泥、粗细骨料、矿物掺合料、其他外加剂等应按现行国家标准</w:t>
      </w:r>
      <w:bookmarkStart w:id="88" w:name="_Hlk222903378"/>
      <w:r>
        <w:rPr>
          <w:szCs w:val="21"/>
        </w:rPr>
        <w:t>《混凝土结构工程施工质量验收规范》GB 50204</w:t>
      </w:r>
      <w:bookmarkEnd w:id="88"/>
      <w:r>
        <w:rPr>
          <w:szCs w:val="21"/>
        </w:rPr>
        <w:t>的规定进行检验验收。</w:t>
      </w:r>
    </w:p>
    <w:p w14:paraId="3D724B9D">
      <w:pPr>
        <w:spacing w:before="156" w:beforeLines="50" w:line="360" w:lineRule="auto"/>
        <w:jc w:val="center"/>
        <w:outlineLvl w:val="0"/>
        <w:rPr>
          <w:szCs w:val="21"/>
        </w:rPr>
        <w:sectPr>
          <w:footerReference r:id="rId9" w:type="default"/>
          <w:pgSz w:w="11906" w:h="16838"/>
          <w:pgMar w:top="1418" w:right="1418" w:bottom="1134" w:left="1418" w:header="851" w:footer="992" w:gutter="0"/>
          <w:cols w:space="720" w:num="1"/>
          <w:docGrid w:type="lines" w:linePitch="312" w:charSpace="0"/>
        </w:sectPr>
      </w:pPr>
      <w:r>
        <w:rPr>
          <w:b/>
        </w:rPr>
        <w:br w:type="page"/>
      </w:r>
    </w:p>
    <w:p w14:paraId="64CB9322">
      <w:pPr>
        <w:keepNext/>
        <w:keepLines/>
        <w:tabs>
          <w:tab w:val="left" w:pos="3165"/>
          <w:tab w:val="center" w:pos="4153"/>
        </w:tabs>
        <w:spacing w:before="156" w:beforeLines="50"/>
        <w:jc w:val="center"/>
        <w:outlineLvl w:val="0"/>
        <w:rPr>
          <w:b/>
          <w:bCs/>
          <w:kern w:val="44"/>
          <w:sz w:val="30"/>
          <w:szCs w:val="30"/>
        </w:rPr>
      </w:pPr>
      <w:bookmarkStart w:id="89" w:name="_Toc222866263"/>
      <w:bookmarkStart w:id="90" w:name="_Toc11944"/>
      <w:bookmarkStart w:id="91" w:name="_Toc117066884"/>
      <w:bookmarkStart w:id="92" w:name="_Toc29039"/>
      <w:bookmarkStart w:id="93" w:name="_Toc222865919"/>
      <w:bookmarkStart w:id="94" w:name="_Toc20359_WPSOffice_Level1"/>
      <w:bookmarkStart w:id="95" w:name="_Toc222866059"/>
      <w:bookmarkStart w:id="96" w:name="_Toc21075"/>
      <w:bookmarkStart w:id="97" w:name="_Toc28908_WPSOffice_Level1"/>
      <w:bookmarkStart w:id="98" w:name="_Toc2524"/>
      <w:bookmarkStart w:id="99" w:name="_Toc25381"/>
      <w:r>
        <w:rPr>
          <w:b/>
          <w:bCs/>
          <w:kern w:val="44"/>
          <w:sz w:val="30"/>
          <w:szCs w:val="30"/>
        </w:rPr>
        <w:t>用词说明</w:t>
      </w:r>
      <w:bookmarkEnd w:id="89"/>
      <w:bookmarkEnd w:id="90"/>
      <w:bookmarkEnd w:id="91"/>
      <w:bookmarkEnd w:id="92"/>
      <w:bookmarkEnd w:id="93"/>
      <w:bookmarkEnd w:id="94"/>
      <w:bookmarkEnd w:id="95"/>
      <w:bookmarkEnd w:id="96"/>
      <w:bookmarkEnd w:id="97"/>
      <w:bookmarkEnd w:id="98"/>
      <w:bookmarkEnd w:id="99"/>
    </w:p>
    <w:p w14:paraId="70D87C08">
      <w:pPr>
        <w:rPr>
          <w:szCs w:val="21"/>
        </w:rPr>
      </w:pPr>
    </w:p>
    <w:p w14:paraId="3C1B2256">
      <w:pPr>
        <w:spacing w:before="156" w:beforeLines="50" w:line="360" w:lineRule="auto"/>
        <w:ind w:firstLine="840" w:firstLineChars="400"/>
        <w:rPr>
          <w:szCs w:val="21"/>
        </w:rPr>
      </w:pPr>
      <w:r>
        <w:rPr>
          <w:szCs w:val="21"/>
        </w:rPr>
        <w:t>为便于在执行本规程条款时区别对待，对要求严格程度不同的用词说明如下：</w:t>
      </w:r>
    </w:p>
    <w:p w14:paraId="78011894">
      <w:pPr>
        <w:spacing w:before="156" w:beforeLines="50" w:line="360" w:lineRule="auto"/>
        <w:ind w:firstLine="843" w:firstLineChars="400"/>
        <w:rPr>
          <w:szCs w:val="21"/>
        </w:rPr>
      </w:pPr>
      <w:r>
        <w:rPr>
          <w:b/>
          <w:bCs/>
          <w:szCs w:val="21"/>
        </w:rPr>
        <w:t>1</w:t>
      </w:r>
      <w:r>
        <w:rPr>
          <w:szCs w:val="21"/>
        </w:rPr>
        <w:t xml:space="preserve">  表示很严格，非这样做不可的：</w:t>
      </w:r>
    </w:p>
    <w:p w14:paraId="5D18CFB6">
      <w:pPr>
        <w:spacing w:before="156" w:beforeLines="50" w:line="360" w:lineRule="auto"/>
        <w:ind w:firstLine="840" w:firstLineChars="400"/>
        <w:rPr>
          <w:szCs w:val="21"/>
        </w:rPr>
      </w:pPr>
      <w:r>
        <w:rPr>
          <w:szCs w:val="21"/>
        </w:rPr>
        <w:t>正面词采用“必须”，反面词采用</w:t>
      </w:r>
      <w:r>
        <w:rPr>
          <w:rFonts w:hint="eastAsia"/>
          <w:szCs w:val="21"/>
        </w:rPr>
        <w:t>“严禁”</w:t>
      </w:r>
      <w:r>
        <w:rPr>
          <w:szCs w:val="21"/>
        </w:rPr>
        <w:t>；</w:t>
      </w:r>
    </w:p>
    <w:p w14:paraId="1BE57354">
      <w:pPr>
        <w:spacing w:before="156" w:beforeLines="50" w:line="360" w:lineRule="auto"/>
        <w:ind w:firstLine="843" w:firstLineChars="400"/>
        <w:rPr>
          <w:szCs w:val="21"/>
        </w:rPr>
      </w:pPr>
      <w:r>
        <w:rPr>
          <w:b/>
          <w:bCs/>
          <w:szCs w:val="21"/>
        </w:rPr>
        <w:t>2</w:t>
      </w:r>
      <w:r>
        <w:rPr>
          <w:szCs w:val="21"/>
        </w:rPr>
        <w:t xml:space="preserve"> 表示严格，在正常情况下均应这样做的：</w:t>
      </w:r>
    </w:p>
    <w:p w14:paraId="4C861ACE">
      <w:pPr>
        <w:spacing w:before="156" w:beforeLines="50" w:line="360" w:lineRule="auto"/>
        <w:ind w:firstLine="840" w:firstLineChars="400"/>
        <w:rPr>
          <w:szCs w:val="21"/>
        </w:rPr>
      </w:pPr>
      <w:r>
        <w:rPr>
          <w:szCs w:val="21"/>
        </w:rPr>
        <w:t>正面词采</w:t>
      </w:r>
      <w:r>
        <w:rPr>
          <w:rFonts w:hint="eastAsia"/>
          <w:szCs w:val="21"/>
        </w:rPr>
        <w:t>用“应”</w:t>
      </w:r>
      <w:r>
        <w:rPr>
          <w:szCs w:val="21"/>
        </w:rPr>
        <w:t>，反面词采</w:t>
      </w:r>
      <w:r>
        <w:rPr>
          <w:rFonts w:hint="eastAsia"/>
          <w:szCs w:val="21"/>
        </w:rPr>
        <w:t>用“不应”或“不得”</w:t>
      </w:r>
      <w:r>
        <w:rPr>
          <w:szCs w:val="21"/>
        </w:rPr>
        <w:t>；</w:t>
      </w:r>
    </w:p>
    <w:p w14:paraId="4FBF4101">
      <w:pPr>
        <w:spacing w:before="156" w:beforeLines="50" w:line="360" w:lineRule="auto"/>
        <w:ind w:firstLine="843" w:firstLineChars="400"/>
        <w:rPr>
          <w:szCs w:val="21"/>
        </w:rPr>
      </w:pPr>
      <w:r>
        <w:rPr>
          <w:b/>
          <w:bCs/>
          <w:szCs w:val="21"/>
        </w:rPr>
        <w:t>3</w:t>
      </w:r>
      <w:r>
        <w:rPr>
          <w:szCs w:val="21"/>
        </w:rPr>
        <w:t xml:space="preserve"> 表示允许稍有选择，在条件许可时首先应这样做的：</w:t>
      </w:r>
    </w:p>
    <w:p w14:paraId="772D99FA">
      <w:pPr>
        <w:spacing w:before="156" w:beforeLines="50" w:line="360" w:lineRule="auto"/>
        <w:ind w:firstLine="840" w:firstLineChars="400"/>
        <w:rPr>
          <w:szCs w:val="21"/>
        </w:rPr>
      </w:pPr>
      <w:r>
        <w:rPr>
          <w:szCs w:val="21"/>
        </w:rPr>
        <w:t>正面词采</w:t>
      </w:r>
      <w:r>
        <w:rPr>
          <w:rFonts w:hint="eastAsia"/>
          <w:szCs w:val="21"/>
        </w:rPr>
        <w:t>用“宜”，反面词采用“不宜”</w:t>
      </w:r>
      <w:r>
        <w:rPr>
          <w:szCs w:val="21"/>
        </w:rPr>
        <w:t>；</w:t>
      </w:r>
    </w:p>
    <w:p w14:paraId="2B790B20">
      <w:pPr>
        <w:spacing w:before="156" w:beforeLines="50" w:line="360" w:lineRule="auto"/>
        <w:ind w:firstLine="843" w:firstLineChars="400"/>
        <w:rPr>
          <w:szCs w:val="21"/>
        </w:rPr>
      </w:pPr>
      <w:r>
        <w:rPr>
          <w:b/>
          <w:bCs/>
          <w:szCs w:val="21"/>
        </w:rPr>
        <w:t>4</w:t>
      </w:r>
      <w:r>
        <w:rPr>
          <w:szCs w:val="21"/>
        </w:rPr>
        <w:t xml:space="preserve"> 表示有选择，在一定条件下可以这样做的，</w:t>
      </w:r>
      <w:r>
        <w:rPr>
          <w:rFonts w:hint="eastAsia"/>
          <w:szCs w:val="21"/>
        </w:rPr>
        <w:t>采用“可”</w:t>
      </w:r>
      <w:r>
        <w:rPr>
          <w:szCs w:val="21"/>
        </w:rPr>
        <w:t>。</w:t>
      </w:r>
    </w:p>
    <w:p w14:paraId="5DAC957A">
      <w:pPr>
        <w:spacing w:before="120"/>
        <w:sectPr>
          <w:pgSz w:w="11906" w:h="16838"/>
          <w:pgMar w:top="1418" w:right="1418" w:bottom="1134" w:left="1418" w:header="851" w:footer="992" w:gutter="0"/>
          <w:cols w:space="720" w:num="1"/>
          <w:docGrid w:type="lines" w:linePitch="312" w:charSpace="0"/>
        </w:sectPr>
      </w:pPr>
    </w:p>
    <w:p w14:paraId="40EF54C5">
      <w:pPr>
        <w:pStyle w:val="2"/>
        <w:widowControl w:val="0"/>
        <w:spacing w:before="0" w:after="0" w:line="360" w:lineRule="auto"/>
        <w:jc w:val="center"/>
        <w:rPr>
          <w:kern w:val="0"/>
          <w:sz w:val="32"/>
          <w:szCs w:val="32"/>
        </w:rPr>
      </w:pPr>
      <w:bookmarkStart w:id="100" w:name="_Toc222865920"/>
      <w:bookmarkStart w:id="101" w:name="_Toc212350491"/>
      <w:bookmarkStart w:id="102" w:name="_Toc222866264"/>
      <w:bookmarkStart w:id="103" w:name="_Toc222866060"/>
      <w:bookmarkStart w:id="104" w:name="_Toc117066885"/>
      <w:bookmarkStart w:id="105" w:name="_Toc12476"/>
      <w:bookmarkStart w:id="106" w:name="_Toc2536"/>
      <w:r>
        <w:rPr>
          <w:kern w:val="0"/>
          <w:sz w:val="32"/>
          <w:szCs w:val="32"/>
        </w:rPr>
        <w:t>引用标准名录</w:t>
      </w:r>
      <w:bookmarkEnd w:id="100"/>
      <w:bookmarkEnd w:id="101"/>
      <w:bookmarkEnd w:id="102"/>
      <w:bookmarkEnd w:id="103"/>
      <w:bookmarkEnd w:id="104"/>
      <w:bookmarkEnd w:id="105"/>
      <w:bookmarkEnd w:id="106"/>
    </w:p>
    <w:p w14:paraId="3893CF2D">
      <w:pPr>
        <w:spacing w:line="360" w:lineRule="auto"/>
        <w:ind w:firstLine="420" w:firstLineChars="200"/>
        <w:rPr>
          <w:szCs w:val="21"/>
        </w:rPr>
      </w:pPr>
      <w:r>
        <w:rPr>
          <w:szCs w:val="21"/>
        </w:rPr>
        <w:t>本规程引用下列标准。其中，注日期的，仅对该日期对应的版本适用本规程；不注日期的，其最新版适用于本规程。</w:t>
      </w:r>
    </w:p>
    <w:bookmarkEnd w:id="2"/>
    <w:p w14:paraId="285737DB">
      <w:pPr>
        <w:spacing w:line="360" w:lineRule="auto"/>
        <w:ind w:firstLine="420" w:firstLineChars="200"/>
        <w:rPr>
          <w:rFonts w:hint="eastAsia"/>
          <w:szCs w:val="21"/>
        </w:rPr>
      </w:pPr>
      <w:r>
        <w:rPr>
          <w:rFonts w:hint="eastAsia"/>
          <w:szCs w:val="21"/>
        </w:rPr>
        <w:t>《通用硅酸盐水泥》GB 175</w:t>
      </w:r>
    </w:p>
    <w:p w14:paraId="35068A73">
      <w:pPr>
        <w:spacing w:line="360" w:lineRule="auto"/>
        <w:ind w:firstLine="420" w:firstLineChars="200"/>
        <w:rPr>
          <w:rFonts w:hint="eastAsia"/>
          <w:szCs w:val="21"/>
        </w:rPr>
      </w:pPr>
      <w:r>
        <w:rPr>
          <w:rFonts w:hint="eastAsia"/>
          <w:szCs w:val="21"/>
        </w:rPr>
        <w:t>《中热硅酸盐水泥、低热硅酸盐水泥》GB/T 200</w:t>
      </w:r>
    </w:p>
    <w:p w14:paraId="56FA38F7">
      <w:pPr>
        <w:spacing w:line="360" w:lineRule="auto"/>
        <w:ind w:firstLine="420" w:firstLineChars="200"/>
        <w:rPr>
          <w:rFonts w:hint="eastAsia"/>
          <w:szCs w:val="21"/>
        </w:rPr>
      </w:pPr>
      <w:r>
        <w:rPr>
          <w:rFonts w:hint="eastAsia"/>
          <w:szCs w:val="21"/>
        </w:rPr>
        <w:t>《用于水泥和混凝土中的粉煤灰》GB/T 1596</w:t>
      </w:r>
    </w:p>
    <w:p w14:paraId="586837BE">
      <w:pPr>
        <w:spacing w:line="360" w:lineRule="auto"/>
        <w:ind w:firstLine="420" w:firstLineChars="200"/>
        <w:rPr>
          <w:rFonts w:hint="eastAsia"/>
          <w:szCs w:val="21"/>
        </w:rPr>
      </w:pPr>
      <w:r>
        <w:rPr>
          <w:rFonts w:hint="eastAsia"/>
          <w:szCs w:val="21"/>
        </w:rPr>
        <w:t>《混凝土外加剂》GB/T 8076</w:t>
      </w:r>
    </w:p>
    <w:p w14:paraId="312F4FF6">
      <w:pPr>
        <w:spacing w:line="360" w:lineRule="auto"/>
        <w:ind w:firstLine="420" w:firstLineChars="200"/>
        <w:rPr>
          <w:rFonts w:hint="eastAsia"/>
          <w:szCs w:val="21"/>
        </w:rPr>
      </w:pPr>
      <w:r>
        <w:rPr>
          <w:rFonts w:hint="eastAsia"/>
          <w:szCs w:val="21"/>
        </w:rPr>
        <w:t>《建设用砂》GB/T 14684</w:t>
      </w:r>
    </w:p>
    <w:p w14:paraId="7F1B6555">
      <w:pPr>
        <w:spacing w:line="360" w:lineRule="auto"/>
        <w:ind w:firstLine="420" w:firstLineChars="200"/>
        <w:rPr>
          <w:rFonts w:hint="eastAsia"/>
          <w:szCs w:val="21"/>
        </w:rPr>
      </w:pPr>
      <w:r>
        <w:rPr>
          <w:rFonts w:hint="eastAsia"/>
          <w:szCs w:val="21"/>
        </w:rPr>
        <w:t>《建设用卵石、碎石》GB/T 14685</w:t>
      </w:r>
    </w:p>
    <w:p w14:paraId="590B6D55">
      <w:pPr>
        <w:spacing w:line="360" w:lineRule="auto"/>
        <w:ind w:firstLine="420" w:firstLineChars="200"/>
        <w:rPr>
          <w:rFonts w:hint="eastAsia"/>
          <w:szCs w:val="21"/>
        </w:rPr>
      </w:pPr>
      <w:r>
        <w:rPr>
          <w:rFonts w:hint="eastAsia"/>
          <w:szCs w:val="21"/>
        </w:rPr>
        <w:t>《预拌混凝土》GB/T 14902</w:t>
      </w:r>
    </w:p>
    <w:p w14:paraId="266E2EAC">
      <w:pPr>
        <w:spacing w:line="360" w:lineRule="auto"/>
        <w:ind w:firstLine="420" w:firstLineChars="200"/>
        <w:rPr>
          <w:rFonts w:hint="eastAsia"/>
          <w:szCs w:val="21"/>
        </w:rPr>
      </w:pPr>
      <w:r>
        <w:rPr>
          <w:rFonts w:hint="eastAsia"/>
          <w:szCs w:val="21"/>
        </w:rPr>
        <w:t>《用于水泥、砂浆和混凝土中的粒化高炉矿渣粉》GB/T 18046</w:t>
      </w:r>
    </w:p>
    <w:p w14:paraId="6C013953">
      <w:pPr>
        <w:spacing w:line="360" w:lineRule="auto"/>
        <w:ind w:firstLine="420" w:firstLineChars="200"/>
        <w:rPr>
          <w:rFonts w:hint="eastAsia"/>
          <w:szCs w:val="21"/>
        </w:rPr>
      </w:pPr>
      <w:r>
        <w:rPr>
          <w:rFonts w:hint="eastAsia"/>
          <w:szCs w:val="21"/>
        </w:rPr>
        <w:t>《水泥基渗透结晶型防水材料》GB/T 18445</w:t>
      </w:r>
    </w:p>
    <w:p w14:paraId="060111E1">
      <w:pPr>
        <w:spacing w:line="360" w:lineRule="auto"/>
        <w:ind w:firstLine="420" w:firstLineChars="200"/>
        <w:rPr>
          <w:rFonts w:hint="eastAsia"/>
          <w:szCs w:val="21"/>
        </w:rPr>
      </w:pPr>
      <w:r>
        <w:rPr>
          <w:rFonts w:hint="eastAsia"/>
          <w:szCs w:val="21"/>
        </w:rPr>
        <w:t>《混凝土结构设计规范》GB/T 50010</w:t>
      </w:r>
    </w:p>
    <w:p w14:paraId="7217876D">
      <w:pPr>
        <w:spacing w:line="360" w:lineRule="auto"/>
        <w:ind w:firstLine="420" w:firstLineChars="200"/>
        <w:rPr>
          <w:rFonts w:hint="eastAsia"/>
          <w:szCs w:val="21"/>
        </w:rPr>
      </w:pPr>
      <w:r>
        <w:rPr>
          <w:rFonts w:hint="eastAsia"/>
          <w:szCs w:val="21"/>
        </w:rPr>
        <w:t>《工业建筑防腐蚀设计标准》GB/T 50046</w:t>
      </w:r>
    </w:p>
    <w:p w14:paraId="0BB364A0">
      <w:pPr>
        <w:spacing w:line="360" w:lineRule="auto"/>
        <w:ind w:firstLine="420" w:firstLineChars="200"/>
        <w:rPr>
          <w:rFonts w:hint="eastAsia"/>
          <w:szCs w:val="21"/>
        </w:rPr>
      </w:pPr>
      <w:r>
        <w:rPr>
          <w:rFonts w:hint="eastAsia"/>
          <w:szCs w:val="21"/>
        </w:rPr>
        <w:t>《混凝土外加剂应用技术规范》GB 50119</w:t>
      </w:r>
    </w:p>
    <w:p w14:paraId="7C2803B2">
      <w:pPr>
        <w:spacing w:line="360" w:lineRule="auto"/>
        <w:ind w:firstLine="420" w:firstLineChars="200"/>
        <w:rPr>
          <w:rFonts w:hint="eastAsia"/>
          <w:szCs w:val="21"/>
        </w:rPr>
      </w:pPr>
      <w:r>
        <w:rPr>
          <w:rFonts w:hint="eastAsia"/>
          <w:szCs w:val="21"/>
        </w:rPr>
        <w:t>《混凝土结构工程施工质量验收规范》GB 50204</w:t>
      </w:r>
    </w:p>
    <w:p w14:paraId="2622BEFF">
      <w:pPr>
        <w:spacing w:line="360" w:lineRule="auto"/>
        <w:ind w:firstLine="420" w:firstLineChars="200"/>
        <w:rPr>
          <w:rFonts w:hint="eastAsia"/>
          <w:szCs w:val="21"/>
        </w:rPr>
      </w:pPr>
      <w:r>
        <w:rPr>
          <w:rFonts w:hint="eastAsia"/>
          <w:szCs w:val="21"/>
        </w:rPr>
        <w:t>《混凝土结构耐久性设计标准》GB/T 50476</w:t>
      </w:r>
    </w:p>
    <w:p w14:paraId="1E0615E1">
      <w:pPr>
        <w:spacing w:line="360" w:lineRule="auto"/>
        <w:ind w:firstLine="420" w:firstLineChars="200"/>
        <w:rPr>
          <w:rFonts w:hint="eastAsia"/>
          <w:szCs w:val="21"/>
        </w:rPr>
      </w:pPr>
      <w:r>
        <w:rPr>
          <w:rFonts w:hint="eastAsia"/>
          <w:szCs w:val="21"/>
        </w:rPr>
        <w:t>《大体积混凝土施工标准》GB 50496</w:t>
      </w:r>
    </w:p>
    <w:p w14:paraId="6A821906">
      <w:pPr>
        <w:spacing w:line="360" w:lineRule="auto"/>
        <w:ind w:firstLine="420" w:firstLineChars="200"/>
        <w:rPr>
          <w:rFonts w:hint="eastAsia"/>
          <w:szCs w:val="21"/>
        </w:rPr>
      </w:pPr>
      <w:r>
        <w:rPr>
          <w:rFonts w:hint="eastAsia"/>
          <w:szCs w:val="21"/>
        </w:rPr>
        <w:t>《混凝土结构工程施工规范》GB 50666</w:t>
      </w:r>
    </w:p>
    <w:p w14:paraId="1C06F58A">
      <w:pPr>
        <w:spacing w:line="360" w:lineRule="auto"/>
        <w:ind w:firstLine="420" w:firstLineChars="200"/>
        <w:rPr>
          <w:rFonts w:hint="eastAsia"/>
          <w:szCs w:val="21"/>
        </w:rPr>
      </w:pPr>
      <w:r>
        <w:rPr>
          <w:rFonts w:hint="eastAsia"/>
          <w:szCs w:val="21"/>
        </w:rPr>
        <w:t>《建筑与市政工程防水通用规范》GB 55030</w:t>
      </w:r>
    </w:p>
    <w:p w14:paraId="52067A5C">
      <w:pPr>
        <w:spacing w:line="360" w:lineRule="auto"/>
        <w:ind w:firstLine="420" w:firstLineChars="200"/>
        <w:rPr>
          <w:rFonts w:hint="eastAsia"/>
          <w:szCs w:val="21"/>
        </w:rPr>
      </w:pPr>
      <w:r>
        <w:rPr>
          <w:rFonts w:hint="eastAsia"/>
          <w:szCs w:val="21"/>
        </w:rPr>
        <w:t>《普通混凝土配合比设计规程》JGJ 55</w:t>
      </w:r>
    </w:p>
    <w:p w14:paraId="5D910359">
      <w:pPr>
        <w:spacing w:line="360" w:lineRule="auto"/>
        <w:ind w:firstLine="420" w:firstLineChars="200"/>
        <w:rPr>
          <w:rFonts w:hint="eastAsia"/>
          <w:szCs w:val="21"/>
        </w:rPr>
      </w:pPr>
      <w:r>
        <w:rPr>
          <w:rFonts w:hint="eastAsia"/>
          <w:szCs w:val="21"/>
        </w:rPr>
        <w:t>《混凝土用水标准》JGJ 63</w:t>
      </w:r>
    </w:p>
    <w:p w14:paraId="1F3A44B3">
      <w:pPr>
        <w:spacing w:line="360" w:lineRule="auto"/>
        <w:ind w:firstLine="420" w:firstLineChars="200"/>
        <w:rPr>
          <w:rFonts w:hint="eastAsia"/>
          <w:szCs w:val="21"/>
        </w:rPr>
      </w:pPr>
      <w:r>
        <w:rPr>
          <w:rFonts w:hint="eastAsia"/>
          <w:szCs w:val="21"/>
        </w:rPr>
        <w:t>《补偿收缩混凝土应用技术规程》JGJ/T 178</w:t>
      </w:r>
    </w:p>
    <w:p w14:paraId="196A58ED">
      <w:pPr>
        <w:spacing w:line="360" w:lineRule="auto"/>
        <w:ind w:firstLine="420" w:firstLineChars="200"/>
        <w:rPr>
          <w:rFonts w:hint="eastAsia"/>
          <w:szCs w:val="21"/>
        </w:rPr>
      </w:pPr>
      <w:r>
        <w:rPr>
          <w:rFonts w:hint="eastAsia"/>
          <w:szCs w:val="21"/>
        </w:rPr>
        <w:t>《纤维混凝土应用技术规程》JGJ/T 221</w:t>
      </w:r>
    </w:p>
    <w:p w14:paraId="1FE24408">
      <w:pPr>
        <w:spacing w:line="360" w:lineRule="auto"/>
        <w:ind w:firstLine="420" w:firstLineChars="200"/>
        <w:rPr>
          <w:rFonts w:hint="eastAsia"/>
          <w:szCs w:val="21"/>
        </w:rPr>
      </w:pPr>
      <w:r>
        <w:rPr>
          <w:rFonts w:hint="eastAsia"/>
          <w:szCs w:val="21"/>
        </w:rPr>
        <w:t>《超长混凝土结构无缝施工标准》JGJ/T 492</w:t>
      </w:r>
    </w:p>
    <w:p w14:paraId="49EC68A4">
      <w:pPr>
        <w:spacing w:line="360" w:lineRule="auto"/>
        <w:ind w:firstLine="420" w:firstLineChars="200"/>
        <w:rPr>
          <w:rFonts w:hint="eastAsia"/>
          <w:szCs w:val="21"/>
        </w:rPr>
      </w:pPr>
      <w:r>
        <w:rPr>
          <w:rFonts w:hint="default"/>
          <w:b w:val="0"/>
          <w:bCs w:val="0"/>
          <w:spacing w:val="0"/>
          <w:sz w:val="21"/>
          <w:szCs w:val="21"/>
          <w:lang w:val="en-US" w:eastAsia="zh-CN"/>
        </w:rPr>
        <w:t>《建筑防水维修用快速堵漏材料技术条件》JG/T 316</w:t>
      </w:r>
    </w:p>
    <w:p w14:paraId="4658A8C5">
      <w:pPr>
        <w:spacing w:line="360" w:lineRule="auto"/>
        <w:ind w:firstLine="420" w:firstLineChars="200"/>
        <w:rPr>
          <w:rFonts w:hint="eastAsia"/>
          <w:szCs w:val="21"/>
        </w:rPr>
      </w:pPr>
      <w:r>
        <w:rPr>
          <w:rFonts w:hint="eastAsia"/>
          <w:szCs w:val="21"/>
        </w:rPr>
        <w:t>《混凝土用复合掺合料》JG/T 486</w:t>
      </w:r>
    </w:p>
    <w:p w14:paraId="524F5A71">
      <w:pPr>
        <w:spacing w:line="360" w:lineRule="auto"/>
        <w:ind w:firstLine="420" w:firstLineChars="200"/>
        <w:rPr>
          <w:rFonts w:hint="eastAsia"/>
          <w:szCs w:val="21"/>
        </w:rPr>
      </w:pPr>
      <w:r>
        <w:rPr>
          <w:rFonts w:hint="eastAsia"/>
          <w:szCs w:val="21"/>
        </w:rPr>
        <w:t>《砂浆、混凝土防水剂》JC/T 474</w:t>
      </w:r>
    </w:p>
    <w:p w14:paraId="3B090322">
      <w:pPr>
        <w:spacing w:line="360" w:lineRule="auto"/>
        <w:ind w:firstLine="420" w:firstLineChars="200"/>
        <w:rPr>
          <w:rFonts w:hint="default"/>
          <w:b w:val="0"/>
          <w:bCs w:val="0"/>
          <w:spacing w:val="0"/>
          <w:sz w:val="21"/>
          <w:szCs w:val="21"/>
          <w:lang w:val="en-US" w:eastAsia="zh-CN"/>
        </w:rPr>
      </w:pPr>
      <w:r>
        <w:rPr>
          <w:rFonts w:hint="default"/>
          <w:b w:val="0"/>
          <w:bCs w:val="0"/>
          <w:spacing w:val="0"/>
          <w:sz w:val="21"/>
          <w:szCs w:val="21"/>
          <w:lang w:val="en-US" w:eastAsia="zh-CN"/>
        </w:rPr>
        <w:t>《混凝土裂缝用环氧树脂灌浆材料》JC/T 1041</w:t>
      </w:r>
    </w:p>
    <w:p w14:paraId="3521FDCE">
      <w:pPr>
        <w:spacing w:line="360" w:lineRule="auto"/>
        <w:ind w:firstLine="420" w:firstLineChars="200"/>
        <w:rPr>
          <w:rFonts w:hint="eastAsia"/>
          <w:szCs w:val="21"/>
        </w:rPr>
      </w:pPr>
      <w:r>
        <w:rPr>
          <w:rFonts w:hint="eastAsia"/>
          <w:szCs w:val="21"/>
        </w:rPr>
        <w:t>《地下工程混凝土结构自防水技术规范》JC/T 60014</w:t>
      </w:r>
    </w:p>
    <w:p w14:paraId="279311DD">
      <w:pPr>
        <w:spacing w:line="360" w:lineRule="auto"/>
        <w:rPr>
          <w:rFonts w:hint="eastAsia"/>
          <w:b w:val="0"/>
          <w:bCs w:val="0"/>
          <w:spacing w:val="0"/>
          <w:sz w:val="21"/>
          <w:szCs w:val="21"/>
          <w:lang w:val="en-US" w:eastAsia="zh-CN"/>
        </w:rPr>
        <w:sectPr>
          <w:footerReference r:id="rId10" w:type="default"/>
          <w:pgSz w:w="11906" w:h="16838"/>
          <w:pgMar w:top="1418" w:right="1418" w:bottom="1134" w:left="1418" w:header="851" w:footer="992" w:gutter="0"/>
          <w:cols w:space="720" w:num="1"/>
          <w:docGrid w:type="lines" w:linePitch="312" w:charSpace="0"/>
        </w:sectPr>
      </w:pPr>
    </w:p>
    <w:p w14:paraId="5E7BB884">
      <w:pPr>
        <w:spacing w:line="400" w:lineRule="exact"/>
        <w:rPr>
          <w:kern w:val="0"/>
          <w:szCs w:val="21"/>
          <w:lang w:bidi="en-US"/>
        </w:rPr>
      </w:pPr>
    </w:p>
    <w:p w14:paraId="4B627D3D">
      <w:pPr>
        <w:spacing w:line="400" w:lineRule="exact"/>
        <w:rPr>
          <w:kern w:val="0"/>
          <w:szCs w:val="21"/>
          <w:lang w:bidi="en-US"/>
        </w:rPr>
      </w:pPr>
    </w:p>
    <w:p w14:paraId="1C6B6C79">
      <w:pPr>
        <w:spacing w:line="400" w:lineRule="exact"/>
        <w:rPr>
          <w:kern w:val="0"/>
          <w:szCs w:val="21"/>
          <w:lang w:bidi="en-US"/>
        </w:rPr>
      </w:pPr>
    </w:p>
    <w:p w14:paraId="602D133B">
      <w:pPr>
        <w:spacing w:line="400" w:lineRule="exact"/>
        <w:jc w:val="center"/>
        <w:rPr>
          <w:rFonts w:hint="eastAsia" w:ascii="黑体" w:hAnsi="黑体" w:eastAsia="黑体"/>
          <w:kern w:val="0"/>
          <w:sz w:val="28"/>
          <w:szCs w:val="28"/>
          <w:lang w:bidi="en-US"/>
        </w:rPr>
      </w:pPr>
      <w:r>
        <w:rPr>
          <w:rFonts w:hint="eastAsia" w:ascii="黑体" w:hAnsi="黑体" w:eastAsia="黑体"/>
          <w:kern w:val="0"/>
          <w:sz w:val="28"/>
          <w:szCs w:val="28"/>
          <w:lang w:bidi="en-US"/>
        </w:rPr>
        <w:t>中华人民共和国建材行业标准</w:t>
      </w:r>
    </w:p>
    <w:p w14:paraId="3C479DE5">
      <w:pPr>
        <w:spacing w:line="400" w:lineRule="exact"/>
        <w:jc w:val="center"/>
        <w:rPr>
          <w:kern w:val="0"/>
          <w:szCs w:val="21"/>
          <w:lang w:bidi="en-US"/>
        </w:rPr>
      </w:pPr>
    </w:p>
    <w:p w14:paraId="22811D67">
      <w:pPr>
        <w:spacing w:line="400" w:lineRule="exact"/>
        <w:jc w:val="center"/>
        <w:rPr>
          <w:kern w:val="0"/>
          <w:szCs w:val="21"/>
          <w:lang w:bidi="en-US"/>
        </w:rPr>
      </w:pPr>
    </w:p>
    <w:p w14:paraId="4E51CFA2">
      <w:pPr>
        <w:spacing w:line="400" w:lineRule="exact"/>
        <w:jc w:val="center"/>
        <w:rPr>
          <w:kern w:val="0"/>
          <w:sz w:val="28"/>
          <w:szCs w:val="28"/>
          <w:lang w:bidi="en-US"/>
        </w:rPr>
      </w:pPr>
      <w:r>
        <w:rPr>
          <w:rFonts w:hint="eastAsia"/>
          <w:kern w:val="0"/>
          <w:sz w:val="28"/>
          <w:szCs w:val="28"/>
          <w:lang w:bidi="en-US"/>
        </w:rPr>
        <w:t>混凝土用防水剂应用技术规范</w:t>
      </w:r>
    </w:p>
    <w:p w14:paraId="3397642D">
      <w:pPr>
        <w:spacing w:line="400" w:lineRule="exact"/>
        <w:rPr>
          <w:kern w:val="0"/>
          <w:szCs w:val="21"/>
          <w:lang w:bidi="en-US"/>
        </w:rPr>
      </w:pPr>
    </w:p>
    <w:p w14:paraId="51EAE285">
      <w:pPr>
        <w:spacing w:line="400" w:lineRule="exact"/>
        <w:rPr>
          <w:kern w:val="0"/>
          <w:szCs w:val="21"/>
          <w:lang w:bidi="en-US"/>
        </w:rPr>
      </w:pPr>
    </w:p>
    <w:p w14:paraId="3B00EFCB">
      <w:pPr>
        <w:spacing w:line="400" w:lineRule="exact"/>
        <w:jc w:val="center"/>
        <w:rPr>
          <w:kern w:val="0"/>
          <w:sz w:val="28"/>
          <w:szCs w:val="28"/>
          <w:lang w:bidi="en-US"/>
        </w:rPr>
      </w:pPr>
      <w:r>
        <w:rPr>
          <w:rFonts w:hint="eastAsia"/>
          <w:kern w:val="0"/>
          <w:sz w:val="28"/>
          <w:szCs w:val="28"/>
          <w:lang w:bidi="en-US"/>
        </w:rPr>
        <w:t>JC/T XXX—202X</w:t>
      </w:r>
    </w:p>
    <w:p w14:paraId="2DFC12AB">
      <w:pPr>
        <w:spacing w:line="400" w:lineRule="exact"/>
        <w:jc w:val="center"/>
        <w:rPr>
          <w:kern w:val="0"/>
          <w:sz w:val="28"/>
          <w:szCs w:val="28"/>
          <w:lang w:bidi="en-US"/>
        </w:rPr>
      </w:pPr>
    </w:p>
    <w:p w14:paraId="3A64EE62">
      <w:pPr>
        <w:spacing w:line="400" w:lineRule="exact"/>
        <w:jc w:val="center"/>
        <w:rPr>
          <w:kern w:val="0"/>
          <w:sz w:val="28"/>
          <w:szCs w:val="28"/>
          <w:lang w:bidi="en-US"/>
        </w:rPr>
      </w:pPr>
      <w:r>
        <w:rPr>
          <w:rFonts w:hint="eastAsia"/>
          <w:kern w:val="0"/>
          <w:sz w:val="28"/>
          <w:szCs w:val="28"/>
          <w:lang w:bidi="en-US"/>
        </w:rPr>
        <w:t>条 文 说 明</w:t>
      </w:r>
    </w:p>
    <w:p w14:paraId="4D19EB49">
      <w:pPr>
        <w:spacing w:line="400" w:lineRule="exact"/>
        <w:jc w:val="center"/>
        <w:rPr>
          <w:kern w:val="0"/>
          <w:sz w:val="28"/>
          <w:szCs w:val="28"/>
          <w:lang w:bidi="en-US"/>
        </w:rPr>
      </w:pPr>
    </w:p>
    <w:p w14:paraId="76642682">
      <w:pPr>
        <w:spacing w:line="400" w:lineRule="exact"/>
        <w:jc w:val="center"/>
        <w:rPr>
          <w:kern w:val="0"/>
          <w:sz w:val="28"/>
          <w:szCs w:val="28"/>
          <w:lang w:bidi="en-US"/>
        </w:rPr>
      </w:pPr>
    </w:p>
    <w:p w14:paraId="7B264501">
      <w:pPr>
        <w:spacing w:line="400" w:lineRule="exact"/>
        <w:jc w:val="center"/>
        <w:rPr>
          <w:kern w:val="0"/>
          <w:sz w:val="28"/>
          <w:szCs w:val="28"/>
          <w:lang w:bidi="en-US"/>
        </w:rPr>
        <w:sectPr>
          <w:footerReference r:id="rId11" w:type="default"/>
          <w:pgSz w:w="11906" w:h="16838"/>
          <w:pgMar w:top="1440" w:right="1800" w:bottom="1440" w:left="1800" w:header="851" w:footer="992" w:gutter="0"/>
          <w:cols w:space="720" w:num="1"/>
          <w:docGrid w:type="lines" w:linePitch="312" w:charSpace="0"/>
        </w:sectPr>
      </w:pPr>
    </w:p>
    <w:p w14:paraId="06323A44">
      <w:pPr>
        <w:spacing w:line="400" w:lineRule="exact"/>
        <w:jc w:val="center"/>
        <w:rPr>
          <w:b/>
          <w:bCs/>
          <w:kern w:val="0"/>
          <w:sz w:val="32"/>
          <w:szCs w:val="32"/>
          <w:lang w:bidi="en-US"/>
        </w:rPr>
      </w:pPr>
      <w:r>
        <w:rPr>
          <w:rFonts w:hint="eastAsia"/>
          <w:b/>
          <w:bCs/>
          <w:kern w:val="0"/>
          <w:sz w:val="32"/>
          <w:szCs w:val="32"/>
          <w:lang w:bidi="en-US"/>
        </w:rPr>
        <w:t>制 定 说 明</w:t>
      </w:r>
    </w:p>
    <w:p w14:paraId="4FF202C4">
      <w:pPr>
        <w:spacing w:line="400" w:lineRule="exact"/>
        <w:ind w:firstLine="420" w:firstLineChars="200"/>
        <w:jc w:val="left"/>
        <w:rPr>
          <w:kern w:val="0"/>
          <w:szCs w:val="21"/>
          <w:lang w:bidi="en-US"/>
        </w:rPr>
      </w:pPr>
    </w:p>
    <w:p w14:paraId="1260FEA9">
      <w:pPr>
        <w:spacing w:line="400" w:lineRule="exact"/>
        <w:ind w:firstLine="420" w:firstLineChars="200"/>
        <w:jc w:val="left"/>
        <w:rPr>
          <w:kern w:val="0"/>
          <w:szCs w:val="21"/>
          <w:lang w:bidi="en-US"/>
        </w:rPr>
      </w:pPr>
      <w:r>
        <w:rPr>
          <w:rFonts w:hint="eastAsia"/>
          <w:kern w:val="0"/>
          <w:szCs w:val="21"/>
          <w:lang w:bidi="en-US"/>
        </w:rPr>
        <w:t>《混凝土用防水剂应用技术规范》JC/T XXX-202X，经工业和信息化部    年  月  日以第   号公告批准、发布。</w:t>
      </w:r>
    </w:p>
    <w:p w14:paraId="2E164AA0">
      <w:pPr>
        <w:spacing w:line="400" w:lineRule="exact"/>
        <w:ind w:firstLine="420" w:firstLineChars="200"/>
        <w:jc w:val="left"/>
        <w:rPr>
          <w:kern w:val="0"/>
          <w:szCs w:val="21"/>
          <w:lang w:bidi="en-US"/>
        </w:rPr>
      </w:pPr>
      <w:r>
        <w:rPr>
          <w:rFonts w:hint="eastAsia"/>
          <w:kern w:val="0"/>
          <w:szCs w:val="21"/>
          <w:lang w:bidi="en-US"/>
        </w:rPr>
        <w:t>本规范编制过程中，编制组进行了充分的调查研究，总结了我国混凝土用防水剂工程应用实践经验和相关研究成果，同时参考了有关国外先进技术法规、技术标准，通过试验取得了混凝土用防水剂应用重要技术参数。</w:t>
      </w:r>
    </w:p>
    <w:p w14:paraId="28399C91">
      <w:pPr>
        <w:spacing w:line="400" w:lineRule="exact"/>
        <w:ind w:firstLine="420" w:firstLineChars="200"/>
        <w:jc w:val="left"/>
        <w:rPr>
          <w:kern w:val="0"/>
          <w:szCs w:val="21"/>
          <w:lang w:bidi="en-US"/>
        </w:rPr>
      </w:pPr>
      <w:r>
        <w:rPr>
          <w:rFonts w:hint="eastAsia"/>
          <w:kern w:val="0"/>
          <w:szCs w:val="21"/>
          <w:lang w:bidi="en-US"/>
        </w:rPr>
        <w:t>为便于广大设计、施工、监理、生产、检验、科研、学校等单位有关人员在使用本规范时能正确理解和执行条文规定，《混凝土用防水剂应用技术规范》编制组按章、节、条顺序编制了本规范的条文说明，对条文规定的目的、依据以及执行中需注意的有关事项进行了说明。但是，本条文说明不具备与规范正文同等的法律效力，仅供使用者作为理解和把握规范规定的参考。</w:t>
      </w:r>
    </w:p>
    <w:p w14:paraId="08ABAEA9">
      <w:pPr>
        <w:spacing w:line="400" w:lineRule="exact"/>
        <w:ind w:firstLine="420" w:firstLineChars="200"/>
        <w:jc w:val="left"/>
        <w:rPr>
          <w:kern w:val="0"/>
          <w:szCs w:val="21"/>
          <w:lang w:bidi="en-US"/>
        </w:rPr>
        <w:sectPr>
          <w:pgSz w:w="11906" w:h="16838"/>
          <w:pgMar w:top="1440" w:right="1800" w:bottom="1440" w:left="1800" w:header="851" w:footer="992" w:gutter="0"/>
          <w:cols w:space="720" w:num="1"/>
          <w:docGrid w:type="lines" w:linePitch="312" w:charSpace="0"/>
        </w:sectPr>
      </w:pPr>
    </w:p>
    <w:p w14:paraId="61C6A880">
      <w:pPr>
        <w:spacing w:line="400" w:lineRule="exact"/>
        <w:jc w:val="center"/>
        <w:rPr>
          <w:kern w:val="0"/>
          <w:sz w:val="28"/>
          <w:szCs w:val="28"/>
          <w:lang w:bidi="en-US"/>
        </w:rPr>
      </w:pPr>
      <w:r>
        <w:rPr>
          <w:rFonts w:hint="eastAsia"/>
          <w:kern w:val="0"/>
          <w:sz w:val="28"/>
          <w:szCs w:val="28"/>
          <w:lang w:bidi="en-US"/>
        </w:rPr>
        <w:t>目 次</w:t>
      </w:r>
    </w:p>
    <w:p w14:paraId="1D3B1B0E">
      <w:pPr>
        <w:spacing w:line="400" w:lineRule="exact"/>
        <w:jc w:val="center"/>
        <w:rPr>
          <w:kern w:val="0"/>
          <w:sz w:val="24"/>
          <w:lang w:bidi="en-US"/>
        </w:rPr>
      </w:pPr>
    </w:p>
    <w:p w14:paraId="7F89B8C8">
      <w:pPr>
        <w:tabs>
          <w:tab w:val="right" w:leader="dot" w:pos="8296"/>
        </w:tabs>
        <w:rPr>
          <w:rFonts w:hint="eastAsia" w:ascii="等线" w:hAnsi="等线" w:eastAsia="等线"/>
          <w:sz w:val="22"/>
        </w:rPr>
      </w:pPr>
      <w:r>
        <w:fldChar w:fldCharType="begin"/>
      </w:r>
      <w:r>
        <w:instrText xml:space="preserve"> TOC \o "1-3" \h \z \u </w:instrText>
      </w:r>
      <w:r>
        <w:fldChar w:fldCharType="separate"/>
      </w:r>
      <w:r>
        <w:fldChar w:fldCharType="begin"/>
      </w:r>
      <w:r>
        <w:instrText xml:space="preserve"> HYPERLINK \l "_Toc216643260" </w:instrText>
      </w:r>
      <w:r>
        <w:fldChar w:fldCharType="separate"/>
      </w:r>
      <w:r>
        <w:rPr>
          <w:rFonts w:hint="eastAsia"/>
        </w:rPr>
        <w:t>1 总 则</w:t>
      </w:r>
      <w:r>
        <w:rPr>
          <w:rFonts w:hint="eastAsia"/>
        </w:rPr>
        <w:tab/>
      </w:r>
      <w:r>
        <w:rPr>
          <w:rFonts w:hint="eastAsia"/>
        </w:rPr>
        <w:t>1</w:t>
      </w:r>
      <w:r>
        <w:rPr>
          <w:rFonts w:hint="eastAsia"/>
          <w:lang w:val="en-US" w:eastAsia="zh-CN"/>
        </w:rPr>
        <w:t>8</w:t>
      </w:r>
      <w:r>
        <w:rPr>
          <w:rFonts w:hint="eastAsia"/>
        </w:rPr>
        <w:fldChar w:fldCharType="end"/>
      </w:r>
    </w:p>
    <w:p w14:paraId="6182C28C">
      <w:pPr>
        <w:tabs>
          <w:tab w:val="right" w:leader="dot" w:pos="8296"/>
        </w:tabs>
        <w:rPr>
          <w:rFonts w:hint="eastAsia" w:ascii="等线" w:hAnsi="等线" w:eastAsia="等线"/>
          <w:sz w:val="22"/>
        </w:rPr>
      </w:pPr>
      <w:r>
        <w:fldChar w:fldCharType="begin"/>
      </w:r>
      <w:r>
        <w:instrText xml:space="preserve"> HYPERLINK \l "_Toc216643261" </w:instrText>
      </w:r>
      <w:r>
        <w:fldChar w:fldCharType="separate"/>
      </w:r>
      <w:r>
        <w:rPr>
          <w:rFonts w:hint="eastAsia"/>
        </w:rPr>
        <w:t>2 术 语</w:t>
      </w:r>
      <w:r>
        <w:rPr>
          <w:rFonts w:hint="eastAsia"/>
        </w:rPr>
        <w:tab/>
      </w:r>
      <w:r>
        <w:rPr>
          <w:rFonts w:hint="eastAsia"/>
        </w:rPr>
        <w:t>1</w:t>
      </w:r>
      <w:r>
        <w:rPr>
          <w:rFonts w:hint="eastAsia"/>
          <w:lang w:val="en-US" w:eastAsia="zh-CN"/>
        </w:rPr>
        <w:t>9</w:t>
      </w:r>
      <w:r>
        <w:rPr>
          <w:rFonts w:hint="eastAsia"/>
        </w:rPr>
        <w:fldChar w:fldCharType="end"/>
      </w:r>
    </w:p>
    <w:p w14:paraId="706E524B">
      <w:pPr>
        <w:tabs>
          <w:tab w:val="right" w:leader="dot" w:pos="8296"/>
        </w:tabs>
        <w:rPr>
          <w:rFonts w:hint="eastAsia" w:ascii="等线" w:hAnsi="等线" w:eastAsia="宋体"/>
          <w:sz w:val="22"/>
          <w:lang w:val="en-US" w:eastAsia="zh-CN"/>
        </w:rPr>
      </w:pPr>
      <w:r>
        <w:fldChar w:fldCharType="begin"/>
      </w:r>
      <w:r>
        <w:instrText xml:space="preserve"> HYPERLINK \l "_Toc216643262" </w:instrText>
      </w:r>
      <w:r>
        <w:fldChar w:fldCharType="separate"/>
      </w:r>
      <w:r>
        <w:rPr>
          <w:rFonts w:hint="eastAsia"/>
        </w:rPr>
        <w:t>3 基本规定</w:t>
      </w:r>
      <w:r>
        <w:rPr>
          <w:rFonts w:hint="eastAsia"/>
        </w:rPr>
        <w:tab/>
      </w:r>
      <w:r>
        <w:rPr>
          <w:rFonts w:hint="eastAsia"/>
          <w:lang w:val="en-US" w:eastAsia="zh-CN"/>
        </w:rPr>
        <w:t>2</w:t>
      </w:r>
      <w:r>
        <w:rPr>
          <w:rFonts w:hint="eastAsia"/>
        </w:rPr>
        <w:fldChar w:fldCharType="end"/>
      </w:r>
      <w:r>
        <w:rPr>
          <w:rFonts w:hint="eastAsia"/>
          <w:lang w:val="en-US" w:eastAsia="zh-CN"/>
        </w:rPr>
        <w:t>0</w:t>
      </w:r>
    </w:p>
    <w:p w14:paraId="5357F47E">
      <w:pPr>
        <w:tabs>
          <w:tab w:val="right" w:leader="dot" w:pos="8296"/>
        </w:tabs>
        <w:rPr>
          <w:rFonts w:hint="default" w:ascii="等线" w:hAnsi="等线" w:eastAsia="宋体"/>
          <w:sz w:val="22"/>
          <w:lang w:val="en-US" w:eastAsia="zh-CN"/>
        </w:rPr>
      </w:pPr>
      <w:r>
        <w:fldChar w:fldCharType="begin"/>
      </w:r>
      <w:r>
        <w:instrText xml:space="preserve"> HYPERLINK \l "_Toc216643263" </w:instrText>
      </w:r>
      <w:r>
        <w:fldChar w:fldCharType="separate"/>
      </w:r>
      <w:r>
        <w:rPr>
          <w:rFonts w:hint="eastAsia"/>
        </w:rPr>
        <w:t>4 技术要求</w:t>
      </w:r>
      <w:r>
        <w:rPr>
          <w:rFonts w:hint="eastAsia"/>
        </w:rPr>
        <w:tab/>
      </w:r>
      <w:r>
        <w:rPr>
          <w:rFonts w:hint="eastAsia"/>
        </w:rPr>
        <w:fldChar w:fldCharType="end"/>
      </w:r>
      <w:r>
        <w:rPr>
          <w:rFonts w:hint="eastAsia"/>
          <w:lang w:val="en-US" w:eastAsia="zh-CN"/>
        </w:rPr>
        <w:t>21</w:t>
      </w:r>
    </w:p>
    <w:p w14:paraId="704B5951">
      <w:pPr>
        <w:tabs>
          <w:tab w:val="right" w:leader="dot" w:pos="8296"/>
        </w:tabs>
        <w:rPr>
          <w:rFonts w:hint="eastAsia" w:ascii="等线" w:hAnsi="等线" w:eastAsia="等线"/>
          <w:sz w:val="22"/>
        </w:rPr>
      </w:pPr>
      <w:r>
        <w:fldChar w:fldCharType="begin"/>
      </w:r>
      <w:r>
        <w:instrText xml:space="preserve"> HYPERLINK \l "_Toc216643264" </w:instrText>
      </w:r>
      <w:r>
        <w:fldChar w:fldCharType="separate"/>
      </w:r>
      <w:r>
        <w:rPr>
          <w:rFonts w:hint="eastAsia"/>
        </w:rPr>
        <w:t>5 原材料</w:t>
      </w:r>
      <w:r>
        <w:rPr>
          <w:rFonts w:hint="eastAsia"/>
        </w:rPr>
        <w:tab/>
      </w:r>
      <w:r>
        <w:rPr>
          <w:rFonts w:hint="eastAsia"/>
        </w:rPr>
        <w:t>2</w:t>
      </w:r>
      <w:r>
        <w:rPr>
          <w:rFonts w:hint="eastAsia"/>
          <w:lang w:val="en-US" w:eastAsia="zh-CN"/>
        </w:rPr>
        <w:t>3</w:t>
      </w:r>
      <w:r>
        <w:rPr>
          <w:rFonts w:hint="eastAsia"/>
        </w:rPr>
        <w:fldChar w:fldCharType="end"/>
      </w:r>
    </w:p>
    <w:p w14:paraId="61ADC7A8">
      <w:pPr>
        <w:tabs>
          <w:tab w:val="right" w:leader="dot" w:pos="8296"/>
        </w:tabs>
        <w:rPr>
          <w:rFonts w:hint="eastAsia" w:ascii="等线" w:hAnsi="等线" w:eastAsia="等线"/>
          <w:sz w:val="22"/>
        </w:rPr>
      </w:pPr>
      <w:r>
        <w:fldChar w:fldCharType="begin"/>
      </w:r>
      <w:r>
        <w:instrText xml:space="preserve"> HYPERLINK \l "_Toc216643272" </w:instrText>
      </w:r>
      <w:r>
        <w:fldChar w:fldCharType="separate"/>
      </w:r>
      <w:r>
        <w:rPr>
          <w:rFonts w:hint="eastAsia"/>
        </w:rPr>
        <w:t>6 配合比设计</w:t>
      </w:r>
      <w:r>
        <w:rPr>
          <w:rFonts w:hint="eastAsia"/>
        </w:rPr>
        <w:tab/>
      </w:r>
      <w:r>
        <w:rPr>
          <w:rFonts w:hint="eastAsia"/>
        </w:rPr>
        <w:t>2</w:t>
      </w:r>
      <w:r>
        <w:rPr>
          <w:rFonts w:hint="eastAsia"/>
          <w:lang w:val="en-US" w:eastAsia="zh-CN"/>
        </w:rPr>
        <w:t>5</w:t>
      </w:r>
      <w:r>
        <w:rPr>
          <w:rFonts w:hint="eastAsia"/>
        </w:rPr>
        <w:fldChar w:fldCharType="end"/>
      </w:r>
    </w:p>
    <w:p w14:paraId="62D1559D">
      <w:pPr>
        <w:tabs>
          <w:tab w:val="right" w:leader="dot" w:pos="8296"/>
        </w:tabs>
        <w:rPr>
          <w:rFonts w:hint="eastAsia" w:ascii="等线" w:hAnsi="等线" w:eastAsia="等线"/>
          <w:sz w:val="22"/>
        </w:rPr>
      </w:pPr>
      <w:r>
        <w:fldChar w:fldCharType="begin"/>
      </w:r>
      <w:r>
        <w:instrText xml:space="preserve"> HYPERLINK \l "_Toc216643273" </w:instrText>
      </w:r>
      <w:r>
        <w:fldChar w:fldCharType="separate"/>
      </w:r>
      <w:r>
        <w:rPr>
          <w:rFonts w:hint="eastAsia"/>
        </w:rPr>
        <w:t>7 施工</w:t>
      </w:r>
      <w:r>
        <w:rPr>
          <w:rFonts w:hint="eastAsia"/>
        </w:rPr>
        <w:tab/>
      </w:r>
      <w:r>
        <w:rPr>
          <w:rFonts w:hint="eastAsia"/>
        </w:rPr>
        <w:t>2</w:t>
      </w:r>
      <w:r>
        <w:rPr>
          <w:rFonts w:hint="eastAsia"/>
          <w:lang w:val="en-US" w:eastAsia="zh-CN"/>
        </w:rPr>
        <w:t>7</w:t>
      </w:r>
      <w:r>
        <w:rPr>
          <w:rFonts w:hint="eastAsia"/>
        </w:rPr>
        <w:fldChar w:fldCharType="end"/>
      </w:r>
    </w:p>
    <w:p w14:paraId="13CE6338">
      <w:pPr>
        <w:tabs>
          <w:tab w:val="right" w:leader="dot" w:pos="8296"/>
        </w:tabs>
        <w:rPr>
          <w:rFonts w:hint="eastAsia" w:ascii="等线" w:hAnsi="等线" w:eastAsia="宋体"/>
          <w:sz w:val="22"/>
          <w:lang w:val="en-US" w:eastAsia="zh-CN"/>
        </w:rPr>
      </w:pPr>
      <w:r>
        <w:fldChar w:fldCharType="begin"/>
      </w:r>
      <w:r>
        <w:instrText xml:space="preserve"> HYPERLINK \l "_Toc216643274" </w:instrText>
      </w:r>
      <w:r>
        <w:fldChar w:fldCharType="separate"/>
      </w:r>
      <w:r>
        <w:rPr>
          <w:rFonts w:hint="eastAsia"/>
        </w:rPr>
        <w:t>8 质量检验与验收</w:t>
      </w:r>
      <w:r>
        <w:rPr>
          <w:rFonts w:hint="eastAsia"/>
        </w:rPr>
        <w:tab/>
      </w:r>
      <w:r>
        <w:rPr>
          <w:rFonts w:hint="eastAsia"/>
          <w:lang w:val="en-US" w:eastAsia="zh-CN"/>
        </w:rPr>
        <w:t>3</w:t>
      </w:r>
      <w:r>
        <w:rPr>
          <w:rFonts w:hint="eastAsia"/>
        </w:rPr>
        <w:fldChar w:fldCharType="end"/>
      </w:r>
      <w:r>
        <w:rPr>
          <w:rFonts w:hint="eastAsia"/>
          <w:lang w:val="en-US" w:eastAsia="zh-CN"/>
        </w:rPr>
        <w:t>1</w:t>
      </w:r>
    </w:p>
    <w:p w14:paraId="6FC1267F">
      <w:pPr>
        <w:tabs>
          <w:tab w:val="right" w:leader="dot" w:pos="8296"/>
        </w:tabs>
        <w:rPr>
          <w:rFonts w:hint="eastAsia" w:ascii="等线" w:hAnsi="等线" w:eastAsia="等线"/>
          <w:sz w:val="22"/>
        </w:rPr>
      </w:pPr>
      <w:r>
        <w:fldChar w:fldCharType="begin"/>
      </w:r>
      <w:r>
        <w:instrText xml:space="preserve"> HYPERLINK \l "_Toc216643275" </w:instrText>
      </w:r>
      <w:r>
        <w:fldChar w:fldCharType="separate"/>
      </w:r>
      <w:r>
        <w:fldChar w:fldCharType="end"/>
      </w:r>
    </w:p>
    <w:p w14:paraId="6C3743AC">
      <w:pPr>
        <w:pStyle w:val="7"/>
        <w:ind w:left="0"/>
        <w:rPr>
          <w:rFonts w:hint="eastAsia"/>
        </w:rPr>
      </w:pPr>
      <w:r>
        <w:rPr>
          <w:rFonts w:ascii="Times New Roman" w:hAnsi="Times New Roman" w:eastAsia="宋体"/>
          <w:b/>
          <w:bCs/>
          <w:kern w:val="2"/>
          <w:sz w:val="21"/>
          <w:szCs w:val="24"/>
          <w:lang w:val="zh-CN"/>
        </w:rPr>
        <w:fldChar w:fldCharType="end"/>
      </w:r>
    </w:p>
    <w:p w14:paraId="32196621">
      <w:pPr>
        <w:pStyle w:val="13"/>
        <w:tabs>
          <w:tab w:val="right" w:leader="dot" w:pos="8296"/>
          <w:tab w:val="clear" w:pos="9060"/>
        </w:tabs>
        <w:rPr>
          <w:rStyle w:val="23"/>
          <w:color w:val="auto"/>
        </w:rPr>
        <w:sectPr>
          <w:pgSz w:w="11906" w:h="16838"/>
          <w:pgMar w:top="1440" w:right="1800" w:bottom="1440" w:left="1800" w:header="851" w:footer="992" w:gutter="0"/>
          <w:cols w:space="720" w:num="1"/>
          <w:docGrid w:type="lines" w:linePitch="312" w:charSpace="0"/>
        </w:sectPr>
      </w:pPr>
      <w:r>
        <w:rPr>
          <w:rStyle w:val="23"/>
          <w:color w:val="auto"/>
        </w:rPr>
        <w:fldChar w:fldCharType="begin"/>
      </w:r>
      <w:r>
        <w:rPr>
          <w:rStyle w:val="23"/>
          <w:color w:val="auto"/>
        </w:rPr>
        <w:instrText xml:space="preserve"> </w:instrText>
      </w:r>
      <w:r>
        <w:instrText xml:space="preserve">HYPERLINK \l "_Toc217982934"</w:instrText>
      </w:r>
      <w:r>
        <w:rPr>
          <w:rStyle w:val="23"/>
          <w:color w:val="auto"/>
        </w:rPr>
        <w:instrText xml:space="preserve"> </w:instrText>
      </w:r>
      <w:r>
        <w:rPr>
          <w:rStyle w:val="23"/>
          <w:color w:val="auto"/>
        </w:rPr>
        <w:fldChar w:fldCharType="separate"/>
      </w:r>
    </w:p>
    <w:p w14:paraId="136FD123">
      <w:pPr>
        <w:spacing w:before="312" w:beforeLines="100" w:after="312" w:afterLines="100" w:line="360" w:lineRule="auto"/>
        <w:jc w:val="center"/>
        <w:outlineLvl w:val="0"/>
        <w:rPr>
          <w:rFonts w:eastAsia="仿宋"/>
          <w:b/>
          <w:bCs/>
          <w:color w:val="000000" w:themeColor="text1"/>
          <w:sz w:val="32"/>
          <w:szCs w:val="32"/>
          <w:shd w:val="clear" w:color="auto" w:fill="FFFFFF"/>
          <w14:textFill>
            <w14:solidFill>
              <w14:schemeClr w14:val="tx1"/>
            </w14:solidFill>
          </w14:textFill>
        </w:rPr>
      </w:pPr>
      <w:bookmarkStart w:id="107" w:name="_Toc222866265"/>
      <w:bookmarkStart w:id="108" w:name="_Toc222865921"/>
      <w:bookmarkStart w:id="109" w:name="_Toc222865169"/>
      <w:r>
        <w:rPr>
          <w:b/>
          <w:bCs/>
          <w:sz w:val="32"/>
          <w:szCs w:val="32"/>
        </w:rPr>
        <w:t>1 总 则</w:t>
      </w:r>
      <w:bookmarkEnd w:id="107"/>
      <w:bookmarkEnd w:id="108"/>
      <w:bookmarkEnd w:id="109"/>
    </w:p>
    <w:p w14:paraId="43B6FAB0">
      <w:pPr>
        <w:spacing w:line="360" w:lineRule="auto"/>
        <w:ind w:firstLine="422" w:firstLineChars="200"/>
        <w:rPr>
          <w:bCs/>
          <w:color w:val="000000" w:themeColor="text1"/>
          <w:szCs w:val="21"/>
          <w14:textFill>
            <w14:solidFill>
              <w14:schemeClr w14:val="tx1"/>
            </w14:solidFill>
          </w14:textFill>
        </w:rPr>
      </w:pPr>
      <w:r>
        <w:rPr>
          <w:b/>
          <w:color w:val="000000" w:themeColor="text1"/>
          <w:szCs w:val="21"/>
          <w:shd w:val="clear" w:color="auto" w:fill="FFFFFF"/>
          <w14:textFill>
            <w14:solidFill>
              <w14:schemeClr w14:val="tx1"/>
            </w14:solidFill>
          </w14:textFill>
        </w:rPr>
        <w:t>1.0.1</w:t>
      </w:r>
      <w:r>
        <w:rPr>
          <w:bCs/>
          <w:color w:val="000000" w:themeColor="text1"/>
          <w:szCs w:val="21"/>
          <w:shd w:val="clear" w:color="auto" w:fill="FFFFFF"/>
          <w14:textFill>
            <w14:solidFill>
              <w14:schemeClr w14:val="tx1"/>
            </w14:solidFill>
          </w14:textFill>
        </w:rPr>
        <w:t>提高砂浆和混凝土抗渗性能的外加剂较多，其原理各不相同，但最终目的都是提高砂浆和混凝土的抗渗性能。这方面的外加剂主要有：减水剂、引气剂、密实剂、防水剂、憎水剂等，还有一些间接起到抗渗作用的外加剂，如膨胀剂、水泥基渗透结晶材料、防冻剂等。多数防水外加剂的质量标准执行</w:t>
      </w:r>
      <w:r>
        <w:rPr>
          <w:rFonts w:hint="eastAsia"/>
          <w:bCs/>
          <w:color w:val="000000" w:themeColor="text1"/>
          <w:szCs w:val="21"/>
          <w:shd w:val="clear" w:color="auto" w:fill="FFFFFF"/>
          <w:lang w:val="en-US" w:eastAsia="zh-CN"/>
          <w14:textFill>
            <w14:solidFill>
              <w14:schemeClr w14:val="tx1"/>
            </w14:solidFill>
          </w14:textFill>
        </w:rPr>
        <w:t>现行行业标准</w:t>
      </w:r>
      <w:r>
        <w:rPr>
          <w:bCs/>
          <w:color w:val="000000" w:themeColor="text1"/>
          <w:szCs w:val="21"/>
          <w:shd w:val="clear" w:color="auto" w:fill="FFFFFF"/>
          <w14:textFill>
            <w14:solidFill>
              <w14:schemeClr w14:val="tx1"/>
            </w14:solidFill>
          </w14:textFill>
        </w:rPr>
        <w:t>JC/T 474《砂浆、混凝土防水剂》中的技术要求。这些</w:t>
      </w:r>
      <w:r>
        <w:rPr>
          <w:bCs/>
          <w:color w:val="000000" w:themeColor="text1"/>
          <w:szCs w:val="21"/>
          <w14:textFill>
            <w14:solidFill>
              <w14:schemeClr w14:val="tx1"/>
            </w14:solidFill>
          </w14:textFill>
        </w:rPr>
        <w:t>混凝土防水剂广泛应用于</w:t>
      </w:r>
      <w:r>
        <w:rPr>
          <w:bCs/>
          <w:color w:val="000000" w:themeColor="text1"/>
          <w:szCs w:val="21"/>
          <w:shd w:val="clear" w:color="auto" w:fill="FFFFFF"/>
          <w14:textFill>
            <w14:solidFill>
              <w14:schemeClr w14:val="tx1"/>
            </w14:solidFill>
          </w14:textFill>
        </w:rPr>
        <w:t>北京腾讯总部大楼、天津港圣瀚石化物流罐区项目、青海省黄南藏族自治州市政综合管廊、兰州国际商业广场、吉林省辽源市花溪山语住宅小区等</w:t>
      </w:r>
      <w:r>
        <w:rPr>
          <w:bCs/>
          <w:color w:val="000000" w:themeColor="text1"/>
          <w:szCs w:val="21"/>
          <w14:textFill>
            <w14:solidFill>
              <w14:schemeClr w14:val="tx1"/>
            </w14:solidFill>
          </w14:textFill>
        </w:rPr>
        <w:t>地下工程、屋面工程、建筑外墙工程、建筑室内工程、蓄水类等工程中，取得了良好的防水效果。</w:t>
      </w:r>
    </w:p>
    <w:p w14:paraId="5DBC1D02">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本规程的制定旨在规范混凝土防水剂的工程应用，确保掺加防水剂混凝土的工程质量。本规程主要根据我国现有标准规范、科研成果和工程实践经验制定。</w:t>
      </w:r>
    </w:p>
    <w:p w14:paraId="14B1C539">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1.0.2</w:t>
      </w:r>
      <w:r>
        <w:rPr>
          <w:bCs/>
          <w:color w:val="000000" w:themeColor="text1"/>
          <w:szCs w:val="21"/>
          <w:shd w:val="clear" w:color="auto" w:fill="FFFFFF"/>
          <w14:textFill>
            <w14:solidFill>
              <w14:schemeClr w14:val="tx1"/>
            </w14:solidFill>
          </w14:textFill>
        </w:rPr>
        <w:t>本条规定了规程的适用范围，本规程适用于地下工程（明挖法、暗挖法）、建筑屋面工程（平屋面、坡屋面）、建筑外墙工程、建筑室内工程，也适用于轨道交通、蓄水池等市政防水工程。</w:t>
      </w:r>
    </w:p>
    <w:p w14:paraId="02E7D9FA">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1.0.3</w:t>
      </w:r>
      <w:r>
        <w:rPr>
          <w:bCs/>
          <w:color w:val="000000" w:themeColor="text1"/>
          <w:szCs w:val="21"/>
          <w:shd w:val="clear" w:color="auto" w:fill="FFFFFF"/>
          <w14:textFill>
            <w14:solidFill>
              <w14:schemeClr w14:val="tx1"/>
            </w14:solidFill>
          </w14:textFill>
        </w:rPr>
        <w:t>掺加混凝土防水剂的混凝土，在使用过程中还会涉及其他国家标准、行业标准或团体标准，在使用中除应执行本规程外，还应符合现行有关国家、行业和团体标准的规定。</w:t>
      </w:r>
    </w:p>
    <w:p w14:paraId="13A1FD20"/>
    <w:p w14:paraId="48787C09">
      <w:pPr>
        <w:spacing w:line="400" w:lineRule="exact"/>
        <w:ind w:firstLine="420" w:firstLineChars="200"/>
        <w:jc w:val="left"/>
        <w:rPr>
          <w:kern w:val="0"/>
          <w:szCs w:val="21"/>
          <w:lang w:bidi="en-US"/>
        </w:rPr>
        <w:sectPr>
          <w:pgSz w:w="11906" w:h="16838"/>
          <w:pgMar w:top="1440" w:right="1800" w:bottom="1440" w:left="1800" w:header="851" w:footer="992" w:gutter="0"/>
          <w:cols w:space="720" w:num="1"/>
          <w:docGrid w:type="lines" w:linePitch="312" w:charSpace="0"/>
        </w:sectPr>
      </w:pPr>
      <w:r>
        <w:rPr>
          <w:rStyle w:val="23"/>
          <w:color w:val="auto"/>
        </w:rPr>
        <w:fldChar w:fldCharType="end"/>
      </w:r>
    </w:p>
    <w:p w14:paraId="513B33B8">
      <w:pPr>
        <w:pStyle w:val="2"/>
        <w:widowControl w:val="0"/>
        <w:spacing w:before="312" w:beforeLines="100" w:after="312" w:afterLines="100" w:line="360" w:lineRule="auto"/>
        <w:jc w:val="center"/>
        <w:rPr>
          <w:sz w:val="32"/>
          <w:szCs w:val="32"/>
        </w:rPr>
      </w:pPr>
      <w:bookmarkStart w:id="110" w:name="_Toc222866266"/>
      <w:bookmarkStart w:id="111" w:name="_Toc19966"/>
      <w:bookmarkStart w:id="112" w:name="_Toc222865922"/>
      <w:bookmarkStart w:id="113" w:name="_Toc222865170"/>
      <w:r>
        <w:rPr>
          <w:sz w:val="32"/>
          <w:szCs w:val="32"/>
        </w:rPr>
        <w:t>2 术 语</w:t>
      </w:r>
      <w:bookmarkEnd w:id="110"/>
      <w:bookmarkEnd w:id="111"/>
      <w:bookmarkEnd w:id="112"/>
      <w:bookmarkEnd w:id="113"/>
    </w:p>
    <w:p w14:paraId="673BFA80">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2.0.1</w:t>
      </w:r>
      <w:r>
        <w:rPr>
          <w:bCs/>
          <w:color w:val="000000" w:themeColor="text1"/>
          <w:szCs w:val="21"/>
          <w:shd w:val="clear" w:color="auto" w:fill="FFFFFF"/>
          <w14:textFill>
            <w14:solidFill>
              <w14:schemeClr w14:val="tx1"/>
            </w14:solidFill>
          </w14:textFill>
        </w:rPr>
        <w:t>防水剂是为了阻止渗水和吸水，在搅拌混凝土过程中</w:t>
      </w:r>
      <w:r>
        <w:rPr>
          <w:rFonts w:hint="eastAsia"/>
          <w:bCs/>
          <w:color w:val="000000" w:themeColor="text1"/>
          <w:szCs w:val="21"/>
          <w:shd w:val="clear" w:color="auto" w:fill="FFFFFF"/>
          <w:lang w:val="en-US" w:eastAsia="zh-CN"/>
          <w14:textFill>
            <w14:solidFill>
              <w14:schemeClr w14:val="tx1"/>
            </w14:solidFill>
          </w14:textFill>
        </w:rPr>
        <w:t>掺加</w:t>
      </w:r>
      <w:r>
        <w:rPr>
          <w:bCs/>
          <w:color w:val="000000" w:themeColor="text1"/>
          <w:szCs w:val="21"/>
          <w:shd w:val="clear" w:color="auto" w:fill="FFFFFF"/>
          <w14:textFill>
            <w14:solidFill>
              <w14:schemeClr w14:val="tx1"/>
            </w14:solidFill>
          </w14:textFill>
        </w:rPr>
        <w:t>的外加剂。根据作用不同，可分为防潮剂和抗渗剂。前者是指防止水分进入干燥的混凝土中，以降低混凝土吸水率为目的，后者是指在一定水压下阻止水分渗透，以提高抗渗为目的。</w:t>
      </w:r>
    </w:p>
    <w:p w14:paraId="17DE4F27">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根据防水剂组成又可分为无机质防水剂、有机质防水剂和有机无机复合防水剂。一般来说无机质防水剂多为抗渗剂，有机质防水剂则为以降低吸水率为主的防潮剂，有机无机复合防水剂往往结合两者的特点，兼具抗渗、防潮的功能。</w:t>
      </w:r>
    </w:p>
    <w:p w14:paraId="4F0298F3">
      <w:pPr>
        <w:spacing w:line="360" w:lineRule="auto"/>
        <w:ind w:firstLine="420" w:firstLineChars="200"/>
        <w:rPr>
          <w:rFonts w:eastAsia="仿宋"/>
          <w:bCs/>
          <w:color w:val="000000" w:themeColor="text1"/>
          <w14:textFill>
            <w14:solidFill>
              <w14:schemeClr w14:val="tx1"/>
            </w14:solidFill>
          </w14:textFill>
        </w:rPr>
      </w:pPr>
    </w:p>
    <w:p w14:paraId="31B28EC6">
      <w:pPr>
        <w:rPr>
          <w:rFonts w:eastAsia="仿宋"/>
          <w:bCs/>
          <w:color w:val="000000" w:themeColor="text1"/>
          <w14:textFill>
            <w14:solidFill>
              <w14:schemeClr w14:val="tx1"/>
            </w14:solidFill>
          </w14:textFill>
        </w:rPr>
      </w:pPr>
      <w:r>
        <w:rPr>
          <w:rFonts w:eastAsia="仿宋"/>
          <w:bCs/>
          <w:color w:val="000000" w:themeColor="text1"/>
          <w14:textFill>
            <w14:solidFill>
              <w14:schemeClr w14:val="tx1"/>
            </w14:solidFill>
          </w14:textFill>
        </w:rPr>
        <w:br w:type="page"/>
      </w:r>
    </w:p>
    <w:p w14:paraId="2A1C1C5F">
      <w:pPr>
        <w:pStyle w:val="2"/>
        <w:spacing w:before="312" w:beforeLines="100" w:after="312" w:afterLines="100" w:line="360" w:lineRule="auto"/>
        <w:jc w:val="center"/>
        <w:rPr>
          <w:sz w:val="32"/>
          <w:szCs w:val="32"/>
        </w:rPr>
      </w:pPr>
      <w:bookmarkStart w:id="114" w:name="_Toc222865171"/>
      <w:bookmarkStart w:id="115" w:name="_Toc4794"/>
      <w:bookmarkStart w:id="116" w:name="_Toc222866267"/>
      <w:bookmarkStart w:id="117" w:name="_Toc222865923"/>
      <w:r>
        <w:rPr>
          <w:sz w:val="32"/>
          <w:szCs w:val="32"/>
        </w:rPr>
        <w:t>3 基本规定</w:t>
      </w:r>
      <w:bookmarkEnd w:id="114"/>
      <w:bookmarkEnd w:id="115"/>
      <w:bookmarkEnd w:id="116"/>
      <w:bookmarkEnd w:id="117"/>
    </w:p>
    <w:p w14:paraId="13792535">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3.0.1</w:t>
      </w:r>
      <w:r>
        <w:rPr>
          <w:bCs/>
          <w:color w:val="000000" w:themeColor="text1"/>
          <w:szCs w:val="21"/>
          <w:shd w:val="clear" w:color="auto" w:fill="FFFFFF"/>
          <w14:textFill>
            <w14:solidFill>
              <w14:schemeClr w14:val="tx1"/>
            </w14:solidFill>
          </w14:textFill>
        </w:rPr>
        <w:t>本条规定了防水剂的应用范围。</w:t>
      </w:r>
    </w:p>
    <w:p w14:paraId="1E3FEDA7">
      <w:pPr>
        <w:spacing w:line="360" w:lineRule="auto"/>
        <w:ind w:firstLine="422" w:firstLineChars="200"/>
        <w:rPr>
          <w:rFonts w:hint="default" w:eastAsia="宋体"/>
          <w:bCs/>
          <w:color w:val="000000" w:themeColor="text1"/>
          <w:szCs w:val="21"/>
          <w:shd w:val="clear" w:color="auto" w:fill="FFFFFF"/>
          <w:lang w:val="en-US" w:eastAsia="zh-CN"/>
          <w14:textFill>
            <w14:solidFill>
              <w14:schemeClr w14:val="tx1"/>
            </w14:solidFill>
          </w14:textFill>
        </w:rPr>
      </w:pPr>
      <w:r>
        <w:rPr>
          <w:rFonts w:hint="eastAsia"/>
          <w:b/>
          <w:bCs w:val="0"/>
          <w:color w:val="000000" w:themeColor="text1"/>
          <w:szCs w:val="21"/>
          <w:shd w:val="clear" w:color="auto" w:fill="FFFFFF"/>
          <w:lang w:val="en-US" w:eastAsia="zh-CN"/>
          <w14:textFill>
            <w14:solidFill>
              <w14:schemeClr w14:val="tx1"/>
            </w14:solidFill>
          </w14:textFill>
        </w:rPr>
        <w:t>3.0.2</w:t>
      </w:r>
      <w:r>
        <w:rPr>
          <w:rFonts w:hint="eastAsia"/>
          <w:bCs/>
          <w:color w:val="000000" w:themeColor="text1"/>
          <w:szCs w:val="21"/>
          <w:shd w:val="clear" w:color="auto" w:fill="FFFFFF"/>
          <w:lang w:val="en-US" w:eastAsia="zh-CN"/>
          <w14:textFill>
            <w14:solidFill>
              <w14:schemeClr w14:val="tx1"/>
            </w14:solidFill>
          </w14:textFill>
        </w:rPr>
        <w:t>防水剂指掺入混凝土中，可</w:t>
      </w:r>
      <w:r>
        <w:rPr>
          <w:color w:val="000000" w:themeColor="text1"/>
          <w:szCs w:val="21"/>
          <w14:textFill>
            <w14:solidFill>
              <w14:schemeClr w14:val="tx1"/>
            </w14:solidFill>
          </w14:textFill>
        </w:rPr>
        <w:t>减少混凝土内部孔隙和堵塞毛细通道，降低混凝土在静水压作用下透水性</w:t>
      </w:r>
      <w:r>
        <w:rPr>
          <w:rFonts w:hint="eastAsia"/>
          <w:bCs/>
          <w:color w:val="000000" w:themeColor="text1"/>
          <w:szCs w:val="21"/>
          <w:shd w:val="clear" w:color="auto" w:fill="FFFFFF"/>
          <w:lang w:val="en-US" w:eastAsia="zh-CN"/>
          <w14:textFill>
            <w14:solidFill>
              <w14:schemeClr w14:val="tx1"/>
            </w14:solidFill>
          </w14:textFill>
        </w:rPr>
        <w:t>的外加剂。由于其提高了混凝土的防水性能，进而提高了工程防水能力，因此可作为一道防水设防措施。</w:t>
      </w:r>
    </w:p>
    <w:p w14:paraId="29951AAD">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3.0.</w:t>
      </w:r>
      <w:r>
        <w:rPr>
          <w:rFonts w:hint="eastAsia"/>
          <w:b/>
          <w:color w:val="000000" w:themeColor="text1"/>
          <w:szCs w:val="21"/>
          <w:shd w:val="clear" w:color="auto" w:fill="FFFFFF"/>
          <w:lang w:val="en-US" w:eastAsia="zh-CN"/>
          <w14:textFill>
            <w14:solidFill>
              <w14:schemeClr w14:val="tx1"/>
            </w14:solidFill>
          </w14:textFill>
        </w:rPr>
        <w:t>3</w:t>
      </w:r>
      <w:r>
        <w:rPr>
          <w:bCs/>
          <w:color w:val="000000" w:themeColor="text1"/>
          <w:szCs w:val="21"/>
          <w:shd w:val="clear" w:color="auto" w:fill="FFFFFF"/>
          <w14:textFill>
            <w14:solidFill>
              <w14:schemeClr w14:val="tx1"/>
            </w14:solidFill>
          </w14:textFill>
        </w:rPr>
        <w:t>具有良好的抗渗性和抗裂性是混凝土结构工程防水的本质要求，混凝土结构工程的防水失效和耐久性失效也互为因果，耐久性失效也会加速防水失效，因此对掺加防水剂的</w:t>
      </w:r>
      <w:r>
        <w:rPr>
          <w:rFonts w:hint="eastAsia"/>
          <w:bCs/>
          <w:color w:val="000000" w:themeColor="text1"/>
          <w:szCs w:val="21"/>
          <w:shd w:val="clear" w:color="auto" w:fill="FFFFFF"/>
          <w:lang w:eastAsia="zh-CN"/>
          <w14:textFill>
            <w14:solidFill>
              <w14:schemeClr w14:val="tx1"/>
            </w14:solidFill>
          </w14:textFill>
        </w:rPr>
        <w:t>混凝土</w:t>
      </w:r>
      <w:r>
        <w:rPr>
          <w:bCs/>
          <w:color w:val="000000" w:themeColor="text1"/>
          <w:szCs w:val="21"/>
          <w:shd w:val="clear" w:color="auto" w:fill="FFFFFF"/>
          <w14:textFill>
            <w14:solidFill>
              <w14:schemeClr w14:val="tx1"/>
            </w14:solidFill>
          </w14:textFill>
        </w:rPr>
        <w:t>在抗渗性能、抗裂性能和耐久性能这三个方面提出设计要求。</w:t>
      </w:r>
    </w:p>
    <w:p w14:paraId="582D3012">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3.0.</w:t>
      </w:r>
      <w:r>
        <w:rPr>
          <w:rFonts w:hint="eastAsia"/>
          <w:b/>
          <w:color w:val="000000" w:themeColor="text1"/>
          <w:szCs w:val="21"/>
          <w:shd w:val="clear" w:color="auto" w:fill="FFFFFF"/>
          <w:lang w:val="en-US" w:eastAsia="zh-CN"/>
          <w14:textFill>
            <w14:solidFill>
              <w14:schemeClr w14:val="tx1"/>
            </w14:solidFill>
          </w14:textFill>
        </w:rPr>
        <w:t>4</w:t>
      </w:r>
      <w:r>
        <w:rPr>
          <w:bCs/>
          <w:color w:val="000000" w:themeColor="text1"/>
          <w:szCs w:val="21"/>
          <w:shd w:val="clear" w:color="auto" w:fill="FFFFFF"/>
          <w14:textFill>
            <w14:solidFill>
              <w14:schemeClr w14:val="tx1"/>
            </w14:solidFill>
          </w14:textFill>
        </w:rPr>
        <w:t>大体积或者高强混凝土具有水化放热高、收缩大的特点，裂缝控制难度高导致防水难度极大，靠单一技术手段很难实现有效的裂渗控制，需要设计、施工、材料等各方通力配合才能完成。因此，对于这类</w:t>
      </w:r>
      <w:r>
        <w:rPr>
          <w:rFonts w:hint="eastAsia"/>
          <w:bCs/>
          <w:color w:val="000000" w:themeColor="text1"/>
          <w:szCs w:val="21"/>
          <w:shd w:val="clear" w:color="auto" w:fill="FFFFFF"/>
          <w:lang w:eastAsia="zh-CN"/>
          <w14:textFill>
            <w14:solidFill>
              <w14:schemeClr w14:val="tx1"/>
            </w14:solidFill>
          </w14:textFill>
        </w:rPr>
        <w:t>混凝土</w:t>
      </w:r>
      <w:r>
        <w:rPr>
          <w:bCs/>
          <w:color w:val="000000" w:themeColor="text1"/>
          <w:szCs w:val="21"/>
          <w:shd w:val="clear" w:color="auto" w:fill="FFFFFF"/>
          <w14:textFill>
            <w14:solidFill>
              <w14:schemeClr w14:val="tx1"/>
            </w14:solidFill>
          </w14:textFill>
        </w:rPr>
        <w:t>结构，建议制定专项技术方案。</w:t>
      </w:r>
    </w:p>
    <w:p w14:paraId="422C2E43">
      <w:pPr>
        <w:spacing w:line="360" w:lineRule="auto"/>
        <w:ind w:firstLine="422" w:firstLineChars="200"/>
        <w:rPr>
          <w:rFonts w:hint="eastAsia"/>
          <w:bCs/>
          <w:color w:val="000000" w:themeColor="text1"/>
          <w:sz w:val="18"/>
          <w:szCs w:val="18"/>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3.0.</w:t>
      </w:r>
      <w:r>
        <w:rPr>
          <w:rFonts w:hint="eastAsia"/>
          <w:b/>
          <w:color w:val="000000" w:themeColor="text1"/>
          <w:szCs w:val="21"/>
          <w:shd w:val="clear" w:color="auto" w:fill="FFFFFF"/>
          <w:lang w:val="en-US" w:eastAsia="zh-CN"/>
          <w14:textFill>
            <w14:solidFill>
              <w14:schemeClr w14:val="tx1"/>
            </w14:solidFill>
          </w14:textFill>
        </w:rPr>
        <w:t>5</w:t>
      </w:r>
      <w:r>
        <w:rPr>
          <w:bCs/>
          <w:color w:val="000000" w:themeColor="text1"/>
          <w:szCs w:val="21"/>
          <w:shd w:val="clear" w:color="auto" w:fill="FFFFFF"/>
          <w14:textFill>
            <w14:solidFill>
              <w14:schemeClr w14:val="tx1"/>
            </w14:solidFill>
          </w14:textFill>
        </w:rPr>
        <w:t>大量工程实践证明，混凝土施工过程中设置变形缝、施工缝、后浇带等结构缝可以在一定程度上降低混凝土裂缝的产生，但是过多设缝会影响混凝土结构的整体性和防水性能，因此</w:t>
      </w:r>
      <w:r>
        <w:rPr>
          <w:rFonts w:hint="eastAsia"/>
          <w:b w:val="0"/>
          <w:bCs/>
          <w:szCs w:val="21"/>
          <w:lang w:val="en-US" w:eastAsia="zh-CN"/>
        </w:rPr>
        <w:t>掺加防水剂的</w:t>
      </w:r>
      <w:r>
        <w:rPr>
          <w:b w:val="0"/>
          <w:bCs/>
          <w:szCs w:val="21"/>
        </w:rPr>
        <w:t>混</w:t>
      </w:r>
      <w:r>
        <w:rPr>
          <w:szCs w:val="21"/>
        </w:rPr>
        <w:t>凝土</w:t>
      </w:r>
      <w:r>
        <w:rPr>
          <w:bCs/>
          <w:color w:val="000000" w:themeColor="text1"/>
          <w:szCs w:val="21"/>
          <w:shd w:val="clear" w:color="auto" w:fill="FFFFFF"/>
          <w14:textFill>
            <w14:solidFill>
              <w14:schemeClr w14:val="tx1"/>
            </w14:solidFill>
          </w14:textFill>
        </w:rPr>
        <w:t>在施工过程中应采取必要的措施减少或取消结构缝的设置。</w:t>
      </w:r>
    </w:p>
    <w:p w14:paraId="6120CFB8">
      <w:pPr>
        <w:rPr>
          <w:rFonts w:eastAsia="仿宋"/>
          <w:bCs/>
          <w:color w:val="000000" w:themeColor="text1"/>
          <w:sz w:val="24"/>
          <w:shd w:val="clear" w:color="auto" w:fill="FFFFFF"/>
          <w14:textFill>
            <w14:solidFill>
              <w14:schemeClr w14:val="tx1"/>
            </w14:solidFill>
          </w14:textFill>
        </w:rPr>
      </w:pPr>
      <w:r>
        <w:rPr>
          <w:rFonts w:eastAsia="仿宋"/>
          <w:bCs/>
          <w:color w:val="000000" w:themeColor="text1"/>
          <w:sz w:val="24"/>
          <w:shd w:val="clear" w:color="auto" w:fill="FFFFFF"/>
          <w14:textFill>
            <w14:solidFill>
              <w14:schemeClr w14:val="tx1"/>
            </w14:solidFill>
          </w14:textFill>
        </w:rPr>
        <w:br w:type="page"/>
      </w:r>
    </w:p>
    <w:p w14:paraId="42CDA6F3">
      <w:pPr>
        <w:pStyle w:val="2"/>
        <w:spacing w:before="312" w:beforeLines="100" w:after="312" w:afterLines="100" w:line="360" w:lineRule="auto"/>
        <w:jc w:val="center"/>
        <w:rPr>
          <w:sz w:val="32"/>
          <w:szCs w:val="32"/>
        </w:rPr>
      </w:pPr>
      <w:bookmarkStart w:id="118" w:name="_Toc222865924"/>
      <w:bookmarkStart w:id="119" w:name="_Toc14464"/>
      <w:bookmarkStart w:id="120" w:name="_Toc222866268"/>
      <w:bookmarkStart w:id="121" w:name="_Toc222865172"/>
      <w:r>
        <w:rPr>
          <w:sz w:val="32"/>
          <w:szCs w:val="32"/>
        </w:rPr>
        <w:t>4 技术要求</w:t>
      </w:r>
      <w:bookmarkEnd w:id="118"/>
      <w:bookmarkEnd w:id="119"/>
      <w:bookmarkEnd w:id="120"/>
      <w:bookmarkEnd w:id="121"/>
    </w:p>
    <w:p w14:paraId="668AA1B3">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rFonts w:hint="eastAsia"/>
          <w:b/>
          <w:color w:val="000000" w:themeColor="text1"/>
          <w:szCs w:val="21"/>
          <w:shd w:val="clear" w:color="auto" w:fill="FFFFFF"/>
          <w:lang w:val="en-US" w:eastAsia="zh-CN"/>
          <w14:textFill>
            <w14:solidFill>
              <w14:schemeClr w14:val="tx1"/>
            </w14:solidFill>
          </w14:textFill>
        </w:rPr>
        <w:t>0</w:t>
      </w:r>
      <w:r>
        <w:rPr>
          <w:b/>
          <w:color w:val="000000" w:themeColor="text1"/>
          <w:szCs w:val="21"/>
          <w:shd w:val="clear" w:color="auto" w:fill="FFFFFF"/>
          <w14:textFill>
            <w14:solidFill>
              <w14:schemeClr w14:val="tx1"/>
            </w14:solidFill>
          </w14:textFill>
        </w:rPr>
        <w:t>.1</w:t>
      </w:r>
      <w:r>
        <w:rPr>
          <w:bCs/>
          <w:color w:val="000000" w:themeColor="text1"/>
          <w:szCs w:val="21"/>
          <w:shd w:val="clear" w:color="auto" w:fill="FFFFFF"/>
          <w14:textFill>
            <w14:solidFill>
              <w14:schemeClr w14:val="tx1"/>
            </w14:solidFill>
          </w14:textFill>
        </w:rPr>
        <w:t>与《建筑与市政工程防水通用规范》GB 55030中规定一致。</w:t>
      </w:r>
    </w:p>
    <w:p w14:paraId="6F6A3FAB">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rFonts w:hint="eastAsia"/>
          <w:b/>
          <w:color w:val="000000" w:themeColor="text1"/>
          <w:szCs w:val="21"/>
          <w:shd w:val="clear" w:color="auto" w:fill="FFFFFF"/>
          <w:lang w:val="en-US" w:eastAsia="zh-CN"/>
          <w14:textFill>
            <w14:solidFill>
              <w14:schemeClr w14:val="tx1"/>
            </w14:solidFill>
          </w14:textFill>
        </w:rPr>
        <w:t>0</w:t>
      </w:r>
      <w:r>
        <w:rPr>
          <w:b/>
          <w:color w:val="000000" w:themeColor="text1"/>
          <w:szCs w:val="21"/>
          <w:shd w:val="clear" w:color="auto" w:fill="FFFFFF"/>
          <w14:textFill>
            <w14:solidFill>
              <w14:schemeClr w14:val="tx1"/>
            </w14:solidFill>
          </w14:textFill>
        </w:rPr>
        <w:t>.2</w:t>
      </w:r>
      <w:r>
        <w:rPr>
          <w:bCs/>
          <w:color w:val="000000" w:themeColor="text1"/>
          <w:szCs w:val="21"/>
          <w:shd w:val="clear" w:color="auto" w:fill="FFFFFF"/>
          <w14:textFill>
            <w14:solidFill>
              <w14:schemeClr w14:val="tx1"/>
            </w14:solidFill>
          </w14:textFill>
        </w:rPr>
        <w:t>《建筑与市政工程防水通用规范》GB 55030中规定，</w:t>
      </w:r>
      <w:r>
        <w:rPr>
          <w:rFonts w:hint="eastAsia"/>
          <w:b w:val="0"/>
          <w:bCs/>
          <w:szCs w:val="21"/>
          <w:lang w:val="en-US" w:eastAsia="zh-CN"/>
        </w:rPr>
        <w:t>掺加防水剂的</w:t>
      </w:r>
      <w:r>
        <w:rPr>
          <w:b w:val="0"/>
          <w:bCs/>
          <w:szCs w:val="21"/>
        </w:rPr>
        <w:t>混</w:t>
      </w:r>
      <w:r>
        <w:rPr>
          <w:szCs w:val="21"/>
        </w:rPr>
        <w:t>凝土</w:t>
      </w:r>
      <w:r>
        <w:rPr>
          <w:bCs/>
          <w:color w:val="000000" w:themeColor="text1"/>
          <w:szCs w:val="21"/>
          <w:shd w:val="clear" w:color="auto" w:fill="FFFFFF"/>
          <w14:textFill>
            <w14:solidFill>
              <w14:schemeClr w14:val="tx1"/>
            </w14:solidFill>
          </w14:textFill>
        </w:rPr>
        <w:t>抗压强度等级不应低于C25，受中等及以上腐蚀性介质作用的地下工程，强度等级不应低于C35；</w:t>
      </w:r>
    </w:p>
    <w:p w14:paraId="5A1975AF">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rFonts w:hint="eastAsia"/>
          <w:b/>
          <w:color w:val="000000" w:themeColor="text1"/>
          <w:szCs w:val="21"/>
          <w:shd w:val="clear" w:color="auto" w:fill="FFFFFF"/>
          <w:lang w:val="en-US" w:eastAsia="zh-CN"/>
          <w14:textFill>
            <w14:solidFill>
              <w14:schemeClr w14:val="tx1"/>
            </w14:solidFill>
          </w14:textFill>
        </w:rPr>
        <w:t>0</w:t>
      </w:r>
      <w:r>
        <w:rPr>
          <w:b/>
          <w:color w:val="000000" w:themeColor="text1"/>
          <w:szCs w:val="21"/>
          <w:shd w:val="clear" w:color="auto" w:fill="FFFFFF"/>
          <w14:textFill>
            <w14:solidFill>
              <w14:schemeClr w14:val="tx1"/>
            </w14:solidFill>
          </w14:textFill>
        </w:rPr>
        <w:t>.3</w:t>
      </w:r>
      <w:r>
        <w:rPr>
          <w:bCs/>
          <w:color w:val="000000" w:themeColor="text1"/>
          <w:szCs w:val="21"/>
          <w:shd w:val="clear" w:color="auto" w:fill="FFFFFF"/>
          <w14:textFill>
            <w14:solidFill>
              <w14:schemeClr w14:val="tx1"/>
            </w14:solidFill>
          </w14:textFill>
        </w:rPr>
        <w:t>《建筑与市政工程防水通用规范》GB 55030规定了表b-</w:t>
      </w:r>
      <w:r>
        <w:rPr>
          <w:rFonts w:hint="eastAsia"/>
          <w:bCs/>
          <w:color w:val="000000" w:themeColor="text1"/>
          <w:szCs w:val="21"/>
          <w:shd w:val="clear" w:color="auto" w:fill="FFFFFF"/>
          <w:lang w:val="en-US" w:eastAsia="zh-CN"/>
          <w14:textFill>
            <w14:solidFill>
              <w14:schemeClr w14:val="tx1"/>
            </w14:solidFill>
          </w14:textFill>
        </w:rPr>
        <w:t>1</w:t>
      </w:r>
      <w:r>
        <w:rPr>
          <w:bCs/>
          <w:color w:val="000000" w:themeColor="text1"/>
          <w:szCs w:val="21"/>
          <w:shd w:val="clear" w:color="auto" w:fill="FFFFFF"/>
          <w14:textFill>
            <w14:solidFill>
              <w14:schemeClr w14:val="tx1"/>
            </w14:solidFill>
          </w14:textFill>
        </w:rPr>
        <w:t>所示的明挖法地下工程</w:t>
      </w:r>
      <w:r>
        <w:rPr>
          <w:rFonts w:hint="eastAsia"/>
          <w:b w:val="0"/>
          <w:bCs/>
          <w:szCs w:val="21"/>
          <w:lang w:val="en-US" w:eastAsia="zh-CN"/>
        </w:rPr>
        <w:t>掺加防水剂的</w:t>
      </w:r>
      <w:r>
        <w:rPr>
          <w:b w:val="0"/>
          <w:bCs/>
          <w:szCs w:val="21"/>
        </w:rPr>
        <w:t>混</w:t>
      </w:r>
      <w:r>
        <w:rPr>
          <w:szCs w:val="21"/>
        </w:rPr>
        <w:t>凝土</w:t>
      </w:r>
      <w:r>
        <w:rPr>
          <w:bCs/>
          <w:color w:val="000000" w:themeColor="text1"/>
          <w:szCs w:val="21"/>
          <w:shd w:val="clear" w:color="auto" w:fill="FFFFFF"/>
          <w14:textFill>
            <w14:solidFill>
              <w14:schemeClr w14:val="tx1"/>
            </w14:solidFill>
          </w14:textFill>
        </w:rPr>
        <w:t>最低抗渗等级。</w:t>
      </w:r>
    </w:p>
    <w:p w14:paraId="1DC4B070">
      <w:pPr>
        <w:spacing w:line="360" w:lineRule="auto"/>
        <w:jc w:val="center"/>
        <w:rPr>
          <w:bCs/>
          <w:color w:val="000000" w:themeColor="text1"/>
          <w:sz w:val="18"/>
          <w:szCs w:val="18"/>
          <w:shd w:val="clear" w:color="auto" w:fill="FFFFFF"/>
          <w14:textFill>
            <w14:solidFill>
              <w14:schemeClr w14:val="tx1"/>
            </w14:solidFill>
          </w14:textFill>
        </w:rPr>
      </w:pPr>
      <w:r>
        <w:rPr>
          <w:rStyle w:val="32"/>
          <w:rFonts w:ascii="Times New Roman" w:hAnsi="Times New Roman" w:cs="Times New Roman"/>
          <w:bCs/>
          <w:color w:val="000000" w:themeColor="text1"/>
          <w:sz w:val="18"/>
          <w:szCs w:val="18"/>
          <w14:textFill>
            <w14:solidFill>
              <w14:schemeClr w14:val="tx1"/>
            </w14:solidFill>
          </w14:textFill>
        </w:rPr>
        <w:t>表</w:t>
      </w:r>
      <w:r>
        <w:rPr>
          <w:rStyle w:val="32"/>
          <w:rFonts w:hint="default" w:ascii="Times New Roman" w:hAnsi="Times New Roman" w:cs="Times New Roman"/>
          <w:bCs/>
          <w:color w:val="000000" w:themeColor="text1"/>
          <w:sz w:val="18"/>
          <w:szCs w:val="18"/>
          <w14:textFill>
            <w14:solidFill>
              <w14:schemeClr w14:val="tx1"/>
            </w14:solidFill>
          </w14:textFill>
        </w:rPr>
        <w:t>b-</w:t>
      </w:r>
      <w:r>
        <w:rPr>
          <w:rStyle w:val="32"/>
          <w:rFonts w:hint="default" w:ascii="Times New Roman" w:hAnsi="Times New Roman" w:cs="Times New Roman"/>
          <w:bCs/>
          <w:color w:val="000000" w:themeColor="text1"/>
          <w:sz w:val="18"/>
          <w:szCs w:val="18"/>
          <w:lang w:val="en-US" w:eastAsia="zh-CN"/>
          <w14:textFill>
            <w14:solidFill>
              <w14:schemeClr w14:val="tx1"/>
            </w14:solidFill>
          </w14:textFill>
        </w:rPr>
        <w:t>1</w:t>
      </w:r>
      <w:r>
        <w:rPr>
          <w:rStyle w:val="32"/>
          <w:rFonts w:ascii="Times New Roman" w:hAnsi="Times New Roman" w:cs="Times New Roman"/>
          <w:bCs/>
          <w:color w:val="000000" w:themeColor="text1"/>
          <w:sz w:val="18"/>
          <w:szCs w:val="18"/>
          <w14:textFill>
            <w14:solidFill>
              <w14:schemeClr w14:val="tx1"/>
            </w14:solidFill>
          </w14:textFill>
        </w:rPr>
        <w:t>明挖法地下工程</w:t>
      </w:r>
      <w:r>
        <w:rPr>
          <w:rStyle w:val="32"/>
          <w:rFonts w:hint="eastAsia" w:ascii="Times New Roman" w:hAnsi="Times New Roman" w:cs="Times New Roman"/>
          <w:bCs/>
          <w:color w:val="000000" w:themeColor="text1"/>
          <w:sz w:val="18"/>
          <w:szCs w:val="18"/>
          <w14:textFill>
            <w14:solidFill>
              <w14:schemeClr w14:val="tx1"/>
            </w14:solidFill>
          </w14:textFill>
        </w:rPr>
        <w:t>掺加防水剂的</w:t>
      </w:r>
      <w:r>
        <w:rPr>
          <w:rStyle w:val="32"/>
          <w:rFonts w:ascii="Times New Roman" w:hAnsi="Times New Roman" w:cs="Times New Roman"/>
          <w:bCs/>
          <w:color w:val="000000" w:themeColor="text1"/>
          <w:sz w:val="18"/>
          <w:szCs w:val="18"/>
          <w14:textFill>
            <w14:solidFill>
              <w14:schemeClr w14:val="tx1"/>
            </w14:solidFill>
          </w14:textFill>
        </w:rPr>
        <w:t>混凝土最低抗渗等级</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5"/>
        <w:gridCol w:w="2265"/>
        <w:gridCol w:w="2265"/>
      </w:tblGrid>
      <w:tr w14:paraId="58C8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1DB187D0">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14:textFill>
                  <w14:solidFill>
                    <w14:schemeClr w14:val="tx1"/>
                  </w14:solidFill>
                </w14:textFill>
              </w:rPr>
            </w:pPr>
            <w:r>
              <w:rPr>
                <w:rFonts w:hint="default" w:ascii="Times New Roman" w:hAnsi="Times New Roman" w:cs="Times New Roman"/>
                <w:bCs/>
                <w:color w:val="000000" w:themeColor="text1"/>
                <w:sz w:val="18"/>
                <w:szCs w:val="18"/>
                <w14:textFill>
                  <w14:solidFill>
                    <w14:schemeClr w14:val="tx1"/>
                  </w14:solidFill>
                </w14:textFill>
              </w:rPr>
              <w:t>防水等级</w:t>
            </w:r>
          </w:p>
        </w:tc>
        <w:tc>
          <w:tcPr>
            <w:tcW w:w="2265" w:type="dxa"/>
          </w:tcPr>
          <w:p w14:paraId="3EB4093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14:textFill>
                  <w14:solidFill>
                    <w14:schemeClr w14:val="tx1"/>
                  </w14:solidFill>
                </w14:textFill>
              </w:rPr>
            </w:pPr>
            <w:r>
              <w:rPr>
                <w:rFonts w:hint="default" w:ascii="Times New Roman" w:hAnsi="Times New Roman" w:cs="Times New Roman"/>
                <w:bCs/>
                <w:color w:val="000000" w:themeColor="text1"/>
                <w:sz w:val="18"/>
                <w:szCs w:val="18"/>
                <w14:textFill>
                  <w14:solidFill>
                    <w14:schemeClr w14:val="tx1"/>
                  </w14:solidFill>
                </w14:textFill>
              </w:rPr>
              <w:t>市政工程现浇混凝土</w:t>
            </w:r>
          </w:p>
        </w:tc>
        <w:tc>
          <w:tcPr>
            <w:tcW w:w="2265" w:type="dxa"/>
          </w:tcPr>
          <w:p w14:paraId="1BD21D82">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14:textFill>
                  <w14:solidFill>
                    <w14:schemeClr w14:val="tx1"/>
                  </w14:solidFill>
                </w14:textFill>
              </w:rPr>
            </w:pPr>
            <w:r>
              <w:rPr>
                <w:rFonts w:hint="default" w:ascii="Times New Roman" w:hAnsi="Times New Roman" w:cs="Times New Roman"/>
                <w:bCs/>
                <w:color w:val="000000" w:themeColor="text1"/>
                <w:sz w:val="18"/>
                <w:szCs w:val="18"/>
                <w14:textFill>
                  <w14:solidFill>
                    <w14:schemeClr w14:val="tx1"/>
                  </w14:solidFill>
                </w14:textFill>
              </w:rPr>
              <w:t>建筑工程现浇混凝土</w:t>
            </w:r>
          </w:p>
        </w:tc>
        <w:tc>
          <w:tcPr>
            <w:tcW w:w="2265" w:type="dxa"/>
          </w:tcPr>
          <w:p w14:paraId="66C2C33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14:textFill>
                  <w14:solidFill>
                    <w14:schemeClr w14:val="tx1"/>
                  </w14:solidFill>
                </w14:textFill>
              </w:rPr>
            </w:pPr>
            <w:r>
              <w:rPr>
                <w:rFonts w:hint="default" w:ascii="Times New Roman" w:hAnsi="Times New Roman" w:cs="Times New Roman"/>
                <w:bCs/>
                <w:color w:val="000000" w:themeColor="text1"/>
                <w:sz w:val="18"/>
                <w:szCs w:val="18"/>
                <w14:textFill>
                  <w14:solidFill>
                    <w14:schemeClr w14:val="tx1"/>
                  </w14:solidFill>
                </w14:textFill>
              </w:rPr>
              <w:t>装配式衬砌</w:t>
            </w:r>
          </w:p>
        </w:tc>
      </w:tr>
      <w:tr w14:paraId="5518D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2FFE605E">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14:textFill>
                  <w14:solidFill>
                    <w14:schemeClr w14:val="tx1"/>
                  </w14:solidFill>
                </w14:textFill>
              </w:rPr>
            </w:pPr>
            <w:r>
              <w:rPr>
                <w:rFonts w:hint="default" w:ascii="Times New Roman" w:hAnsi="Times New Roman" w:cs="Times New Roman"/>
                <w:bCs/>
                <w:color w:val="000000" w:themeColor="text1"/>
                <w:sz w:val="18"/>
                <w:szCs w:val="18"/>
                <w14:textFill>
                  <w14:solidFill>
                    <w14:schemeClr w14:val="tx1"/>
                  </w14:solidFill>
                </w14:textFill>
              </w:rPr>
              <w:t>一级</w:t>
            </w:r>
          </w:p>
        </w:tc>
        <w:tc>
          <w:tcPr>
            <w:tcW w:w="2265" w:type="dxa"/>
          </w:tcPr>
          <w:p w14:paraId="4CC3B157">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shd w:val="clear" w:color="auto" w:fill="FFFFFF"/>
                <w14:textFill>
                  <w14:solidFill>
                    <w14:schemeClr w14:val="tx1"/>
                  </w14:solidFill>
                </w14:textFill>
              </w:rPr>
            </w:pPr>
            <w:r>
              <w:rPr>
                <w:rFonts w:hint="default" w:ascii="Times New Roman" w:hAnsi="Times New Roman" w:cs="Times New Roman"/>
                <w:bCs/>
                <w:color w:val="000000" w:themeColor="text1"/>
                <w:sz w:val="18"/>
                <w:szCs w:val="18"/>
                <w:shd w:val="clear" w:color="auto" w:fill="FFFFFF"/>
                <w14:textFill>
                  <w14:solidFill>
                    <w14:schemeClr w14:val="tx1"/>
                  </w14:solidFill>
                </w14:textFill>
              </w:rPr>
              <w:t>P8</w:t>
            </w:r>
          </w:p>
        </w:tc>
        <w:tc>
          <w:tcPr>
            <w:tcW w:w="2265" w:type="dxa"/>
            <w:vAlign w:val="center"/>
          </w:tcPr>
          <w:p w14:paraId="0A7743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bCs/>
                <w:color w:val="000000" w:themeColor="text1"/>
                <w:sz w:val="18"/>
                <w:szCs w:val="18"/>
                <w:shd w:val="clear" w:color="auto" w:fill="FFFFFF"/>
                <w14:textFill>
                  <w14:solidFill>
                    <w14:schemeClr w14:val="tx1"/>
                  </w14:solidFill>
                </w14:textFill>
              </w:rPr>
            </w:pPr>
            <w:r>
              <w:rPr>
                <w:rFonts w:hint="default"/>
                <w:bCs/>
                <w:color w:val="000000" w:themeColor="text1"/>
                <w:sz w:val="18"/>
                <w:szCs w:val="18"/>
                <w:shd w:val="clear" w:color="auto" w:fill="FFFFFF"/>
                <w14:textFill>
                  <w14:solidFill>
                    <w14:schemeClr w14:val="tx1"/>
                  </w14:solidFill>
                </w14:textFill>
              </w:rPr>
              <w:t>P8</w:t>
            </w:r>
          </w:p>
        </w:tc>
        <w:tc>
          <w:tcPr>
            <w:tcW w:w="2265" w:type="dxa"/>
          </w:tcPr>
          <w:p w14:paraId="1C64763D">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shd w:val="clear" w:color="auto" w:fill="FFFFFF"/>
                <w14:textFill>
                  <w14:solidFill>
                    <w14:schemeClr w14:val="tx1"/>
                  </w14:solidFill>
                </w14:textFill>
              </w:rPr>
            </w:pPr>
            <w:r>
              <w:rPr>
                <w:rFonts w:hint="default" w:ascii="Times New Roman" w:hAnsi="Times New Roman" w:cs="Times New Roman"/>
                <w:bCs/>
                <w:color w:val="000000" w:themeColor="text1"/>
                <w:sz w:val="18"/>
                <w:szCs w:val="18"/>
                <w:shd w:val="clear" w:color="auto" w:fill="FFFFFF"/>
                <w14:textFill>
                  <w14:solidFill>
                    <w14:schemeClr w14:val="tx1"/>
                  </w14:solidFill>
                </w14:textFill>
              </w:rPr>
              <w:t>P10</w:t>
            </w:r>
          </w:p>
        </w:tc>
      </w:tr>
      <w:tr w14:paraId="7237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3407D155">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14:textFill>
                  <w14:solidFill>
                    <w14:schemeClr w14:val="tx1"/>
                  </w14:solidFill>
                </w14:textFill>
              </w:rPr>
            </w:pPr>
            <w:r>
              <w:rPr>
                <w:rFonts w:hint="default" w:ascii="Times New Roman" w:hAnsi="Times New Roman" w:cs="Times New Roman"/>
                <w:bCs/>
                <w:color w:val="000000" w:themeColor="text1"/>
                <w:sz w:val="18"/>
                <w:szCs w:val="18"/>
                <w14:textFill>
                  <w14:solidFill>
                    <w14:schemeClr w14:val="tx1"/>
                  </w14:solidFill>
                </w14:textFill>
              </w:rPr>
              <w:t>二级</w:t>
            </w:r>
          </w:p>
        </w:tc>
        <w:tc>
          <w:tcPr>
            <w:tcW w:w="2265" w:type="dxa"/>
          </w:tcPr>
          <w:p w14:paraId="2AF669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bCs/>
                <w:color w:val="000000" w:themeColor="text1"/>
                <w:sz w:val="18"/>
                <w:szCs w:val="18"/>
                <w:shd w:val="clear" w:color="auto" w:fill="FFFFFF"/>
                <w14:textFill>
                  <w14:solidFill>
                    <w14:schemeClr w14:val="tx1"/>
                  </w14:solidFill>
                </w14:textFill>
              </w:rPr>
            </w:pPr>
            <w:r>
              <w:rPr>
                <w:rFonts w:hint="default"/>
                <w:bCs/>
                <w:color w:val="000000" w:themeColor="text1"/>
                <w:sz w:val="18"/>
                <w:szCs w:val="18"/>
                <w:shd w:val="clear" w:color="auto" w:fill="FFFFFF"/>
                <w14:textFill>
                  <w14:solidFill>
                    <w14:schemeClr w14:val="tx1"/>
                  </w14:solidFill>
                </w14:textFill>
              </w:rPr>
              <w:t>P6</w:t>
            </w:r>
          </w:p>
        </w:tc>
        <w:tc>
          <w:tcPr>
            <w:tcW w:w="2265" w:type="dxa"/>
            <w:vAlign w:val="center"/>
          </w:tcPr>
          <w:p w14:paraId="4A39E8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bCs/>
                <w:color w:val="000000" w:themeColor="text1"/>
                <w:sz w:val="18"/>
                <w:szCs w:val="18"/>
                <w:shd w:val="clear" w:color="auto" w:fill="FFFFFF"/>
                <w14:textFill>
                  <w14:solidFill>
                    <w14:schemeClr w14:val="tx1"/>
                  </w14:solidFill>
                </w14:textFill>
              </w:rPr>
            </w:pPr>
            <w:r>
              <w:rPr>
                <w:rFonts w:hint="default"/>
                <w:bCs/>
                <w:color w:val="000000" w:themeColor="text1"/>
                <w:sz w:val="18"/>
                <w:szCs w:val="18"/>
                <w:shd w:val="clear" w:color="auto" w:fill="FFFFFF"/>
                <w14:textFill>
                  <w14:solidFill>
                    <w14:schemeClr w14:val="tx1"/>
                  </w14:solidFill>
                </w14:textFill>
              </w:rPr>
              <w:t>P8</w:t>
            </w:r>
          </w:p>
        </w:tc>
        <w:tc>
          <w:tcPr>
            <w:tcW w:w="2265" w:type="dxa"/>
          </w:tcPr>
          <w:p w14:paraId="2AA40A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bCs/>
                <w:color w:val="000000" w:themeColor="text1"/>
                <w:sz w:val="18"/>
                <w:szCs w:val="18"/>
                <w:shd w:val="clear" w:color="auto" w:fill="FFFFFF"/>
                <w14:textFill>
                  <w14:solidFill>
                    <w14:schemeClr w14:val="tx1"/>
                  </w14:solidFill>
                </w14:textFill>
              </w:rPr>
            </w:pPr>
            <w:r>
              <w:rPr>
                <w:rFonts w:hint="default"/>
                <w:bCs/>
                <w:color w:val="000000" w:themeColor="text1"/>
                <w:sz w:val="18"/>
                <w:szCs w:val="18"/>
                <w:shd w:val="clear" w:color="auto" w:fill="FFFFFF"/>
                <w14:textFill>
                  <w14:solidFill>
                    <w14:schemeClr w14:val="tx1"/>
                  </w14:solidFill>
                </w14:textFill>
              </w:rPr>
              <w:t>P10</w:t>
            </w:r>
          </w:p>
        </w:tc>
      </w:tr>
      <w:tr w14:paraId="3978F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14:paraId="65AE6CC4">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bCs/>
                <w:color w:val="000000" w:themeColor="text1"/>
                <w:sz w:val="18"/>
                <w:szCs w:val="18"/>
                <w14:textFill>
                  <w14:solidFill>
                    <w14:schemeClr w14:val="tx1"/>
                  </w14:solidFill>
                </w14:textFill>
              </w:rPr>
            </w:pPr>
            <w:r>
              <w:rPr>
                <w:rFonts w:hint="default" w:ascii="Times New Roman" w:hAnsi="Times New Roman" w:cs="Times New Roman"/>
                <w:bCs/>
                <w:color w:val="000000" w:themeColor="text1"/>
                <w:sz w:val="18"/>
                <w:szCs w:val="18"/>
                <w14:textFill>
                  <w14:solidFill>
                    <w14:schemeClr w14:val="tx1"/>
                  </w14:solidFill>
                </w14:textFill>
              </w:rPr>
              <w:t>三级</w:t>
            </w:r>
          </w:p>
        </w:tc>
        <w:tc>
          <w:tcPr>
            <w:tcW w:w="2265" w:type="dxa"/>
          </w:tcPr>
          <w:p w14:paraId="6F8F8D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bCs/>
                <w:color w:val="000000" w:themeColor="text1"/>
                <w:sz w:val="18"/>
                <w:szCs w:val="18"/>
                <w:shd w:val="clear" w:color="auto" w:fill="FFFFFF"/>
                <w14:textFill>
                  <w14:solidFill>
                    <w14:schemeClr w14:val="tx1"/>
                  </w14:solidFill>
                </w14:textFill>
              </w:rPr>
            </w:pPr>
            <w:r>
              <w:rPr>
                <w:rFonts w:hint="default"/>
                <w:bCs/>
                <w:color w:val="000000" w:themeColor="text1"/>
                <w:sz w:val="18"/>
                <w:szCs w:val="18"/>
                <w:shd w:val="clear" w:color="auto" w:fill="FFFFFF"/>
                <w14:textFill>
                  <w14:solidFill>
                    <w14:schemeClr w14:val="tx1"/>
                  </w14:solidFill>
                </w14:textFill>
              </w:rPr>
              <w:t>P6</w:t>
            </w:r>
          </w:p>
        </w:tc>
        <w:tc>
          <w:tcPr>
            <w:tcW w:w="2265" w:type="dxa"/>
            <w:vAlign w:val="center"/>
          </w:tcPr>
          <w:p w14:paraId="71278F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bCs/>
                <w:color w:val="000000" w:themeColor="text1"/>
                <w:sz w:val="18"/>
                <w:szCs w:val="18"/>
                <w:shd w:val="clear" w:color="auto" w:fill="FFFFFF"/>
                <w14:textFill>
                  <w14:solidFill>
                    <w14:schemeClr w14:val="tx1"/>
                  </w14:solidFill>
                </w14:textFill>
              </w:rPr>
            </w:pPr>
            <w:r>
              <w:rPr>
                <w:rFonts w:hint="default"/>
                <w:bCs/>
                <w:color w:val="000000" w:themeColor="text1"/>
                <w:sz w:val="18"/>
                <w:szCs w:val="18"/>
                <w:shd w:val="clear" w:color="auto" w:fill="FFFFFF"/>
                <w14:textFill>
                  <w14:solidFill>
                    <w14:schemeClr w14:val="tx1"/>
                  </w14:solidFill>
                </w14:textFill>
              </w:rPr>
              <w:t>P8</w:t>
            </w:r>
          </w:p>
        </w:tc>
        <w:tc>
          <w:tcPr>
            <w:tcW w:w="2265" w:type="dxa"/>
          </w:tcPr>
          <w:p w14:paraId="15A6C2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bCs/>
                <w:color w:val="000000" w:themeColor="text1"/>
                <w:sz w:val="18"/>
                <w:szCs w:val="18"/>
                <w:shd w:val="clear" w:color="auto" w:fill="FFFFFF"/>
                <w14:textFill>
                  <w14:solidFill>
                    <w14:schemeClr w14:val="tx1"/>
                  </w14:solidFill>
                </w14:textFill>
              </w:rPr>
            </w:pPr>
            <w:r>
              <w:rPr>
                <w:rFonts w:hint="default"/>
                <w:bCs/>
                <w:color w:val="000000" w:themeColor="text1"/>
                <w:sz w:val="18"/>
                <w:szCs w:val="18"/>
                <w:shd w:val="clear" w:color="auto" w:fill="FFFFFF"/>
                <w14:textFill>
                  <w14:solidFill>
                    <w14:schemeClr w14:val="tx1"/>
                  </w14:solidFill>
                </w14:textFill>
              </w:rPr>
              <w:t>P8</w:t>
            </w:r>
          </w:p>
        </w:tc>
      </w:tr>
    </w:tbl>
    <w:p w14:paraId="71BC0E5D">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rFonts w:hint="eastAsia"/>
          <w:b/>
          <w:color w:val="000000" w:themeColor="text1"/>
          <w:szCs w:val="21"/>
          <w:shd w:val="clear" w:color="auto" w:fill="FFFFFF"/>
          <w:lang w:val="en-US" w:eastAsia="zh-CN"/>
          <w14:textFill>
            <w14:solidFill>
              <w14:schemeClr w14:val="tx1"/>
            </w14:solidFill>
          </w14:textFill>
        </w:rPr>
        <w:t>0</w:t>
      </w:r>
      <w:r>
        <w:rPr>
          <w:b/>
          <w:color w:val="000000" w:themeColor="text1"/>
          <w:szCs w:val="21"/>
          <w:shd w:val="clear" w:color="auto" w:fill="FFFFFF"/>
          <w14:textFill>
            <w14:solidFill>
              <w14:schemeClr w14:val="tx1"/>
            </w14:solidFill>
          </w14:textFill>
        </w:rPr>
        <w:t>.4</w:t>
      </w:r>
      <w:r>
        <w:rPr>
          <w:bCs/>
          <w:color w:val="000000" w:themeColor="text1"/>
          <w:szCs w:val="21"/>
          <w:shd w:val="clear" w:color="auto" w:fill="FFFFFF"/>
          <w14:textFill>
            <w14:solidFill>
              <w14:schemeClr w14:val="tx1"/>
            </w14:solidFill>
          </w14:textFill>
        </w:rPr>
        <w:t>针对不同结构尺寸、不同强度等级的混凝土提出抗裂要求：</w:t>
      </w:r>
    </w:p>
    <w:p w14:paraId="567FF5F4">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早期开裂面积：结构最小截面尺寸≤250mm的薄板结构开裂主要是早期塑性收缩开裂，宜采用早期抗裂试验方法评价掺加防水剂的</w:t>
      </w:r>
      <w:r>
        <w:rPr>
          <w:rFonts w:hint="eastAsia"/>
          <w:bCs/>
          <w:color w:val="000000" w:themeColor="text1"/>
          <w:szCs w:val="21"/>
          <w:shd w:val="clear" w:color="auto" w:fill="FFFFFF"/>
          <w:lang w:eastAsia="zh-CN"/>
          <w14:textFill>
            <w14:solidFill>
              <w14:schemeClr w14:val="tx1"/>
            </w14:solidFill>
          </w14:textFill>
        </w:rPr>
        <w:t>混凝土</w:t>
      </w:r>
      <w:r>
        <w:rPr>
          <w:bCs/>
          <w:color w:val="000000" w:themeColor="text1"/>
          <w:szCs w:val="21"/>
          <w:shd w:val="clear" w:color="auto" w:fill="FFFFFF"/>
          <w14:textFill>
            <w14:solidFill>
              <w14:schemeClr w14:val="tx1"/>
            </w14:solidFill>
          </w14:textFill>
        </w:rPr>
        <w:t>抗裂性能。早期抗裂性能不应低于现行行业标准《混凝土耐久性检验评定标准》JGJ/T 193中的L-IV级（100mm</w:t>
      </w:r>
      <w:r>
        <w:rPr>
          <w:bCs/>
          <w:color w:val="000000" w:themeColor="text1"/>
          <w:szCs w:val="21"/>
          <w:shd w:val="clear" w:color="auto" w:fill="FFFFFF"/>
          <w:vertAlign w:val="superscript"/>
          <w14:textFill>
            <w14:solidFill>
              <w14:schemeClr w14:val="tx1"/>
            </w14:solidFill>
          </w14:textFill>
        </w:rPr>
        <w:t>2</w:t>
      </w:r>
      <w:r>
        <w:rPr>
          <w:bCs/>
          <w:color w:val="000000" w:themeColor="text1"/>
          <w:szCs w:val="21"/>
          <w:shd w:val="clear" w:color="auto" w:fill="FFFFFF"/>
          <w14:textFill>
            <w14:solidFill>
              <w14:schemeClr w14:val="tx1"/>
            </w14:solidFill>
          </w14:textFill>
        </w:rPr>
        <w:t>/m</w:t>
      </w:r>
      <w:r>
        <w:rPr>
          <w:bCs/>
          <w:color w:val="000000" w:themeColor="text1"/>
          <w:szCs w:val="21"/>
          <w:shd w:val="clear" w:color="auto" w:fill="FFFFFF"/>
          <w:vertAlign w:val="superscript"/>
          <w14:textFill>
            <w14:solidFill>
              <w14:schemeClr w14:val="tx1"/>
            </w14:solidFill>
          </w14:textFill>
        </w:rPr>
        <w:t>2</w:t>
      </w:r>
      <w:r>
        <w:rPr>
          <w:bCs/>
          <w:color w:val="000000" w:themeColor="text1"/>
          <w:szCs w:val="21"/>
          <w:shd w:val="clear" w:color="auto" w:fill="FFFFFF"/>
          <w14:textFill>
            <w14:solidFill>
              <w14:schemeClr w14:val="tx1"/>
            </w14:solidFill>
          </w14:textFill>
        </w:rPr>
        <w:t>≤c&lt;400mm</w:t>
      </w:r>
      <w:r>
        <w:rPr>
          <w:bCs/>
          <w:color w:val="000000" w:themeColor="text1"/>
          <w:szCs w:val="21"/>
          <w:shd w:val="clear" w:color="auto" w:fill="FFFFFF"/>
          <w:vertAlign w:val="superscript"/>
          <w14:textFill>
            <w14:solidFill>
              <w14:schemeClr w14:val="tx1"/>
            </w14:solidFill>
          </w14:textFill>
        </w:rPr>
        <w:t>2</w:t>
      </w:r>
      <w:r>
        <w:rPr>
          <w:bCs/>
          <w:color w:val="000000" w:themeColor="text1"/>
          <w:szCs w:val="21"/>
          <w:shd w:val="clear" w:color="auto" w:fill="FFFFFF"/>
          <w14:textFill>
            <w14:solidFill>
              <w14:schemeClr w14:val="tx1"/>
            </w14:solidFill>
          </w14:textFill>
        </w:rPr>
        <w:t>/m</w:t>
      </w:r>
      <w:r>
        <w:rPr>
          <w:bCs/>
          <w:color w:val="000000" w:themeColor="text1"/>
          <w:szCs w:val="21"/>
          <w:shd w:val="clear" w:color="auto" w:fill="FFFFFF"/>
          <w:vertAlign w:val="superscript"/>
          <w14:textFill>
            <w14:solidFill>
              <w14:schemeClr w14:val="tx1"/>
            </w14:solidFill>
          </w14:textFill>
        </w:rPr>
        <w:t>2</w:t>
      </w:r>
      <w:r>
        <w:rPr>
          <w:bCs/>
          <w:color w:val="000000" w:themeColor="text1"/>
          <w:szCs w:val="21"/>
          <w:shd w:val="clear" w:color="auto" w:fill="FFFFFF"/>
          <w14:textFill>
            <w14:solidFill>
              <w14:schemeClr w14:val="tx1"/>
            </w14:solidFill>
          </w14:textFill>
        </w:rPr>
        <w:t>）。</w:t>
      </w:r>
    </w:p>
    <w:p w14:paraId="060B6856">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干燥收缩率：针对掺加防水剂的</w:t>
      </w:r>
      <w:r>
        <w:rPr>
          <w:rFonts w:hint="eastAsia"/>
          <w:bCs/>
          <w:color w:val="000000" w:themeColor="text1"/>
          <w:szCs w:val="21"/>
          <w:shd w:val="clear" w:color="auto" w:fill="FFFFFF"/>
          <w:lang w:eastAsia="zh-CN"/>
          <w14:textFill>
            <w14:solidFill>
              <w14:schemeClr w14:val="tx1"/>
            </w14:solidFill>
          </w14:textFill>
        </w:rPr>
        <w:t>混凝土</w:t>
      </w:r>
      <w:r>
        <w:rPr>
          <w:bCs/>
          <w:color w:val="000000" w:themeColor="text1"/>
          <w:szCs w:val="21"/>
          <w:shd w:val="clear" w:color="auto" w:fill="FFFFFF"/>
          <w14:textFill>
            <w14:solidFill>
              <w14:schemeClr w14:val="tx1"/>
            </w14:solidFill>
          </w14:textFill>
        </w:rPr>
        <w:t>提出干燥收缩率的技术要求。日本建筑学会标准《钢筋混凝土工程》JASS5 第23章防水混凝土规定，防水混凝土干燥收缩率不应大于800×10</w:t>
      </w:r>
      <w:r>
        <w:rPr>
          <w:bCs/>
          <w:color w:val="000000" w:themeColor="text1"/>
          <w:szCs w:val="21"/>
          <w:shd w:val="clear" w:color="auto" w:fill="FFFFFF"/>
          <w:vertAlign w:val="superscript"/>
          <w14:textFill>
            <w14:solidFill>
              <w14:schemeClr w14:val="tx1"/>
            </w14:solidFill>
          </w14:textFill>
        </w:rPr>
        <w:t>-6</w:t>
      </w:r>
      <w:r>
        <w:rPr>
          <w:bCs/>
          <w:color w:val="000000" w:themeColor="text1"/>
          <w:szCs w:val="21"/>
          <w:shd w:val="clear" w:color="auto" w:fill="FFFFFF"/>
          <w14:textFill>
            <w14:solidFill>
              <w14:schemeClr w14:val="tx1"/>
            </w14:solidFill>
          </w14:textFill>
        </w:rPr>
        <w:t>（JISS A 1129规定的方法，龄期12个月测定值），其试验方法与我国现行国家标准《普通混凝土长期性能和耐久性能试验方法标准》GB/T 50082中非接触法基本相当。但是《普通混凝土长期性能和耐久性能试验方法标准》GB/T 50082规定的360d终极收缩率值测试时间太长，使用不方便。根据《混凝土的收缩》（黄国兴、惠荣炎编著，中国铁道出版社1990北京，第100页）建议的收缩时间影响系数，龄期60d取0.54，龄期365d取0.87，相对于365d，龄期60d的系数为0.54/0.87=0.62，则0.62×800×10</w:t>
      </w:r>
      <w:r>
        <w:rPr>
          <w:bCs/>
          <w:color w:val="000000" w:themeColor="text1"/>
          <w:szCs w:val="21"/>
          <w:shd w:val="clear" w:color="auto" w:fill="FFFFFF"/>
          <w:vertAlign w:val="superscript"/>
          <w14:textFill>
            <w14:solidFill>
              <w14:schemeClr w14:val="tx1"/>
            </w14:solidFill>
          </w14:textFill>
        </w:rPr>
        <w:t>-6</w:t>
      </w:r>
      <w:r>
        <w:rPr>
          <w:bCs/>
          <w:color w:val="000000" w:themeColor="text1"/>
          <w:szCs w:val="21"/>
          <w:shd w:val="clear" w:color="auto" w:fill="FFFFFF"/>
          <w14:textFill>
            <w14:solidFill>
              <w14:schemeClr w14:val="tx1"/>
            </w14:solidFill>
          </w14:textFill>
        </w:rPr>
        <w:t>=496×10</w:t>
      </w:r>
      <w:r>
        <w:rPr>
          <w:bCs/>
          <w:color w:val="000000" w:themeColor="text1"/>
          <w:szCs w:val="21"/>
          <w:shd w:val="clear" w:color="auto" w:fill="FFFFFF"/>
          <w:vertAlign w:val="superscript"/>
          <w14:textFill>
            <w14:solidFill>
              <w14:schemeClr w14:val="tx1"/>
            </w14:solidFill>
          </w14:textFill>
        </w:rPr>
        <w:t>-6</w:t>
      </w:r>
      <w:r>
        <w:rPr>
          <w:bCs/>
          <w:color w:val="000000" w:themeColor="text1"/>
          <w:szCs w:val="21"/>
          <w:shd w:val="clear" w:color="auto" w:fill="FFFFFF"/>
          <w14:textFill>
            <w14:solidFill>
              <w14:schemeClr w14:val="tx1"/>
            </w14:solidFill>
          </w14:textFill>
        </w:rPr>
        <w:t>，本规范规定为400×10</w:t>
      </w:r>
      <w:r>
        <w:rPr>
          <w:bCs/>
          <w:color w:val="000000" w:themeColor="text1"/>
          <w:szCs w:val="21"/>
          <w:shd w:val="clear" w:color="auto" w:fill="FFFFFF"/>
          <w:vertAlign w:val="superscript"/>
          <w14:textFill>
            <w14:solidFill>
              <w14:schemeClr w14:val="tx1"/>
            </w14:solidFill>
          </w14:textFill>
        </w:rPr>
        <w:t>-6</w:t>
      </w:r>
      <w:r>
        <w:rPr>
          <w:bCs/>
          <w:color w:val="000000" w:themeColor="text1"/>
          <w:szCs w:val="21"/>
          <w:shd w:val="clear" w:color="auto" w:fill="FFFFFF"/>
          <w14:textFill>
            <w14:solidFill>
              <w14:schemeClr w14:val="tx1"/>
            </w14:solidFill>
          </w14:textFill>
        </w:rPr>
        <w:t>，略严于日本标准。</w:t>
      </w:r>
    </w:p>
    <w:p w14:paraId="7EAE64C9">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温升值：地下工程中防水混凝土的抗裂性非常重要，温度应力引起的冷缩以及混凝土失水引起的干缩是导致防水混凝土产生收缩裂缝的主因，尤其是早期裂缝，主要是由冷缩所致。</w:t>
      </w:r>
      <w:r>
        <w:rPr>
          <w:rFonts w:hint="eastAsia"/>
          <w:bCs/>
          <w:color w:val="000000" w:themeColor="text1"/>
          <w:szCs w:val="21"/>
          <w:shd w:val="clear" w:color="auto" w:fill="FFFFFF"/>
          <w:lang w:val="en-US" w:eastAsia="zh-CN"/>
          <w14:textFill>
            <w14:solidFill>
              <w14:schemeClr w14:val="tx1"/>
            </w14:solidFill>
          </w14:textFill>
        </w:rPr>
        <w:t>现行</w:t>
      </w:r>
      <w:r>
        <w:rPr>
          <w:bCs/>
          <w:color w:val="000000" w:themeColor="text1"/>
          <w:szCs w:val="21"/>
          <w:shd w:val="clear" w:color="auto" w:fill="FFFFFF"/>
          <w14:textFill>
            <w14:solidFill>
              <w14:schemeClr w14:val="tx1"/>
            </w14:solidFill>
          </w14:textFill>
        </w:rPr>
        <w:t>国家标准《大体积混凝土施工标准》GB 50496的3.0.4条规定，混凝土浇筑体在入模温度基础上的温升值不宜大于50℃，由于防水混凝土对裂缝的要求高于一般大体积混凝土，故本规范规定温升值不宜大于40℃。</w:t>
      </w:r>
    </w:p>
    <w:p w14:paraId="035D600B">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rFonts w:hint="eastAsia"/>
          <w:b/>
          <w:color w:val="000000" w:themeColor="text1"/>
          <w:szCs w:val="21"/>
          <w:shd w:val="clear" w:color="auto" w:fill="FFFFFF"/>
          <w:lang w:val="en-US" w:eastAsia="zh-CN"/>
          <w14:textFill>
            <w14:solidFill>
              <w14:schemeClr w14:val="tx1"/>
            </w14:solidFill>
          </w14:textFill>
        </w:rPr>
        <w:t>0</w:t>
      </w:r>
      <w:r>
        <w:rPr>
          <w:b/>
          <w:color w:val="000000" w:themeColor="text1"/>
          <w:szCs w:val="21"/>
          <w:shd w:val="clear" w:color="auto" w:fill="FFFFFF"/>
          <w14:textFill>
            <w14:solidFill>
              <w14:schemeClr w14:val="tx1"/>
            </w14:solidFill>
          </w14:textFill>
        </w:rPr>
        <w:t>.5</w:t>
      </w:r>
      <w:r>
        <w:rPr>
          <w:bCs/>
          <w:color w:val="000000" w:themeColor="text1"/>
          <w:szCs w:val="21"/>
          <w:shd w:val="clear" w:color="auto" w:fill="FFFFFF"/>
          <w14:textFill>
            <w14:solidFill>
              <w14:schemeClr w14:val="tx1"/>
            </w14:solidFill>
          </w14:textFill>
        </w:rPr>
        <w:t>具有良好的抗渗性和抗裂性既是混凝土结构工程防水的根本要求，也是耐久性的根本要求。因此本规程规定，混凝土结构防水工程应进行耐久性设计。目前，国内有关混凝土结构的耐久性设计标准中，国家标准有《混凝土结构耐久性设计标准》GB/T 50476，铁路行业标准有《铁路混凝土结构耐久性设计规范》TB 10005，公路行业标准有《公路工程混凝土结构耐久性设计规范》JTG/T 3310，水运行业标准有《</w:t>
      </w:r>
      <w:r>
        <w:fldChar w:fldCharType="begin"/>
      </w:r>
      <w:r>
        <w:instrText xml:space="preserve"> HYPERLINK "http://www.baidu.com/link?url=ZsQ2-ZHztbj6ApxBbc6s0v9kqd_DGbJqVqviGSHGIHC6Ar6EE3sX2d2w4ULmWFly9BovRYYnNtV9Y8w8d5Sjpa" \t "https://www.baidu.com/_blank" </w:instrText>
      </w:r>
      <w:r>
        <w:fldChar w:fldCharType="separate"/>
      </w:r>
      <w:r>
        <w:rPr>
          <w:bCs/>
          <w:color w:val="000000" w:themeColor="text1"/>
          <w:szCs w:val="21"/>
          <w:shd w:val="clear" w:color="auto" w:fill="FFFFFF"/>
          <w14:textFill>
            <w14:solidFill>
              <w14:schemeClr w14:val="tx1"/>
            </w14:solidFill>
          </w14:textFill>
        </w:rPr>
        <w:t>水运工程结构耐久性设计标准</w:t>
      </w:r>
      <w:r>
        <w:rPr>
          <w:bCs/>
          <w:color w:val="000000" w:themeColor="text1"/>
          <w:szCs w:val="21"/>
          <w:shd w:val="clear" w:color="auto" w:fill="FFFFFF"/>
          <w14:textFill>
            <w14:solidFill>
              <w14:schemeClr w14:val="tx1"/>
            </w14:solidFill>
          </w14:textFill>
        </w:rPr>
        <w:fldChar w:fldCharType="end"/>
      </w:r>
      <w:r>
        <w:rPr>
          <w:bCs/>
          <w:color w:val="000000" w:themeColor="text1"/>
          <w:szCs w:val="21"/>
          <w:shd w:val="clear" w:color="auto" w:fill="FFFFFF"/>
          <w14:textFill>
            <w14:solidFill>
              <w14:schemeClr w14:val="tx1"/>
            </w14:solidFill>
          </w14:textFill>
        </w:rPr>
        <w:t>》JTS 153等，《工业建筑防腐蚀设计标准》GB/T 50046针对受腐蚀性介质作用的工业建筑也做了相应规定。行业标准相对国家标准提出了更为详细严格的要求，不同行业的工程还应满足本行业的混凝土结构耐久性设计标准。</w:t>
      </w:r>
    </w:p>
    <w:p w14:paraId="303A4490">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rFonts w:hint="eastAsia"/>
          <w:b/>
          <w:color w:val="000000" w:themeColor="text1"/>
          <w:szCs w:val="21"/>
          <w:shd w:val="clear" w:color="auto" w:fill="FFFFFF"/>
          <w:lang w:val="en-US" w:eastAsia="zh-CN"/>
          <w14:textFill>
            <w14:solidFill>
              <w14:schemeClr w14:val="tx1"/>
            </w14:solidFill>
          </w14:textFill>
        </w:rPr>
        <w:t>0</w:t>
      </w:r>
      <w:r>
        <w:rPr>
          <w:b/>
          <w:color w:val="000000" w:themeColor="text1"/>
          <w:szCs w:val="21"/>
          <w:shd w:val="clear" w:color="auto" w:fill="FFFFFF"/>
          <w14:textFill>
            <w14:solidFill>
              <w14:schemeClr w14:val="tx1"/>
            </w14:solidFill>
          </w14:textFill>
        </w:rPr>
        <w:t>.6</w:t>
      </w:r>
      <w:r>
        <w:rPr>
          <w:bCs/>
          <w:color w:val="000000" w:themeColor="text1"/>
          <w:szCs w:val="21"/>
          <w:shd w:val="clear" w:color="auto" w:fill="FFFFFF"/>
          <w14:textFill>
            <w14:solidFill>
              <w14:schemeClr w14:val="tx1"/>
            </w14:solidFill>
          </w14:textFill>
        </w:rPr>
        <w:t>国内建设的高速发展，造成现浇大体积、大面积和超长混凝土的开裂情况不断增多，掺加膨胀剂配制补偿收缩混凝土是一种较好的解决手段。膨胀加强带是一种旨在提高混凝土结构抗裂性能的技术措施。施工中采用膨胀加强带的目的是代替后浇带，进一步简化施工工艺，所以一般设置在后浇带的位置。为了有效发挥膨胀效果，增加长度方向的膨胀绝对量，其宽度应该比后浇带更宽一些；膨胀加强带是一种“抗”的措施。膨胀加强带的构造与后浇带基本相同，但是在较厚的板中，一般不用设止水带。工程技术人员可以根据</w:t>
      </w:r>
      <w:r>
        <w:rPr>
          <w:rFonts w:hint="eastAsia"/>
          <w:bCs/>
          <w:color w:val="000000" w:themeColor="text1"/>
          <w:szCs w:val="21"/>
          <w:shd w:val="clear" w:color="auto" w:fill="FFFFFF"/>
          <w:lang w:val="en-US" w:eastAsia="zh-CN"/>
          <w14:textFill>
            <w14:solidFill>
              <w14:schemeClr w14:val="tx1"/>
            </w14:solidFill>
          </w14:textFill>
        </w:rPr>
        <w:t>现行行业标准</w:t>
      </w:r>
      <w:r>
        <w:rPr>
          <w:bCs/>
          <w:color w:val="000000" w:themeColor="text1"/>
          <w:szCs w:val="21"/>
          <w:shd w:val="clear" w:color="auto" w:fill="FFFFFF"/>
          <w14:textFill>
            <w14:solidFill>
              <w14:schemeClr w14:val="tx1"/>
            </w14:solidFill>
          </w14:textFill>
        </w:rPr>
        <w:t>《补偿收缩混凝土应用技术规程》JGJ/T 178和工程特点选择更合理的构造形式。</w:t>
      </w:r>
    </w:p>
    <w:p w14:paraId="4665157D">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跳仓法也是一种在大体积、超长混凝土施工中经常采用的方法，其核心理念是“抗与放”的设计原则。具体而言，跳仓法将超长的混凝土块体划分为若干小块体，间隔施工，经过短期的应力释放后，再将若干小块体连成整体，依靠混凝土抗拉强度抵抗后续的温度收缩应力。跳仓法有效控制超长、超厚、大体积混凝土的裂缝产生。在实际应用中，跳仓法需要根据具体的工程情况、混凝土性能以及设计要求等因素进行合理规划和施工。</w:t>
      </w:r>
    </w:p>
    <w:p w14:paraId="2EF639B2">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rFonts w:hint="eastAsia"/>
          <w:b/>
          <w:color w:val="000000" w:themeColor="text1"/>
          <w:szCs w:val="21"/>
          <w:shd w:val="clear" w:color="auto" w:fill="FFFFFF"/>
          <w:lang w:val="en-US" w:eastAsia="zh-CN"/>
          <w14:textFill>
            <w14:solidFill>
              <w14:schemeClr w14:val="tx1"/>
            </w14:solidFill>
          </w14:textFill>
        </w:rPr>
        <w:t>0</w:t>
      </w:r>
      <w:r>
        <w:rPr>
          <w:b/>
          <w:color w:val="000000" w:themeColor="text1"/>
          <w:szCs w:val="21"/>
          <w:shd w:val="clear" w:color="auto" w:fill="FFFFFF"/>
          <w14:textFill>
            <w14:solidFill>
              <w14:schemeClr w14:val="tx1"/>
            </w14:solidFill>
          </w14:textFill>
        </w:rPr>
        <w:t>.7</w:t>
      </w:r>
      <w:r>
        <w:rPr>
          <w:bCs/>
          <w:color w:val="000000" w:themeColor="text1"/>
          <w:szCs w:val="21"/>
          <w:shd w:val="clear" w:color="auto" w:fill="FFFFFF"/>
          <w14:textFill>
            <w14:solidFill>
              <w14:schemeClr w14:val="tx1"/>
            </w14:solidFill>
          </w14:textFill>
        </w:rPr>
        <w:t>当</w:t>
      </w:r>
      <w:r>
        <w:rPr>
          <w:rFonts w:hint="eastAsia"/>
          <w:bCs/>
          <w:color w:val="000000" w:themeColor="text1"/>
          <w:szCs w:val="21"/>
          <w:shd w:val="clear" w:color="auto" w:fill="FFFFFF"/>
          <w:lang w:val="en-US" w:eastAsia="zh-CN"/>
          <w14:textFill>
            <w14:solidFill>
              <w14:schemeClr w14:val="tx1"/>
            </w14:solidFill>
          </w14:textFill>
        </w:rPr>
        <w:t>掺加防水剂的</w:t>
      </w:r>
      <w:r>
        <w:rPr>
          <w:rFonts w:hint="eastAsia"/>
          <w:bCs/>
          <w:color w:val="000000" w:themeColor="text1"/>
          <w:szCs w:val="21"/>
          <w:shd w:val="clear" w:color="auto" w:fill="FFFFFF"/>
          <w:lang w:eastAsia="zh-CN"/>
          <w14:textFill>
            <w14:solidFill>
              <w14:schemeClr w14:val="tx1"/>
            </w14:solidFill>
          </w14:textFill>
        </w:rPr>
        <w:t>混凝土</w:t>
      </w:r>
      <w:r>
        <w:rPr>
          <w:bCs/>
          <w:color w:val="000000" w:themeColor="text1"/>
          <w:szCs w:val="21"/>
          <w:shd w:val="clear" w:color="auto" w:fill="FFFFFF"/>
          <w14:textFill>
            <w14:solidFill>
              <w14:schemeClr w14:val="tx1"/>
            </w14:solidFill>
          </w14:textFill>
        </w:rPr>
        <w:t>用于具有一定温度的工作环境时，其抗渗性能随着温度升高而降低，温度越高则降低越显著。根据原冶金工业部建筑研究总院的研究结果，当温度超过250℃时，混凝土几乎失去抗渗能力（表b-</w:t>
      </w:r>
      <w:r>
        <w:rPr>
          <w:rFonts w:hint="eastAsia"/>
          <w:bCs/>
          <w:color w:val="000000" w:themeColor="text1"/>
          <w:szCs w:val="21"/>
          <w:shd w:val="clear" w:color="auto" w:fill="FFFFFF"/>
          <w:lang w:val="en-US" w:eastAsia="zh-CN"/>
          <w14:textFill>
            <w14:solidFill>
              <w14:schemeClr w14:val="tx1"/>
            </w14:solidFill>
          </w14:textFill>
        </w:rPr>
        <w:t>2</w:t>
      </w:r>
      <w:r>
        <w:rPr>
          <w:bCs/>
          <w:color w:val="000000" w:themeColor="text1"/>
          <w:szCs w:val="21"/>
          <w:shd w:val="clear" w:color="auto" w:fill="FFFFFF"/>
          <w14:textFill>
            <w14:solidFill>
              <w14:schemeClr w14:val="tx1"/>
            </w14:solidFill>
          </w14:textFill>
        </w:rPr>
        <w:t>）。</w:t>
      </w:r>
    </w:p>
    <w:p w14:paraId="371040F9">
      <w:pPr>
        <w:pStyle w:val="34"/>
        <w:rPr>
          <w:rFonts w:eastAsia="宋体" w:cs="Times New Roman"/>
          <w:bCs/>
          <w:color w:val="000000" w:themeColor="text1"/>
          <w:szCs w:val="18"/>
          <w14:textFill>
            <w14:solidFill>
              <w14:schemeClr w14:val="tx1"/>
            </w14:solidFill>
          </w14:textFill>
        </w:rPr>
      </w:pPr>
      <w:r>
        <w:rPr>
          <w:rFonts w:eastAsia="宋体" w:cs="Times New Roman"/>
          <w:bCs/>
          <w:color w:val="000000" w:themeColor="text1"/>
          <w:szCs w:val="18"/>
          <w14:textFill>
            <w14:solidFill>
              <w14:schemeClr w14:val="tx1"/>
            </w14:solidFill>
          </w14:textFill>
        </w:rPr>
        <w:t>表</w:t>
      </w:r>
      <w:r>
        <w:rPr>
          <w:rFonts w:eastAsia="宋体" w:cs="Times New Roman"/>
          <w:bCs/>
          <w:color w:val="000000" w:themeColor="text1"/>
          <w:szCs w:val="18"/>
          <w:shd w:val="clear" w:color="auto" w:fill="FFFFFF"/>
          <w14:textFill>
            <w14:solidFill>
              <w14:schemeClr w14:val="tx1"/>
            </w14:solidFill>
          </w14:textFill>
        </w:rPr>
        <w:t>b-</w:t>
      </w:r>
      <w:r>
        <w:rPr>
          <w:rFonts w:hint="eastAsia" w:eastAsia="宋体" w:cs="Times New Roman"/>
          <w:bCs/>
          <w:color w:val="000000" w:themeColor="text1"/>
          <w:szCs w:val="18"/>
          <w:shd w:val="clear" w:color="auto" w:fill="FFFFFF"/>
          <w:lang w:val="en-US" w:eastAsia="zh-CN"/>
          <w14:textFill>
            <w14:solidFill>
              <w14:schemeClr w14:val="tx1"/>
            </w14:solidFill>
          </w14:textFill>
        </w:rPr>
        <w:t>2</w:t>
      </w:r>
      <w:r>
        <w:rPr>
          <w:rFonts w:eastAsia="宋体" w:cs="Times New Roman"/>
          <w:bCs/>
          <w:color w:val="000000" w:themeColor="text1"/>
          <w:szCs w:val="18"/>
          <w14:textFill>
            <w14:solidFill>
              <w14:schemeClr w14:val="tx1"/>
            </w14:solidFill>
          </w14:textFill>
        </w:rPr>
        <w:t>不同加热温度的</w:t>
      </w:r>
      <w:r>
        <w:rPr>
          <w:rFonts w:hint="eastAsia" w:eastAsia="宋体" w:cs="Times New Roman"/>
          <w:bCs/>
          <w:color w:val="000000" w:themeColor="text1"/>
          <w:szCs w:val="18"/>
          <w:lang w:val="en-US" w:eastAsia="zh-CN"/>
          <w14:textFill>
            <w14:solidFill>
              <w14:schemeClr w14:val="tx1"/>
            </w14:solidFill>
          </w14:textFill>
        </w:rPr>
        <w:t>掺加防水剂的</w:t>
      </w:r>
      <w:r>
        <w:rPr>
          <w:rFonts w:eastAsia="宋体" w:cs="Times New Roman"/>
          <w:bCs/>
          <w:color w:val="000000" w:themeColor="text1"/>
          <w:szCs w:val="18"/>
          <w14:textFill>
            <w14:solidFill>
              <w14:schemeClr w14:val="tx1"/>
            </w14:solidFill>
          </w14:textFill>
        </w:rPr>
        <w:t>混凝土抗渗性能</w:t>
      </w:r>
    </w:p>
    <w:tbl>
      <w:tblPr>
        <w:tblStyle w:val="17"/>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4741"/>
        <w:gridCol w:w="4545"/>
      </w:tblGrid>
      <w:tr w14:paraId="20110BE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jc w:val="center"/>
        </w:trPr>
        <w:tc>
          <w:tcPr>
            <w:tcW w:w="2553" w:type="pct"/>
            <w:vAlign w:val="center"/>
          </w:tcPr>
          <w:p w14:paraId="05996C19">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加热温度（℃）</w:t>
            </w:r>
          </w:p>
        </w:tc>
        <w:tc>
          <w:tcPr>
            <w:tcW w:w="2447" w:type="pct"/>
            <w:vAlign w:val="center"/>
          </w:tcPr>
          <w:p w14:paraId="69D4B42D">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抗渗压力（MPa）</w:t>
            </w:r>
          </w:p>
        </w:tc>
      </w:tr>
      <w:tr w14:paraId="0BB1731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553" w:type="pct"/>
            <w:vAlign w:val="center"/>
          </w:tcPr>
          <w:p w14:paraId="490333F3">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常温</w:t>
            </w:r>
          </w:p>
        </w:tc>
        <w:tc>
          <w:tcPr>
            <w:tcW w:w="2447" w:type="pct"/>
            <w:vAlign w:val="center"/>
          </w:tcPr>
          <w:p w14:paraId="1AECDB9A">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1.8</w:t>
            </w:r>
          </w:p>
        </w:tc>
      </w:tr>
      <w:tr w14:paraId="5658495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553" w:type="pct"/>
            <w:vAlign w:val="center"/>
          </w:tcPr>
          <w:p w14:paraId="319A2D60">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100</w:t>
            </w:r>
          </w:p>
        </w:tc>
        <w:tc>
          <w:tcPr>
            <w:tcW w:w="2447" w:type="pct"/>
            <w:vAlign w:val="center"/>
          </w:tcPr>
          <w:p w14:paraId="02CB8FCC">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1.1</w:t>
            </w:r>
          </w:p>
        </w:tc>
      </w:tr>
      <w:tr w14:paraId="03F62C4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553" w:type="pct"/>
            <w:vAlign w:val="center"/>
          </w:tcPr>
          <w:p w14:paraId="14038733">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150</w:t>
            </w:r>
          </w:p>
        </w:tc>
        <w:tc>
          <w:tcPr>
            <w:tcW w:w="2447" w:type="pct"/>
            <w:vAlign w:val="center"/>
          </w:tcPr>
          <w:p w14:paraId="66667728">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0.8</w:t>
            </w:r>
          </w:p>
        </w:tc>
      </w:tr>
      <w:tr w14:paraId="5B62D7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553" w:type="pct"/>
            <w:vAlign w:val="center"/>
          </w:tcPr>
          <w:p w14:paraId="160C4A40">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200</w:t>
            </w:r>
          </w:p>
        </w:tc>
        <w:tc>
          <w:tcPr>
            <w:tcW w:w="2447" w:type="pct"/>
            <w:vAlign w:val="center"/>
          </w:tcPr>
          <w:p w14:paraId="70893929">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0.7</w:t>
            </w:r>
          </w:p>
        </w:tc>
      </w:tr>
      <w:tr w14:paraId="61DC4F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553" w:type="pct"/>
            <w:vAlign w:val="center"/>
          </w:tcPr>
          <w:p w14:paraId="79FCA6C2">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250</w:t>
            </w:r>
          </w:p>
        </w:tc>
        <w:tc>
          <w:tcPr>
            <w:tcW w:w="2447" w:type="pct"/>
            <w:vAlign w:val="center"/>
          </w:tcPr>
          <w:p w14:paraId="6C966CE4">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0.6</w:t>
            </w:r>
          </w:p>
        </w:tc>
      </w:tr>
      <w:tr w14:paraId="32076A3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2553" w:type="pct"/>
            <w:vAlign w:val="center"/>
          </w:tcPr>
          <w:p w14:paraId="5BF4177C">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300</w:t>
            </w:r>
          </w:p>
        </w:tc>
        <w:tc>
          <w:tcPr>
            <w:tcW w:w="2447" w:type="pct"/>
            <w:vAlign w:val="center"/>
          </w:tcPr>
          <w:p w14:paraId="3E35D3B4">
            <w:pPr>
              <w:keepNext w:val="0"/>
              <w:keepLines w:val="0"/>
              <w:suppressLineNumbers w:val="0"/>
              <w:spacing w:before="0" w:beforeAutospacing="0" w:after="0" w:afterAutospacing="0" w:line="300" w:lineRule="exact"/>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0.4</w:t>
            </w:r>
          </w:p>
        </w:tc>
      </w:tr>
    </w:tbl>
    <w:p w14:paraId="6181D6C8">
      <w:pPr>
        <w:spacing w:line="360" w:lineRule="auto"/>
        <w:ind w:firstLine="480" w:firstLineChars="200"/>
        <w:rPr>
          <w:rFonts w:eastAsia="仿宋"/>
          <w:bCs/>
          <w:color w:val="000000" w:themeColor="text1"/>
          <w:sz w:val="24"/>
          <w:shd w:val="clear" w:color="auto" w:fill="FFFFFF"/>
          <w14:textFill>
            <w14:solidFill>
              <w14:schemeClr w14:val="tx1"/>
            </w14:solidFill>
          </w14:textFill>
        </w:rPr>
      </w:pPr>
    </w:p>
    <w:p w14:paraId="4D198F98">
      <w:pPr>
        <w:rPr>
          <w:rFonts w:eastAsia="仿宋"/>
          <w:bCs/>
          <w:color w:val="000000" w:themeColor="text1"/>
          <w:sz w:val="24"/>
          <w:shd w:val="clear" w:color="auto" w:fill="FFFFFF"/>
          <w14:textFill>
            <w14:solidFill>
              <w14:schemeClr w14:val="tx1"/>
            </w14:solidFill>
          </w14:textFill>
        </w:rPr>
      </w:pPr>
      <w:r>
        <w:rPr>
          <w:rFonts w:eastAsia="仿宋"/>
          <w:bCs/>
          <w:color w:val="000000" w:themeColor="text1"/>
          <w:sz w:val="24"/>
          <w:shd w:val="clear" w:color="auto" w:fill="FFFFFF"/>
          <w14:textFill>
            <w14:solidFill>
              <w14:schemeClr w14:val="tx1"/>
            </w14:solidFill>
          </w14:textFill>
        </w:rPr>
        <w:br w:type="page"/>
      </w:r>
    </w:p>
    <w:p w14:paraId="68A6AB5C">
      <w:pPr>
        <w:pStyle w:val="2"/>
        <w:spacing w:before="312" w:beforeLines="100" w:after="312" w:afterLines="100" w:line="360" w:lineRule="auto"/>
        <w:jc w:val="center"/>
        <w:rPr>
          <w:sz w:val="30"/>
          <w:szCs w:val="30"/>
        </w:rPr>
      </w:pPr>
      <w:bookmarkStart w:id="122" w:name="_Toc13939"/>
      <w:bookmarkStart w:id="123" w:name="_Toc222865173"/>
      <w:bookmarkStart w:id="124" w:name="_Toc222866269"/>
      <w:bookmarkStart w:id="125" w:name="_Toc222865925"/>
      <w:r>
        <w:rPr>
          <w:sz w:val="30"/>
          <w:szCs w:val="30"/>
        </w:rPr>
        <w:t>5 原材料</w:t>
      </w:r>
      <w:bookmarkEnd w:id="122"/>
      <w:bookmarkEnd w:id="123"/>
      <w:bookmarkEnd w:id="124"/>
      <w:bookmarkEnd w:id="125"/>
    </w:p>
    <w:p w14:paraId="5D08CCE6">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5.0.1</w:t>
      </w:r>
      <w:r>
        <w:rPr>
          <w:bCs/>
          <w:color w:val="000000" w:themeColor="text1"/>
          <w:szCs w:val="21"/>
          <w:shd w:val="clear" w:color="auto" w:fill="FFFFFF"/>
          <w14:textFill>
            <w14:solidFill>
              <w14:schemeClr w14:val="tx1"/>
            </w14:solidFill>
          </w14:textFill>
        </w:rPr>
        <w:t>试验结果表明，在通用硅酸盐水泥、中热硅酸盐水泥、低热硅酸盐水泥中，掺加防水剂都有提高抗渗防水的效果，所以原则上混凝土防水剂可以掺入所有硅酸盐类水泥中使用。</w:t>
      </w:r>
    </w:p>
    <w:p w14:paraId="35A983A6">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5.0.2</w:t>
      </w:r>
      <w:r>
        <w:rPr>
          <w:bCs/>
          <w:color w:val="000000" w:themeColor="text1"/>
          <w:szCs w:val="21"/>
          <w:shd w:val="clear" w:color="auto" w:fill="FFFFFF"/>
          <w14:textFill>
            <w14:solidFill>
              <w14:schemeClr w14:val="tx1"/>
            </w14:solidFill>
          </w14:textFill>
        </w:rPr>
        <w:t>条文中提到的矿物掺合料标准，基本涵盖了当前主要使用的混凝土矿物掺合料，使用其他外加剂和掺合料时，应符合相应的标准。</w:t>
      </w:r>
    </w:p>
    <w:p w14:paraId="432C46F4">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5.0.3</w:t>
      </w:r>
      <w:r>
        <w:rPr>
          <w:bCs/>
          <w:color w:val="000000" w:themeColor="text1"/>
          <w:szCs w:val="21"/>
          <w:shd w:val="clear" w:color="auto" w:fill="FFFFFF"/>
          <w14:textFill>
            <w14:solidFill>
              <w14:schemeClr w14:val="tx1"/>
            </w14:solidFill>
          </w14:textFill>
        </w:rPr>
        <w:t>天然砂资源日趋紧张，现有的研究和工程应用实践表明，采用符合现行国家标准《建设用砂》</w:t>
      </w:r>
      <w:r>
        <w:rPr>
          <w:szCs w:val="21"/>
        </w:rPr>
        <w:t>GB/T 14684</w:t>
      </w:r>
      <w:r>
        <w:rPr>
          <w:bCs/>
          <w:color w:val="000000" w:themeColor="text1"/>
          <w:szCs w:val="21"/>
          <w:shd w:val="clear" w:color="auto" w:fill="FFFFFF"/>
          <w14:textFill>
            <w14:solidFill>
              <w14:schemeClr w14:val="tx1"/>
            </w14:solidFill>
          </w14:textFill>
        </w:rPr>
        <w:t>规定的机制砂，完全能够生产出性能符合规定的防水混凝土。为了保护环境，应减少挖采天然河砂，鼓励使用机制砂。</w:t>
      </w:r>
    </w:p>
    <w:p w14:paraId="14AADBB4">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5.0.4</w:t>
      </w:r>
      <w:r>
        <w:rPr>
          <w:bCs/>
          <w:color w:val="000000" w:themeColor="text1"/>
          <w:szCs w:val="21"/>
          <w:shd w:val="clear" w:color="auto" w:fill="FFFFFF"/>
          <w14:textFill>
            <w14:solidFill>
              <w14:schemeClr w14:val="tx1"/>
            </w14:solidFill>
          </w14:textFill>
        </w:rPr>
        <w:t>聚羧酸系高性能减水剂在配制高强、高性能、高耐久混凝土时具有明显技术优势，主要表现在：</w:t>
      </w:r>
    </w:p>
    <w:p w14:paraId="79BB52CB">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（1）掺量低，减水率高。萘系减水剂在饱和掺量0.75%～1.2%（折固）时，减水率在20%左右，聚羧酸系高性能减水剂在0.2%～0.3%（折固）时，减水率可达25%～40%；</w:t>
      </w:r>
    </w:p>
    <w:p w14:paraId="22641DC0">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（2）保塑性好，对水泥适应性强；</w:t>
      </w:r>
    </w:p>
    <w:p w14:paraId="75D606B8">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（3）增强效果好。以28d抗压强度为例，萘系高效减水剂28d抗压强度比一般在130%左右，而聚羧酸系高性能减水剂为150%左右；</w:t>
      </w:r>
    </w:p>
    <w:p w14:paraId="2ECCB4FC">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4）收缩低。与萘系减水剂相比，聚羧酸系高性能减水剂混凝土体积稳定性有较大的提高，降低了结构混凝土的开裂概率。28d收缩率比，掺萘系高效减水剂的混凝土一般在120％以上，而掺聚羧酸系高性能减水剂可达100％左右，甚至更低；</w:t>
      </w:r>
    </w:p>
    <w:p w14:paraId="7E47F000">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（5）有害成分含量少。碱含量、硫酸根离子含量、氯离子含量和甲醛等显著低于萘系减水剂的含量；</w:t>
      </w:r>
    </w:p>
    <w:p w14:paraId="28CF22A4">
      <w:pPr>
        <w:spacing w:line="360" w:lineRule="auto"/>
        <w:ind w:firstLine="420" w:firstLineChars="200"/>
        <w:rPr>
          <w:bCs/>
          <w:color w:val="000000" w:themeColor="text1"/>
          <w:szCs w:val="21"/>
          <w:shd w:val="clear" w:color="auto" w:fill="FFFFFF"/>
          <w14:textFill>
            <w14:solidFill>
              <w14:schemeClr w14:val="tx1"/>
            </w14:solidFill>
          </w14:textFill>
        </w:rPr>
      </w:pPr>
      <w:r>
        <w:rPr>
          <w:bCs/>
          <w:color w:val="000000" w:themeColor="text1"/>
          <w:szCs w:val="21"/>
          <w:shd w:val="clear" w:color="auto" w:fill="FFFFFF"/>
          <w14:textFill>
            <w14:solidFill>
              <w14:schemeClr w14:val="tx1"/>
            </w14:solidFill>
          </w14:textFill>
        </w:rPr>
        <w:t>（6）绿色环保，符合可持续发展战略。</w:t>
      </w:r>
    </w:p>
    <w:p w14:paraId="2D70C41F">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5.0.5</w:t>
      </w:r>
      <w:r>
        <w:rPr>
          <w:bCs/>
          <w:color w:val="000000" w:themeColor="text1"/>
          <w:szCs w:val="21"/>
          <w:shd w:val="clear" w:color="auto" w:fill="FFFFFF"/>
          <w14:textFill>
            <w14:solidFill>
              <w14:schemeClr w14:val="tx1"/>
            </w14:solidFill>
          </w14:textFill>
        </w:rPr>
        <w:t>针对不同结构尺寸、不同强度等级的混凝土提出防水剂的适用范围及产品技术要求：</w:t>
      </w:r>
    </w:p>
    <w:p w14:paraId="5A20AB3B">
      <w:pPr>
        <w:pStyle w:val="35"/>
        <w:ind w:firstLine="0"/>
        <w:jc w:val="center"/>
        <w:rPr>
          <w:rFonts w:cs="Times New Roman"/>
          <w:bCs/>
          <w:color w:val="000000" w:themeColor="text1"/>
          <w:sz w:val="18"/>
          <w:szCs w:val="18"/>
          <w14:textFill>
            <w14:solidFill>
              <w14:schemeClr w14:val="tx1"/>
            </w14:solidFill>
          </w14:textFill>
        </w:rPr>
      </w:pPr>
      <w:r>
        <w:rPr>
          <w:rFonts w:cs="Times New Roman"/>
          <w:bCs/>
          <w:color w:val="000000" w:themeColor="text1"/>
          <w:sz w:val="18"/>
          <w:szCs w:val="18"/>
          <w14:textFill>
            <w14:solidFill>
              <w14:schemeClr w14:val="tx1"/>
            </w14:solidFill>
          </w14:textFill>
        </w:rPr>
        <w:t>表</w:t>
      </w:r>
      <w:r>
        <w:rPr>
          <w:rStyle w:val="32"/>
          <w:rFonts w:hint="default" w:ascii="Times New Roman" w:hAnsi="Times New Roman" w:cs="Times New Roman"/>
          <w:bCs/>
          <w:color w:val="000000" w:themeColor="text1"/>
          <w:sz w:val="18"/>
          <w:szCs w:val="18"/>
          <w14:textFill>
            <w14:solidFill>
              <w14:schemeClr w14:val="tx1"/>
            </w14:solidFill>
          </w14:textFill>
        </w:rPr>
        <w:t>b-</w:t>
      </w:r>
      <w:r>
        <w:rPr>
          <w:rStyle w:val="32"/>
          <w:rFonts w:hint="default" w:ascii="Times New Roman" w:hAnsi="Times New Roman" w:cs="Times New Roman"/>
          <w:bCs/>
          <w:color w:val="000000" w:themeColor="text1"/>
          <w:sz w:val="18"/>
          <w:szCs w:val="18"/>
          <w:lang w:val="en-US" w:eastAsia="zh-CN"/>
          <w14:textFill>
            <w14:solidFill>
              <w14:schemeClr w14:val="tx1"/>
            </w14:solidFill>
          </w14:textFill>
        </w:rPr>
        <w:t>3</w:t>
      </w:r>
      <w:r>
        <w:rPr>
          <w:rFonts w:cs="Times New Roman"/>
          <w:bCs/>
          <w:color w:val="000000" w:themeColor="text1"/>
          <w:sz w:val="18"/>
          <w:szCs w:val="18"/>
          <w14:textFill>
            <w14:solidFill>
              <w14:schemeClr w14:val="tx1"/>
            </w14:solidFill>
          </w14:textFill>
        </w:rPr>
        <w:t xml:space="preserve"> 防水剂特性及适用范围</w:t>
      </w:r>
    </w:p>
    <w:tbl>
      <w:tblPr>
        <w:tblStyle w:val="18"/>
        <w:tblW w:w="5000"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298"/>
        <w:gridCol w:w="2182"/>
        <w:gridCol w:w="1746"/>
        <w:gridCol w:w="2474"/>
        <w:gridCol w:w="1586"/>
      </w:tblGrid>
      <w:tr w14:paraId="5388D5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vAlign w:val="center"/>
          </w:tcPr>
          <w:p w14:paraId="3255EBB3">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防水剂种类</w:t>
            </w:r>
          </w:p>
        </w:tc>
        <w:tc>
          <w:tcPr>
            <w:tcW w:w="1175" w:type="pct"/>
            <w:vAlign w:val="center"/>
          </w:tcPr>
          <w:p w14:paraId="253FEFC5">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技术原理</w:t>
            </w:r>
          </w:p>
        </w:tc>
        <w:tc>
          <w:tcPr>
            <w:tcW w:w="940" w:type="pct"/>
            <w:vAlign w:val="center"/>
          </w:tcPr>
          <w:p w14:paraId="20DE25D2">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产品标准</w:t>
            </w:r>
          </w:p>
        </w:tc>
        <w:tc>
          <w:tcPr>
            <w:tcW w:w="1332" w:type="pct"/>
            <w:vAlign w:val="center"/>
          </w:tcPr>
          <w:p w14:paraId="055DA72F">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工程标准</w:t>
            </w:r>
          </w:p>
        </w:tc>
        <w:tc>
          <w:tcPr>
            <w:tcW w:w="854" w:type="pct"/>
            <w:vAlign w:val="center"/>
          </w:tcPr>
          <w:p w14:paraId="74E36AE5">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适用范围</w:t>
            </w:r>
          </w:p>
        </w:tc>
      </w:tr>
      <w:tr w14:paraId="40C48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vAlign w:val="center"/>
          </w:tcPr>
          <w:p w14:paraId="4375F79D">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eastAsia"/>
                <w:bCs/>
                <w:color w:val="000000" w:themeColor="text1"/>
                <w:sz w:val="18"/>
                <w:szCs w:val="18"/>
                <w:lang w:val="en-US" w:eastAsia="zh-CN"/>
                <w14:textFill>
                  <w14:solidFill>
                    <w14:schemeClr w14:val="tx1"/>
                  </w14:solidFill>
                </w14:textFill>
              </w:rPr>
              <w:t>砂浆、混凝土</w:t>
            </w:r>
            <w:r>
              <w:rPr>
                <w:rFonts w:hint="default"/>
                <w:bCs/>
                <w:color w:val="000000" w:themeColor="text1"/>
                <w:sz w:val="18"/>
                <w:szCs w:val="18"/>
                <w14:textFill>
                  <w14:solidFill>
                    <w14:schemeClr w14:val="tx1"/>
                  </w14:solidFill>
                </w14:textFill>
              </w:rPr>
              <w:t>防水剂</w:t>
            </w:r>
          </w:p>
        </w:tc>
        <w:tc>
          <w:tcPr>
            <w:tcW w:w="1175" w:type="pct"/>
            <w:vAlign w:val="center"/>
          </w:tcPr>
          <w:p w14:paraId="1FA91702">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提高抗渗性能，降低混凝土吸水率</w:t>
            </w:r>
          </w:p>
        </w:tc>
        <w:tc>
          <w:tcPr>
            <w:tcW w:w="940" w:type="pct"/>
            <w:vAlign w:val="center"/>
          </w:tcPr>
          <w:p w14:paraId="34E45A74">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《混凝土外加剂》GB/T 8076《砂浆、混凝土防水剂》JC/T 474</w:t>
            </w:r>
          </w:p>
        </w:tc>
        <w:tc>
          <w:tcPr>
            <w:tcW w:w="1332" w:type="pct"/>
            <w:vAlign w:val="center"/>
          </w:tcPr>
          <w:p w14:paraId="376EECDB">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《混凝土外加剂应用技术规范》GB 50119</w:t>
            </w:r>
          </w:p>
        </w:tc>
        <w:tc>
          <w:tcPr>
            <w:tcW w:w="854" w:type="pct"/>
            <w:vAlign w:val="center"/>
          </w:tcPr>
          <w:p w14:paraId="358169CC">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有防水、防潮要求的混凝土工程</w:t>
            </w:r>
          </w:p>
        </w:tc>
      </w:tr>
      <w:tr w14:paraId="176BC0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vAlign w:val="center"/>
          </w:tcPr>
          <w:p w14:paraId="4DAC4676">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抑温抗裂防水剂</w:t>
            </w:r>
          </w:p>
        </w:tc>
        <w:tc>
          <w:tcPr>
            <w:tcW w:w="1175" w:type="pct"/>
            <w:vAlign w:val="center"/>
          </w:tcPr>
          <w:p w14:paraId="6517F714">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降低水泥水化温升速率，减少混凝土构件温升。降低混凝土吸水率</w:t>
            </w:r>
          </w:p>
        </w:tc>
        <w:tc>
          <w:tcPr>
            <w:tcW w:w="940" w:type="pct"/>
            <w:vAlign w:val="center"/>
          </w:tcPr>
          <w:p w14:paraId="636EAEC7">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《混凝土抑温抗裂防水剂》T/CECS 10270</w:t>
            </w:r>
          </w:p>
        </w:tc>
        <w:tc>
          <w:tcPr>
            <w:tcW w:w="1332" w:type="pct"/>
            <w:vAlign w:val="center"/>
          </w:tcPr>
          <w:p w14:paraId="2833F371">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《地下工程混凝土结构自防水技术规范》JC/T 60014</w:t>
            </w:r>
          </w:p>
        </w:tc>
        <w:tc>
          <w:tcPr>
            <w:tcW w:w="854" w:type="pct"/>
            <w:vAlign w:val="center"/>
          </w:tcPr>
          <w:p w14:paraId="6C0F0626">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有控制水化热温升和防水要求的混凝土工程</w:t>
            </w:r>
          </w:p>
        </w:tc>
      </w:tr>
      <w:tr w14:paraId="351E07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vAlign w:val="center"/>
          </w:tcPr>
          <w:p w14:paraId="1BBD951B">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掺渗透结晶材料防水剂</w:t>
            </w:r>
          </w:p>
        </w:tc>
        <w:tc>
          <w:tcPr>
            <w:tcW w:w="1175" w:type="pct"/>
            <w:vAlign w:val="center"/>
          </w:tcPr>
          <w:p w14:paraId="530DF0B1">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水化反应结晶体填充和堵塞水泥浆体的毛细孔，提高混凝土致密性和防水性</w:t>
            </w:r>
          </w:p>
        </w:tc>
        <w:tc>
          <w:tcPr>
            <w:tcW w:w="940" w:type="pct"/>
            <w:vAlign w:val="center"/>
          </w:tcPr>
          <w:p w14:paraId="58D7A5DE">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《水泥基渗透结晶型防水材料》GB</w:t>
            </w:r>
            <w:r>
              <w:rPr>
                <w:rFonts w:hint="eastAsia"/>
                <w:bCs/>
                <w:color w:val="000000" w:themeColor="text1"/>
                <w:sz w:val="18"/>
                <w:szCs w:val="18"/>
                <w14:textFill>
                  <w14:solidFill>
                    <w14:schemeClr w14:val="tx1"/>
                  </w14:solidFill>
                </w14:textFill>
              </w:rPr>
              <w:t xml:space="preserve">/T </w:t>
            </w:r>
            <w:r>
              <w:rPr>
                <w:rFonts w:hint="default"/>
                <w:bCs/>
                <w:color w:val="000000" w:themeColor="text1"/>
                <w:sz w:val="18"/>
                <w:szCs w:val="18"/>
                <w14:textFill>
                  <w14:solidFill>
                    <w14:schemeClr w14:val="tx1"/>
                  </w14:solidFill>
                </w14:textFill>
              </w:rPr>
              <w:t>18445</w:t>
            </w:r>
          </w:p>
        </w:tc>
        <w:tc>
          <w:tcPr>
            <w:tcW w:w="1332" w:type="pct"/>
            <w:vAlign w:val="center"/>
          </w:tcPr>
          <w:p w14:paraId="6403213E">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《聚合物水泥、渗透结晶型防水材料应用技术规程》CECS 195</w:t>
            </w:r>
          </w:p>
        </w:tc>
        <w:tc>
          <w:tcPr>
            <w:tcW w:w="854" w:type="pct"/>
            <w:vAlign w:val="center"/>
          </w:tcPr>
          <w:p w14:paraId="671F416E">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有防水要求的混凝土工程</w:t>
            </w:r>
          </w:p>
        </w:tc>
      </w:tr>
      <w:tr w14:paraId="7C8477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vAlign w:val="center"/>
          </w:tcPr>
          <w:p w14:paraId="5C037119">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无机抗裂减渗剂</w:t>
            </w:r>
          </w:p>
        </w:tc>
        <w:tc>
          <w:tcPr>
            <w:tcW w:w="1175" w:type="pct"/>
            <w:vAlign w:val="center"/>
          </w:tcPr>
          <w:p w14:paraId="0B16A134">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提高混凝土抗拉极限延伸率和抗渗性能</w:t>
            </w:r>
          </w:p>
        </w:tc>
        <w:tc>
          <w:tcPr>
            <w:tcW w:w="940" w:type="pct"/>
            <w:vAlign w:val="center"/>
          </w:tcPr>
          <w:p w14:paraId="7E33088D">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《混凝土无机纳米抗裂减渗剂》T/ASC 6006</w:t>
            </w:r>
          </w:p>
        </w:tc>
        <w:tc>
          <w:tcPr>
            <w:tcW w:w="1332" w:type="pct"/>
            <w:vAlign w:val="center"/>
          </w:tcPr>
          <w:p w14:paraId="06DC0010">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《地下工程混凝土结构自防水技术规范》JC/T 60014</w:t>
            </w:r>
          </w:p>
        </w:tc>
        <w:tc>
          <w:tcPr>
            <w:tcW w:w="854" w:type="pct"/>
            <w:vAlign w:val="center"/>
          </w:tcPr>
          <w:p w14:paraId="40FB1C96">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有提高混凝土极限延伸率和防水要求的混凝土工程</w:t>
            </w:r>
          </w:p>
        </w:tc>
      </w:tr>
      <w:tr w14:paraId="36E224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jc w:val="center"/>
        </w:trPr>
        <w:tc>
          <w:tcPr>
            <w:tcW w:w="699" w:type="pct"/>
            <w:vAlign w:val="center"/>
          </w:tcPr>
          <w:p w14:paraId="00F73D2B">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抗裂抗渗复合材料</w:t>
            </w:r>
          </w:p>
        </w:tc>
        <w:tc>
          <w:tcPr>
            <w:tcW w:w="1175" w:type="pct"/>
            <w:vAlign w:val="center"/>
          </w:tcPr>
          <w:p w14:paraId="27F2530B">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提高混凝土抗拉强度和抗渗性能</w:t>
            </w:r>
          </w:p>
        </w:tc>
        <w:tc>
          <w:tcPr>
            <w:tcW w:w="940" w:type="pct"/>
            <w:vAlign w:val="center"/>
          </w:tcPr>
          <w:p w14:paraId="16689E39">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《用于混凝土中的防裂抗渗复合材料》T/CECS 10001</w:t>
            </w:r>
          </w:p>
        </w:tc>
        <w:tc>
          <w:tcPr>
            <w:tcW w:w="1332" w:type="pct"/>
            <w:vAlign w:val="center"/>
          </w:tcPr>
          <w:p w14:paraId="468AABCA">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《地下工程混凝土结构自防水技术规范》JC/T 60014</w:t>
            </w:r>
          </w:p>
        </w:tc>
        <w:tc>
          <w:tcPr>
            <w:tcW w:w="854" w:type="pct"/>
            <w:vAlign w:val="center"/>
          </w:tcPr>
          <w:p w14:paraId="50ED339E">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有早期防裂要求的薄板结构混凝土工程</w:t>
            </w:r>
          </w:p>
        </w:tc>
      </w:tr>
    </w:tbl>
    <w:p w14:paraId="1CA4852B">
      <w:pPr>
        <w:spacing w:line="360" w:lineRule="auto"/>
        <w:jc w:val="center"/>
        <w:rPr>
          <w:bCs/>
          <w:color w:val="000000" w:themeColor="text1"/>
          <w:sz w:val="18"/>
          <w:szCs w:val="18"/>
          <w14:textFill>
            <w14:solidFill>
              <w14:schemeClr w14:val="tx1"/>
            </w14:solidFill>
          </w14:textFill>
        </w:rPr>
      </w:pPr>
      <w:r>
        <w:rPr>
          <w:bCs/>
          <w:color w:val="000000" w:themeColor="text1"/>
          <w:sz w:val="18"/>
          <w:szCs w:val="18"/>
          <w14:textFill>
            <w14:solidFill>
              <w14:schemeClr w14:val="tx1"/>
            </w14:solidFill>
          </w14:textFill>
        </w:rPr>
        <w:t>表</w:t>
      </w:r>
      <w:r>
        <w:rPr>
          <w:rStyle w:val="32"/>
          <w:rFonts w:hint="default" w:ascii="Times New Roman" w:hAnsi="Times New Roman" w:cs="Times New Roman"/>
          <w:bCs/>
          <w:color w:val="000000" w:themeColor="text1"/>
          <w:sz w:val="18"/>
          <w:szCs w:val="18"/>
          <w14:textFill>
            <w14:solidFill>
              <w14:schemeClr w14:val="tx1"/>
            </w14:solidFill>
          </w14:textFill>
        </w:rPr>
        <w:t>b-</w:t>
      </w:r>
      <w:r>
        <w:rPr>
          <w:rStyle w:val="32"/>
          <w:rFonts w:hint="default" w:ascii="Times New Roman" w:hAnsi="Times New Roman" w:cs="Times New Roman"/>
          <w:bCs/>
          <w:color w:val="000000" w:themeColor="text1"/>
          <w:sz w:val="18"/>
          <w:szCs w:val="18"/>
          <w:lang w:val="en-US" w:eastAsia="zh-CN"/>
          <w14:textFill>
            <w14:solidFill>
              <w14:schemeClr w14:val="tx1"/>
            </w14:solidFill>
          </w14:textFill>
        </w:rPr>
        <w:t>4</w:t>
      </w:r>
      <w:r>
        <w:rPr>
          <w:bCs/>
          <w:color w:val="000000" w:themeColor="text1"/>
          <w:sz w:val="18"/>
          <w:szCs w:val="18"/>
          <w14:textFill>
            <w14:solidFill>
              <w14:schemeClr w14:val="tx1"/>
            </w14:solidFill>
          </w14:textFill>
        </w:rPr>
        <w:t>防水剂的选用</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168"/>
        <w:gridCol w:w="1386"/>
        <w:gridCol w:w="1337"/>
        <w:gridCol w:w="1337"/>
        <w:gridCol w:w="1338"/>
        <w:gridCol w:w="1338"/>
      </w:tblGrid>
      <w:tr w14:paraId="4311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Align w:val="center"/>
          </w:tcPr>
          <w:p w14:paraId="6E957113">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结构最小截面尺寸d</w:t>
            </w:r>
          </w:p>
        </w:tc>
        <w:tc>
          <w:tcPr>
            <w:tcW w:w="629" w:type="pct"/>
            <w:vAlign w:val="center"/>
          </w:tcPr>
          <w:p w14:paraId="761FD76A">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强度等级</w:t>
            </w:r>
          </w:p>
        </w:tc>
        <w:tc>
          <w:tcPr>
            <w:tcW w:w="746" w:type="pct"/>
            <w:vAlign w:val="center"/>
          </w:tcPr>
          <w:p w14:paraId="3E9804E7">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防水剂</w:t>
            </w:r>
          </w:p>
        </w:tc>
        <w:tc>
          <w:tcPr>
            <w:tcW w:w="720" w:type="pct"/>
            <w:vAlign w:val="center"/>
          </w:tcPr>
          <w:p w14:paraId="6900F472">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防裂抗渗复合材料</w:t>
            </w:r>
          </w:p>
        </w:tc>
        <w:tc>
          <w:tcPr>
            <w:tcW w:w="720" w:type="pct"/>
            <w:vAlign w:val="center"/>
          </w:tcPr>
          <w:p w14:paraId="64AEB425">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抑温抗裂防水剂</w:t>
            </w:r>
          </w:p>
        </w:tc>
        <w:tc>
          <w:tcPr>
            <w:tcW w:w="720" w:type="pct"/>
            <w:vAlign w:val="center"/>
          </w:tcPr>
          <w:p w14:paraId="1D41DD83">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无机抗裂减渗剂</w:t>
            </w:r>
          </w:p>
        </w:tc>
        <w:tc>
          <w:tcPr>
            <w:tcW w:w="720" w:type="pct"/>
            <w:vAlign w:val="center"/>
          </w:tcPr>
          <w:p w14:paraId="02DBBDEA">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水泥基渗透结晶防水剂</w:t>
            </w:r>
          </w:p>
        </w:tc>
      </w:tr>
      <w:tr w14:paraId="29BE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Align w:val="center"/>
          </w:tcPr>
          <w:p w14:paraId="0E8B00C2">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≤250mm</w:t>
            </w:r>
          </w:p>
        </w:tc>
        <w:tc>
          <w:tcPr>
            <w:tcW w:w="629" w:type="pct"/>
            <w:vAlign w:val="center"/>
          </w:tcPr>
          <w:p w14:paraId="05A8D71D">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eastAsia" w:ascii="宋体" w:hAnsi="宋体" w:eastAsia="宋体" w:cs="宋体"/>
                <w:bCs/>
                <w:color w:val="000000" w:themeColor="text1"/>
                <w:sz w:val="18"/>
                <w:szCs w:val="18"/>
                <w14:textFill>
                  <w14:solidFill>
                    <w14:schemeClr w14:val="tx1"/>
                  </w14:solidFill>
                </w14:textFill>
              </w:rPr>
              <w:t>-</w:t>
            </w:r>
          </w:p>
        </w:tc>
        <w:tc>
          <w:tcPr>
            <w:tcW w:w="746" w:type="pct"/>
          </w:tcPr>
          <w:p w14:paraId="395135B3">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vAlign w:val="center"/>
          </w:tcPr>
          <w:p w14:paraId="7B85D669">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宜选</w:t>
            </w:r>
          </w:p>
        </w:tc>
        <w:tc>
          <w:tcPr>
            <w:tcW w:w="720" w:type="pct"/>
          </w:tcPr>
          <w:p w14:paraId="587F77CC">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2D23BE7A">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4F4F2157">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r>
      <w:tr w14:paraId="21FE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Merge w:val="restart"/>
            <w:vAlign w:val="center"/>
          </w:tcPr>
          <w:p w14:paraId="1C30B604">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250mm＜d≤1000mm</w:t>
            </w:r>
          </w:p>
        </w:tc>
        <w:tc>
          <w:tcPr>
            <w:tcW w:w="629" w:type="pct"/>
            <w:vAlign w:val="center"/>
          </w:tcPr>
          <w:p w14:paraId="13C389F4">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＜C40</w:t>
            </w:r>
          </w:p>
        </w:tc>
        <w:tc>
          <w:tcPr>
            <w:tcW w:w="746" w:type="pct"/>
          </w:tcPr>
          <w:p w14:paraId="4F900897">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vAlign w:val="center"/>
          </w:tcPr>
          <w:p w14:paraId="63A67679">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041BF633">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3FC0A7C4">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5CF0EE9B">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r>
      <w:tr w14:paraId="7B79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Merge w:val="continue"/>
            <w:vAlign w:val="center"/>
          </w:tcPr>
          <w:p w14:paraId="3F510B18">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p>
        </w:tc>
        <w:tc>
          <w:tcPr>
            <w:tcW w:w="629" w:type="pct"/>
            <w:vAlign w:val="center"/>
          </w:tcPr>
          <w:p w14:paraId="23237468">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≥C40</w:t>
            </w:r>
          </w:p>
        </w:tc>
        <w:tc>
          <w:tcPr>
            <w:tcW w:w="746" w:type="pct"/>
          </w:tcPr>
          <w:p w14:paraId="223587B5">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7AA400FE">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00C7131A">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7034859D">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29F6C895">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r>
      <w:tr w14:paraId="2102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Merge w:val="restart"/>
            <w:vAlign w:val="center"/>
          </w:tcPr>
          <w:p w14:paraId="070A96B5">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＞=1000mm</w:t>
            </w:r>
          </w:p>
        </w:tc>
        <w:tc>
          <w:tcPr>
            <w:tcW w:w="629" w:type="pct"/>
            <w:vAlign w:val="center"/>
          </w:tcPr>
          <w:p w14:paraId="3C4455BA">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＜C40</w:t>
            </w:r>
          </w:p>
        </w:tc>
        <w:tc>
          <w:tcPr>
            <w:tcW w:w="746" w:type="pct"/>
          </w:tcPr>
          <w:p w14:paraId="24998E59">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31F6B4A4">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607CB5EB">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宜选</w:t>
            </w:r>
          </w:p>
        </w:tc>
        <w:tc>
          <w:tcPr>
            <w:tcW w:w="720" w:type="pct"/>
          </w:tcPr>
          <w:p w14:paraId="2B5BD702">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7D542B02">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r>
      <w:tr w14:paraId="4FCB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pct"/>
            <w:vMerge w:val="continue"/>
            <w:vAlign w:val="center"/>
          </w:tcPr>
          <w:p w14:paraId="08C893B6">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p>
        </w:tc>
        <w:tc>
          <w:tcPr>
            <w:tcW w:w="629" w:type="pct"/>
            <w:vAlign w:val="center"/>
          </w:tcPr>
          <w:p w14:paraId="11D75E46">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≥C40</w:t>
            </w:r>
          </w:p>
        </w:tc>
        <w:tc>
          <w:tcPr>
            <w:tcW w:w="746" w:type="pct"/>
          </w:tcPr>
          <w:p w14:paraId="0E485CE7">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0920C99C">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49E32848">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宜选</w:t>
            </w:r>
          </w:p>
        </w:tc>
        <w:tc>
          <w:tcPr>
            <w:tcW w:w="720" w:type="pct"/>
          </w:tcPr>
          <w:p w14:paraId="2A8D3E5B">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c>
          <w:tcPr>
            <w:tcW w:w="720" w:type="pct"/>
          </w:tcPr>
          <w:p w14:paraId="079DE7A1">
            <w:pPr>
              <w:keepNext w:val="0"/>
              <w:keepLines w:val="0"/>
              <w:suppressLineNumbers w:val="0"/>
              <w:spacing w:before="0" w:beforeAutospacing="0" w:after="0" w:afterAutospacing="0"/>
              <w:ind w:left="0" w:right="0"/>
              <w:jc w:val="center"/>
              <w:rPr>
                <w:rFonts w:hint="default"/>
                <w:bCs/>
                <w:color w:val="000000" w:themeColor="text1"/>
                <w:sz w:val="18"/>
                <w:szCs w:val="18"/>
                <w14:textFill>
                  <w14:solidFill>
                    <w14:schemeClr w14:val="tx1"/>
                  </w14:solidFill>
                </w14:textFill>
              </w:rPr>
            </w:pPr>
            <w:r>
              <w:rPr>
                <w:rFonts w:hint="default"/>
                <w:bCs/>
                <w:color w:val="000000" w:themeColor="text1"/>
                <w:sz w:val="18"/>
                <w:szCs w:val="18"/>
                <w14:textFill>
                  <w14:solidFill>
                    <w14:schemeClr w14:val="tx1"/>
                  </w14:solidFill>
                </w14:textFill>
              </w:rPr>
              <w:t>可选</w:t>
            </w:r>
          </w:p>
        </w:tc>
      </w:tr>
    </w:tbl>
    <w:p w14:paraId="54841142">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5.0.6</w:t>
      </w:r>
      <w:r>
        <w:rPr>
          <w:bCs/>
          <w:color w:val="000000" w:themeColor="text1"/>
          <w:szCs w:val="21"/>
          <w:shd w:val="clear" w:color="auto" w:fill="FFFFFF"/>
          <w14:textFill>
            <w14:solidFill>
              <w14:schemeClr w14:val="tx1"/>
            </w14:solidFill>
          </w14:textFill>
        </w:rPr>
        <w:t>水是混凝土必不可少、不可替代的主要组分之一，它能够直接影响混凝土拌合物的工作性能和硬化混凝土的力学性能、耐久性能。水质标准符合《混凝土用水标准》JGJ 63的规定，可以直接用于防水剂混凝土的拌合和养护。</w:t>
      </w:r>
    </w:p>
    <w:p w14:paraId="6996F048">
      <w:pPr>
        <w:spacing w:line="360" w:lineRule="auto"/>
        <w:ind w:firstLine="422" w:firstLineChars="200"/>
        <w:rPr>
          <w:rFonts w:eastAsia="仿宋"/>
          <w:bCs/>
          <w:color w:val="000000" w:themeColor="text1"/>
          <w:sz w:val="24"/>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5.0.7</w:t>
      </w:r>
      <w:r>
        <w:rPr>
          <w:bCs/>
          <w:color w:val="000000" w:themeColor="text1"/>
          <w:szCs w:val="21"/>
          <w:shd w:val="clear" w:color="auto" w:fill="FFFFFF"/>
          <w14:textFill>
            <w14:solidFill>
              <w14:schemeClr w14:val="tx1"/>
            </w14:solidFill>
          </w14:textFill>
        </w:rPr>
        <w:t>钢纤维、合成纤维混凝土适用于要求改善早期抗裂、抗渗、抗冲击和抗疲劳等性能的混凝土工程、结构或构件。合成纤维的品种和规格繁多，主要有聚丙烯腈（PAN）纤维、聚丙烯（PP）纤维、聚酰胺（PA）纤维和聚乙烯醇（PVA）纤维等。合成纤维应符合现行国家标准《水泥混凝土和砂浆用合成纤维》GB/T 21120的技术要求。</w:t>
      </w:r>
    </w:p>
    <w:p w14:paraId="5E8CFC28">
      <w:pPr>
        <w:rPr>
          <w:rFonts w:eastAsia="仿宋"/>
          <w:bCs/>
          <w:color w:val="000000" w:themeColor="text1"/>
          <w:sz w:val="24"/>
          <w:shd w:val="clear" w:color="auto" w:fill="FFFFFF"/>
          <w14:textFill>
            <w14:solidFill>
              <w14:schemeClr w14:val="tx1"/>
            </w14:solidFill>
          </w14:textFill>
        </w:rPr>
      </w:pPr>
      <w:r>
        <w:rPr>
          <w:rFonts w:eastAsia="仿宋"/>
          <w:bCs/>
          <w:color w:val="000000" w:themeColor="text1"/>
          <w:sz w:val="24"/>
          <w:shd w:val="clear" w:color="auto" w:fill="FFFFFF"/>
          <w14:textFill>
            <w14:solidFill>
              <w14:schemeClr w14:val="tx1"/>
            </w14:solidFill>
          </w14:textFill>
        </w:rPr>
        <w:br w:type="page"/>
      </w:r>
    </w:p>
    <w:p w14:paraId="61B269FD">
      <w:pPr>
        <w:pStyle w:val="2"/>
        <w:spacing w:before="312" w:beforeLines="100" w:after="312" w:afterLines="100" w:line="360" w:lineRule="auto"/>
        <w:jc w:val="center"/>
        <w:rPr>
          <w:rFonts w:eastAsia="黑体"/>
          <w:b w:val="0"/>
          <w:bCs w:val="0"/>
          <w:sz w:val="28"/>
          <w:szCs w:val="28"/>
        </w:rPr>
      </w:pPr>
      <w:bookmarkStart w:id="126" w:name="_Toc222865926"/>
      <w:bookmarkStart w:id="127" w:name="_Toc222865174"/>
      <w:bookmarkStart w:id="128" w:name="_Toc222866270"/>
      <w:bookmarkStart w:id="129" w:name="_Toc19771"/>
      <w:r>
        <w:rPr>
          <w:sz w:val="30"/>
          <w:szCs w:val="30"/>
        </w:rPr>
        <w:t>6 配合比设计</w:t>
      </w:r>
      <w:bookmarkEnd w:id="126"/>
      <w:bookmarkEnd w:id="127"/>
      <w:bookmarkEnd w:id="128"/>
      <w:bookmarkEnd w:id="129"/>
    </w:p>
    <w:p w14:paraId="1498F87D">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6.0.1</w:t>
      </w:r>
      <w:r>
        <w:rPr>
          <w:bCs/>
          <w:color w:val="000000" w:themeColor="text1"/>
          <w:szCs w:val="21"/>
          <w:shd w:val="clear" w:color="auto" w:fill="FFFFFF"/>
          <w14:textFill>
            <w14:solidFill>
              <w14:schemeClr w14:val="tx1"/>
            </w14:solidFill>
          </w14:textFill>
        </w:rPr>
        <w:t>防水剂混凝土配合比设计需要满足试配强度、抗渗性、耐久性和施工工作性要求。</w:t>
      </w:r>
    </w:p>
    <w:p w14:paraId="4B818443">
      <w:pPr>
        <w:spacing w:line="360" w:lineRule="auto"/>
        <w:ind w:firstLine="422" w:firstLineChars="200"/>
        <w:rPr>
          <w:b/>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6.0.2</w:t>
      </w:r>
    </w:p>
    <w:p w14:paraId="42BBE8AA">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1</w:t>
      </w:r>
      <w:r>
        <w:rPr>
          <w:bCs/>
          <w:color w:val="000000" w:themeColor="text1"/>
          <w:szCs w:val="21"/>
          <w:shd w:val="clear" w:color="auto" w:fill="FFFFFF"/>
          <w14:textFill>
            <w14:solidFill>
              <w14:schemeClr w14:val="tx1"/>
            </w14:solidFill>
          </w14:textFill>
        </w:rPr>
        <w:t>现行国家标准《地下工程防水技术规范》GB 50108规定，防水混凝土的最小胶凝材料用量不宜小于320kg/m</w:t>
      </w:r>
      <w:r>
        <w:rPr>
          <w:bCs/>
          <w:color w:val="000000" w:themeColor="text1"/>
          <w:szCs w:val="21"/>
          <w:shd w:val="clear" w:color="auto" w:fill="FFFFFF"/>
          <w:vertAlign w:val="superscript"/>
          <w14:textFill>
            <w14:solidFill>
              <w14:schemeClr w14:val="tx1"/>
            </w14:solidFill>
          </w14:textFill>
        </w:rPr>
        <w:t>3</w:t>
      </w:r>
      <w:r>
        <w:rPr>
          <w:bCs/>
          <w:color w:val="000000" w:themeColor="text1"/>
          <w:szCs w:val="21"/>
          <w:shd w:val="clear" w:color="auto" w:fill="FFFFFF"/>
          <w14:textFill>
            <w14:solidFill>
              <w14:schemeClr w14:val="tx1"/>
            </w14:solidFill>
          </w14:textFill>
        </w:rPr>
        <w:t>。混凝土的原材料种类和品质因地域等条件差异而不同，导致相同强度等级和抗渗等级的防水混凝土配合比不同，但是单方混凝土中胶凝材料用量最少320kg在绝大多数情况下仍可满足防水混凝土最低抗渗等级要求。</w:t>
      </w:r>
    </w:p>
    <w:p w14:paraId="6ED521FA">
      <w:pPr>
        <w:spacing w:line="360" w:lineRule="auto"/>
        <w:ind w:firstLine="420" w:firstLineChars="200"/>
        <w:rPr>
          <w:bCs/>
          <w:color w:val="000000" w:themeColor="text1"/>
          <w:szCs w:val="21"/>
          <w:shd w:val="clear" w:color="auto" w:fill="FFFFFF"/>
          <w14:textFill>
            <w14:solidFill>
              <w14:schemeClr w14:val="tx1"/>
            </w14:solidFill>
          </w14:textFill>
        </w:rPr>
      </w:pPr>
      <w:r>
        <w:rPr>
          <w:rFonts w:hint="eastAsia"/>
          <w:bCs/>
          <w:color w:val="000000" w:themeColor="text1"/>
          <w:szCs w:val="21"/>
          <w:shd w:val="clear" w:color="auto" w:fill="FFFFFF"/>
          <w14:textFill>
            <w14:solidFill>
              <w14:schemeClr w14:val="tx1"/>
            </w14:solidFill>
          </w14:textFill>
        </w:rPr>
        <w:t>由于胶凝材料过大，容易增加混凝土的开裂风险，还会造成混凝土的泛浆分层，对混凝土防水不利，且会增加混凝土的成本，因此，在防水混凝土配合比设计中，应当遵循的原则是：在满足混凝土工作性能和力学性能要求的前提下，应尽可能降低混凝土中单方胶凝材料的用量。因此，本规程参照现行行业标准《铁路混凝土结构耐久性设计规范》TB 10005的有关规定，按强度等级和成型方式规定了混凝土中胶凝材料最大用量。本条表中部分数值宽于铁标，其中C30混凝土铁标中为360kg/m</w:t>
      </w:r>
      <w:r>
        <w:rPr>
          <w:rFonts w:hint="eastAsia"/>
          <w:bCs/>
          <w:color w:val="000000" w:themeColor="text1"/>
          <w:szCs w:val="21"/>
          <w:shd w:val="clear" w:color="auto" w:fill="FFFFFF"/>
          <w:vertAlign w:val="superscript"/>
          <w14:textFill>
            <w14:solidFill>
              <w14:schemeClr w14:val="tx1"/>
            </w14:solidFill>
          </w14:textFill>
        </w:rPr>
        <w:t>3</w:t>
      </w:r>
      <w:r>
        <w:rPr>
          <w:rFonts w:hint="eastAsia"/>
          <w:bCs/>
          <w:color w:val="000000" w:themeColor="text1"/>
          <w:szCs w:val="21"/>
          <w:shd w:val="clear" w:color="auto" w:fill="FFFFFF"/>
          <w14:textFill>
            <w14:solidFill>
              <w14:schemeClr w14:val="tx1"/>
            </w14:solidFill>
          </w14:textFill>
        </w:rPr>
        <w:t>，C50混凝土铁标中为480kg/m</w:t>
      </w:r>
      <w:r>
        <w:rPr>
          <w:rFonts w:hint="eastAsia"/>
          <w:bCs/>
          <w:color w:val="000000" w:themeColor="text1"/>
          <w:szCs w:val="21"/>
          <w:shd w:val="clear" w:color="auto" w:fill="FFFFFF"/>
          <w:vertAlign w:val="superscript"/>
          <w14:textFill>
            <w14:solidFill>
              <w14:schemeClr w14:val="tx1"/>
            </w14:solidFill>
          </w14:textFill>
        </w:rPr>
        <w:t>3</w:t>
      </w:r>
      <w:r>
        <w:rPr>
          <w:rFonts w:hint="eastAsia"/>
          <w:bCs/>
          <w:color w:val="000000" w:themeColor="text1"/>
          <w:szCs w:val="21"/>
          <w:shd w:val="clear" w:color="auto" w:fill="FFFFFF"/>
          <w14:textFill>
            <w14:solidFill>
              <w14:schemeClr w14:val="tx1"/>
            </w14:solidFill>
          </w14:textFill>
        </w:rPr>
        <w:t>，C55~C60铁标中为500kg/m</w:t>
      </w:r>
      <w:r>
        <w:rPr>
          <w:rFonts w:hint="eastAsia"/>
          <w:bCs/>
          <w:color w:val="000000" w:themeColor="text1"/>
          <w:szCs w:val="21"/>
          <w:shd w:val="clear" w:color="auto" w:fill="FFFFFF"/>
          <w:vertAlign w:val="superscript"/>
          <w14:textFill>
            <w14:solidFill>
              <w14:schemeClr w14:val="tx1"/>
            </w14:solidFill>
          </w14:textFill>
        </w:rPr>
        <w:t>3</w:t>
      </w:r>
      <w:r>
        <w:rPr>
          <w:rFonts w:hint="eastAsia"/>
          <w:bCs/>
          <w:color w:val="000000" w:themeColor="text1"/>
          <w:szCs w:val="21"/>
          <w:shd w:val="clear" w:color="auto" w:fill="FFFFFF"/>
          <w14:textFill>
            <w14:solidFill>
              <w14:schemeClr w14:val="tx1"/>
            </w14:solidFill>
          </w14:textFill>
        </w:rPr>
        <w:t>，有条件的情况下，推荐按铁标控制。</w:t>
      </w:r>
    </w:p>
    <w:p w14:paraId="3DD991EE">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2</w:t>
      </w:r>
      <w:r>
        <w:rPr>
          <w:bCs/>
          <w:color w:val="000000" w:themeColor="text1"/>
          <w:szCs w:val="21"/>
          <w:shd w:val="clear" w:color="auto" w:fill="FFFFFF"/>
          <w14:textFill>
            <w14:solidFill>
              <w14:schemeClr w14:val="tx1"/>
            </w14:solidFill>
          </w14:textFill>
        </w:rPr>
        <w:t>本条规定与现行国家标准《地下工程防水技术规范》GB 50108的规定相同。水灰比或水胶比是确保防水混凝土抗渗性能的关键技术指标，降低水胶比不但能够提高混凝土的抗渗性能，而且能够提高混凝土抵抗化学介质侵蚀的能力。研究证明（图1，引自A.M.内维尔著，《混凝土的性能》），水胶比小于0.50后，混凝土的渗透性大幅度降低，防水性能显著提高。混凝土防水剂主要用于制备抗裂防水混凝土。</w:t>
      </w:r>
    </w:p>
    <w:p w14:paraId="5EC03EEF">
      <w:pPr>
        <w:spacing w:line="360" w:lineRule="auto"/>
        <w:jc w:val="center"/>
        <w:rPr>
          <w:b/>
          <w:bCs/>
          <w:color w:val="4472C4" w:themeColor="accent1"/>
          <w:szCs w:val="21"/>
          <w14:textFill>
            <w14:solidFill>
              <w14:schemeClr w14:val="accent1"/>
            </w14:solidFill>
          </w14:textFill>
        </w:rPr>
      </w:pPr>
      <w:r>
        <w:rPr>
          <w:b/>
          <w:bCs/>
          <w:color w:val="4472C4" w:themeColor="accent1"/>
          <w:szCs w:val="21"/>
          <w14:textFill>
            <w14:solidFill>
              <w14:schemeClr w14:val="accent1"/>
            </w14:solidFill>
          </w14:textFill>
        </w:rPr>
        <w:drawing>
          <wp:inline distT="0" distB="0" distL="0" distR="0">
            <wp:extent cx="1498600" cy="1670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98600" cy="1670050"/>
                    </a:xfrm>
                    <a:prstGeom prst="rect">
                      <a:avLst/>
                    </a:prstGeom>
                    <a:noFill/>
                    <a:ln>
                      <a:noFill/>
                    </a:ln>
                  </pic:spPr>
                </pic:pic>
              </a:graphicData>
            </a:graphic>
          </wp:inline>
        </w:drawing>
      </w:r>
    </w:p>
    <w:p w14:paraId="103B51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图1 水灰比对混凝土渗透性的影响</w:t>
      </w:r>
    </w:p>
    <w:p w14:paraId="4EA3636E">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3</w:t>
      </w:r>
      <w:r>
        <w:rPr>
          <w:bCs/>
          <w:color w:val="000000" w:themeColor="text1"/>
          <w:szCs w:val="21"/>
          <w:shd w:val="clear" w:color="auto" w:fill="FFFFFF"/>
          <w14:textFill>
            <w14:solidFill>
              <w14:schemeClr w14:val="tx1"/>
            </w14:solidFill>
          </w14:textFill>
        </w:rPr>
        <w:t>碱骨料反应引起混凝土破坏已成为一个普遍关注的问题。当混凝土中的碱在有水的环境中遇到活性骨料时，可能引起碱骨料反应，并危及结构的耐久性，故要避免或减少碱骨料反应的发生。当使用活性骨料时，国内、外标准对混凝土中含碱量的规定各不相同。英国规定每立方米混凝土碱含量不超过3kg，对不重要工程可放宽至4.5kg；南非等一些国家认为每立方米混凝土碱含量小于1.8kg时较安全，1.8kg</w:t>
      </w:r>
      <w:r>
        <w:rPr>
          <w:rFonts w:hint="default" w:ascii="Times New Roman" w:hAnsi="Times New Roman" w:cs="Times New Roman"/>
          <w:bCs/>
          <w:color w:val="000000" w:themeColor="text1"/>
          <w:szCs w:val="21"/>
          <w:shd w:val="clear" w:color="auto" w:fill="FFFFFF"/>
          <w14:textFill>
            <w14:solidFill>
              <w14:schemeClr w14:val="tx1"/>
            </w14:solidFill>
          </w14:textFill>
        </w:rPr>
        <w:t>～</w:t>
      </w:r>
      <w:r>
        <w:rPr>
          <w:bCs/>
          <w:color w:val="000000" w:themeColor="text1"/>
          <w:szCs w:val="21"/>
          <w:shd w:val="clear" w:color="auto" w:fill="FFFFFF"/>
          <w14:textFill>
            <w14:solidFill>
              <w14:schemeClr w14:val="tx1"/>
            </w14:solidFill>
          </w14:textFill>
        </w:rPr>
        <w:t>3.8kg时为可疑危害，大于3.8kg时为有害。一般认为每立方米混凝土中的碱含量不大于3kg时，即便使用活性骨料，也不会导致碱骨料反应。根据以上资料，本规范规定每立方米防水混凝土中各类材料的总碱量（Na</w:t>
      </w:r>
      <w:r>
        <w:rPr>
          <w:bCs/>
          <w:color w:val="000000" w:themeColor="text1"/>
          <w:szCs w:val="21"/>
          <w:shd w:val="clear" w:color="auto" w:fill="FFFFFF"/>
          <w:vertAlign w:val="subscript"/>
          <w14:textFill>
            <w14:solidFill>
              <w14:schemeClr w14:val="tx1"/>
            </w14:solidFill>
          </w14:textFill>
        </w:rPr>
        <w:t>2</w:t>
      </w:r>
      <w:r>
        <w:rPr>
          <w:bCs/>
          <w:color w:val="000000" w:themeColor="text1"/>
          <w:szCs w:val="21"/>
          <w:shd w:val="clear" w:color="auto" w:fill="FFFFFF"/>
          <w14:textFill>
            <w14:solidFill>
              <w14:schemeClr w14:val="tx1"/>
            </w14:solidFill>
          </w14:textFill>
        </w:rPr>
        <w:t>O当量）不得大于3kg。</w:t>
      </w:r>
    </w:p>
    <w:p w14:paraId="6D2A5F01">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4</w:t>
      </w:r>
      <w:r>
        <w:rPr>
          <w:bCs/>
          <w:color w:val="000000" w:themeColor="text1"/>
          <w:szCs w:val="21"/>
          <w:shd w:val="clear" w:color="auto" w:fill="FFFFFF"/>
          <w14:textFill>
            <w14:solidFill>
              <w14:schemeClr w14:val="tx1"/>
            </w14:solidFill>
          </w14:textFill>
        </w:rPr>
        <w:t>现行行业标准《普通混凝土配合比设计规程》JGJ 55规定了混凝土拌合物中水溶性氯离子最大含量要求，防水混凝土与其相同。</w:t>
      </w:r>
    </w:p>
    <w:p w14:paraId="0D8BA6B9">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5</w:t>
      </w:r>
      <w:r>
        <w:rPr>
          <w:bCs/>
          <w:color w:val="000000" w:themeColor="text1"/>
          <w:szCs w:val="21"/>
          <w:shd w:val="clear" w:color="auto" w:fill="FFFFFF"/>
          <w14:textFill>
            <w14:solidFill>
              <w14:schemeClr w14:val="tx1"/>
            </w14:solidFill>
          </w14:textFill>
        </w:rPr>
        <w:t>本条规定与现行国家标准《大体积混凝土施工标准》GB 50496的规定相同。</w:t>
      </w:r>
    </w:p>
    <w:p w14:paraId="4187B656">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6</w:t>
      </w:r>
      <w:r>
        <w:rPr>
          <w:bCs/>
          <w:color w:val="000000" w:themeColor="text1"/>
          <w:szCs w:val="21"/>
          <w:shd w:val="clear" w:color="auto" w:fill="FFFFFF"/>
          <w14:textFill>
            <w14:solidFill>
              <w14:schemeClr w14:val="tx1"/>
            </w14:solidFill>
          </w14:textFill>
        </w:rPr>
        <w:t>本条规定与现行国家标准《建筑与市政工程防水通用规范》GB 55030的规定相同。</w:t>
      </w:r>
    </w:p>
    <w:p w14:paraId="35D6559E">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6.0.3</w:t>
      </w:r>
      <w:r>
        <w:rPr>
          <w:bCs/>
          <w:color w:val="000000" w:themeColor="text1"/>
          <w:szCs w:val="21"/>
          <w:shd w:val="clear" w:color="auto" w:fill="FFFFFF"/>
          <w14:textFill>
            <w14:solidFill>
              <w14:schemeClr w14:val="tx1"/>
            </w14:solidFill>
          </w14:textFill>
        </w:rPr>
        <w:t>水泥、其他外加剂和混凝土配合比对掺加防水剂混凝土的性能影响较大，所以要经过混凝土配合比试验确定混凝土防水剂的合理掺量。通常情况下，随着混凝土防水剂掺量增加，抗渗等级提高，混凝土强度、施工性能也会发生改变。在配合比设计时，应该综合考虑防水剂掺量对混凝土性能的影响。</w:t>
      </w:r>
    </w:p>
    <w:p w14:paraId="7A9F6D41">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6.0.4</w:t>
      </w:r>
      <w:r>
        <w:rPr>
          <w:bCs/>
          <w:color w:val="000000" w:themeColor="text1"/>
          <w:szCs w:val="21"/>
          <w:shd w:val="clear" w:color="auto" w:fill="FFFFFF"/>
          <w14:textFill>
            <w14:solidFill>
              <w14:schemeClr w14:val="tx1"/>
            </w14:solidFill>
          </w14:textFill>
        </w:rPr>
        <w:t>混凝土防水剂通常由无机抗渗组分、有机防水组分等构成，这些组分与减水剂、膨胀剂、阻锈剂等外加剂共同使用时，可能会对混凝土凝结时间、坍落度产生影响，甚至会影响强度、抗渗性和耐久性。</w:t>
      </w:r>
    </w:p>
    <w:p w14:paraId="512F552B">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6.0.5</w:t>
      </w:r>
      <w:r>
        <w:rPr>
          <w:bCs/>
          <w:color w:val="000000" w:themeColor="text1"/>
          <w:szCs w:val="21"/>
          <w:shd w:val="clear" w:color="auto" w:fill="FFFFFF"/>
          <w14:textFill>
            <w14:solidFill>
              <w14:schemeClr w14:val="tx1"/>
            </w14:solidFill>
          </w14:textFill>
        </w:rPr>
        <w:t>通常混凝土在相同工作性能条件下，增大胶凝材料用量会降低水胶比，提升防水性能。但是增加胶凝材料用量会使混凝土温度收缩和干燥收缩增加。因此在保证混凝土工作性要求下，应该尽量减少用水量和胶凝材料用量，增加骨料用量。降低单方混凝土用水量能够减少收缩，降低混凝土泌水，提高混凝土的防水性能。</w:t>
      </w:r>
    </w:p>
    <w:p w14:paraId="44423F43">
      <w:pPr>
        <w:spacing w:line="360" w:lineRule="auto"/>
        <w:ind w:firstLine="480" w:firstLineChars="200"/>
        <w:rPr>
          <w:rFonts w:eastAsia="仿宋"/>
          <w:bCs/>
          <w:color w:val="000000" w:themeColor="text1"/>
          <w:sz w:val="24"/>
          <w:shd w:val="clear" w:color="auto" w:fill="FFFFFF"/>
          <w14:textFill>
            <w14:solidFill>
              <w14:schemeClr w14:val="tx1"/>
            </w14:solidFill>
          </w14:textFill>
        </w:rPr>
      </w:pPr>
      <w:r>
        <w:rPr>
          <w:sz w:val="24"/>
        </w:rPr>
        <w:br w:type="page"/>
      </w:r>
    </w:p>
    <w:p w14:paraId="3C81C395">
      <w:pPr>
        <w:spacing w:before="312" w:beforeLines="100" w:after="312" w:afterLines="100" w:line="360" w:lineRule="auto"/>
        <w:jc w:val="center"/>
        <w:outlineLvl w:val="0"/>
        <w:rPr>
          <w:b/>
          <w:bCs/>
          <w:sz w:val="30"/>
          <w:szCs w:val="30"/>
        </w:rPr>
      </w:pPr>
      <w:bookmarkStart w:id="130" w:name="_Toc31662"/>
      <w:bookmarkStart w:id="131" w:name="_Toc222866271"/>
      <w:bookmarkStart w:id="132" w:name="_Toc222865927"/>
      <w:bookmarkStart w:id="133" w:name="_Toc222865175"/>
      <w:r>
        <w:rPr>
          <w:b/>
          <w:bCs/>
          <w:sz w:val="30"/>
          <w:szCs w:val="30"/>
        </w:rPr>
        <w:t>7 施工</w:t>
      </w:r>
      <w:bookmarkEnd w:id="130"/>
      <w:bookmarkEnd w:id="131"/>
      <w:bookmarkEnd w:id="132"/>
      <w:bookmarkEnd w:id="133"/>
    </w:p>
    <w:p w14:paraId="18B304F1">
      <w:pPr>
        <w:pStyle w:val="3"/>
        <w:spacing w:before="312" w:beforeLines="100" w:after="312" w:afterLines="100" w:line="360" w:lineRule="auto"/>
        <w:jc w:val="center"/>
        <w:rPr>
          <w:rFonts w:hint="eastAsia" w:ascii="Times New Roman" w:hAnsi="Times New Roman" w:eastAsia="宋体" w:cs="Times New Roman"/>
          <w:kern w:val="0"/>
          <w:sz w:val="28"/>
          <w:szCs w:val="28"/>
          <w:lang w:val="en-US" w:eastAsia="zh-CN"/>
        </w:rPr>
      </w:pPr>
      <w:r>
        <w:rPr>
          <w:rFonts w:hint="eastAsia" w:ascii="Times New Roman" w:hAnsi="Times New Roman" w:eastAsia="宋体" w:cs="Times New Roman"/>
          <w:kern w:val="0"/>
          <w:sz w:val="28"/>
          <w:szCs w:val="28"/>
          <w:lang w:val="en-US" w:eastAsia="zh-CN"/>
        </w:rPr>
        <w:t>7.1一般规定</w:t>
      </w:r>
    </w:p>
    <w:p w14:paraId="4E831933">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7.1.1</w:t>
      </w:r>
      <w:r>
        <w:rPr>
          <w:rFonts w:hint="eastAsia"/>
          <w:bCs/>
          <w:color w:val="000000" w:themeColor="text1"/>
          <w:szCs w:val="21"/>
          <w:shd w:val="clear" w:color="auto" w:fill="FFFFFF"/>
          <w14:textFill>
            <w14:solidFill>
              <w14:schemeClr w14:val="tx1"/>
            </w14:solidFill>
          </w14:textFill>
        </w:rPr>
        <w:t>本条规定在预留孔洞、预埋管、预埋件及止水带周边振捣时应避免扰动并保证密实，是因为该区域构造复杂、空间狭窄，最易发生漏振、夹渣、蜂窝孔洞等缺陷而形成渗漏通道；同时振捣器直接碰触或过度振捣易造成预埋件松动位移、止水带偏移或损伤，导致节点防水构造失效。规定必要时辅以人工插捣，是为解决机械振捣难以到达或易漏振部位的密实问题，降低节点渗漏风险</w:t>
      </w:r>
      <w:r>
        <w:rPr>
          <w:bCs/>
          <w:color w:val="000000" w:themeColor="text1"/>
          <w:szCs w:val="21"/>
          <w:shd w:val="clear" w:color="auto" w:fill="FFFFFF"/>
          <w14:textFill>
            <w14:solidFill>
              <w14:schemeClr w14:val="tx1"/>
            </w14:solidFill>
          </w14:textFill>
        </w:rPr>
        <w:t>。</w:t>
      </w:r>
    </w:p>
    <w:p w14:paraId="4F0FCF4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outlineLvl w:val="0"/>
        <w:rPr>
          <w:rFonts w:hint="eastAsia" w:eastAsia="宋体"/>
          <w:bCs/>
          <w:color w:val="000000" w:themeColor="text1"/>
          <w:szCs w:val="21"/>
          <w:shd w:val="clear" w:color="auto" w:fill="FFFFFF"/>
          <w:lang w:eastAsia="zh-CN"/>
          <w14:textFill>
            <w14:solidFill>
              <w14:schemeClr w14:val="tx1"/>
            </w14:solidFill>
          </w14:textFill>
        </w:rPr>
      </w:pPr>
      <w:r>
        <w:rPr>
          <w:b/>
          <w:color w:val="000000" w:themeColor="text1"/>
          <w:szCs w:val="21"/>
          <w:shd w:val="clear" w:color="auto" w:fill="FFFFFF"/>
          <w14:textFill>
            <w14:solidFill>
              <w14:schemeClr w14:val="tx1"/>
            </w14:solidFill>
          </w14:textFill>
        </w:rPr>
        <w:t>7.1.</w:t>
      </w:r>
      <w:r>
        <w:rPr>
          <w:rFonts w:hint="eastAsia"/>
          <w:b/>
          <w:color w:val="000000" w:themeColor="text1"/>
          <w:szCs w:val="21"/>
          <w:shd w:val="clear" w:color="auto" w:fill="FFFFFF"/>
          <w:lang w:val="en-US" w:eastAsia="zh-CN"/>
          <w14:textFill>
            <w14:solidFill>
              <w14:schemeClr w14:val="tx1"/>
            </w14:solidFill>
          </w14:textFill>
        </w:rPr>
        <w:t>2</w:t>
      </w:r>
      <w:r>
        <w:rPr>
          <w:rFonts w:hint="eastAsia"/>
          <w:bCs/>
          <w:color w:val="000000" w:themeColor="text1"/>
          <w:szCs w:val="21"/>
          <w:shd w:val="clear" w:color="auto" w:fill="FFFFFF"/>
          <w14:textFill>
            <w14:solidFill>
              <w14:schemeClr w14:val="tx1"/>
            </w14:solidFill>
          </w14:textFill>
        </w:rPr>
        <w:t>本条规定钢筋保护层厚度应满足设计要求且绑扎铁丝端头不得进入保护层，是为保证防水混凝土结构耐久性与抗渗性能。保护层不足会降低混凝土对钢筋的屏蔽与保护作用，易引发钢筋锈蚀并诱发裂缝，形成渗水通道；铁丝端头进入保护层会造成局部薄弱与锈蚀源点，易出现锈胀裂缝和渗漏隐患</w:t>
      </w:r>
      <w:r>
        <w:rPr>
          <w:rFonts w:hint="eastAsia"/>
          <w:bCs/>
          <w:color w:val="000000" w:themeColor="text1"/>
          <w:szCs w:val="21"/>
          <w:shd w:val="clear" w:color="auto" w:fill="FFFFFF"/>
          <w:lang w:eastAsia="zh-CN"/>
          <w14:textFill>
            <w14:solidFill>
              <w14:schemeClr w14:val="tx1"/>
            </w14:solidFill>
          </w14:textFill>
        </w:rPr>
        <w:t>，因此作出禁止性规定。</w:t>
      </w:r>
    </w:p>
    <w:p w14:paraId="3A42073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outlineLvl w:val="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7.1.</w:t>
      </w:r>
      <w:r>
        <w:rPr>
          <w:rFonts w:hint="eastAsia"/>
          <w:b/>
          <w:color w:val="000000" w:themeColor="text1"/>
          <w:szCs w:val="21"/>
          <w:shd w:val="clear" w:color="auto" w:fill="FFFFFF"/>
          <w:lang w:val="en-US" w:eastAsia="zh-CN"/>
          <w14:textFill>
            <w14:solidFill>
              <w14:schemeClr w14:val="tx1"/>
            </w14:solidFill>
          </w14:textFill>
        </w:rPr>
        <w:t>3</w:t>
      </w:r>
      <w:r>
        <w:rPr>
          <w:rFonts w:hint="eastAsia"/>
          <w:bCs/>
          <w:color w:val="000000" w:themeColor="text1"/>
          <w:szCs w:val="21"/>
          <w:shd w:val="clear" w:color="auto" w:fill="FFFFFF"/>
          <w14:textFill>
            <w14:solidFill>
              <w14:schemeClr w14:val="tx1"/>
            </w14:solidFill>
          </w14:textFill>
        </w:rPr>
        <w:t>本条</w:t>
      </w:r>
      <w:r>
        <w:rPr>
          <w:rFonts w:hint="eastAsia"/>
          <w:bCs/>
          <w:color w:val="000000" w:themeColor="text1"/>
          <w:szCs w:val="21"/>
          <w:shd w:val="clear" w:color="auto" w:fill="FFFFFF"/>
          <w:lang w:val="en-US" w:eastAsia="zh-CN"/>
          <w14:textFill>
            <w14:solidFill>
              <w14:schemeClr w14:val="tx1"/>
            </w14:solidFill>
          </w14:textFill>
        </w:rPr>
        <w:t>设立</w:t>
      </w:r>
      <w:r>
        <w:rPr>
          <w:rFonts w:hint="eastAsia"/>
          <w:bCs/>
          <w:color w:val="000000" w:themeColor="text1"/>
          <w:szCs w:val="21"/>
          <w:shd w:val="clear" w:color="auto" w:fill="FFFFFF"/>
          <w14:textFill>
            <w14:solidFill>
              <w14:schemeClr w14:val="tx1"/>
            </w14:solidFill>
          </w14:textFill>
        </w:rPr>
        <w:t>是为</w:t>
      </w:r>
      <w:r>
        <w:rPr>
          <w:rFonts w:hint="eastAsia"/>
          <w:bCs/>
          <w:color w:val="000000" w:themeColor="text1"/>
          <w:szCs w:val="21"/>
          <w:shd w:val="clear" w:color="auto" w:fill="FFFFFF"/>
          <w:lang w:val="en-US" w:eastAsia="zh-CN"/>
          <w14:textFill>
            <w14:solidFill>
              <w14:schemeClr w14:val="tx1"/>
            </w14:solidFill>
          </w14:textFill>
        </w:rPr>
        <w:t>了</w:t>
      </w:r>
      <w:r>
        <w:rPr>
          <w:rFonts w:hint="eastAsia"/>
          <w:bCs/>
          <w:color w:val="000000" w:themeColor="text1"/>
          <w:szCs w:val="21"/>
          <w:shd w:val="clear" w:color="auto" w:fill="FFFFFF"/>
          <w14:textFill>
            <w14:solidFill>
              <w14:schemeClr w14:val="tx1"/>
            </w14:solidFill>
          </w14:textFill>
        </w:rPr>
        <w:t>在底板浇筑及防水施工期间形成稳定、干燥的作业条件，避免地下水对新浇混凝土和防水构造产生冲刷、扰动、浮托及渗压影响，保证混凝土密实成型和节点施工质量。规定地下水位低于垫层底部标高一定高度，是为降低基底渗水与作业面返潮风险；规定降水井封堵牢固密实，是为防止降水井成为永久渗漏通道并消除结构薄弱点</w:t>
      </w:r>
      <w:r>
        <w:rPr>
          <w:bCs/>
          <w:color w:val="000000" w:themeColor="text1"/>
          <w:szCs w:val="21"/>
          <w:shd w:val="clear" w:color="auto" w:fill="FFFFFF"/>
          <w14:textFill>
            <w14:solidFill>
              <w14:schemeClr w14:val="tx1"/>
            </w14:solidFill>
          </w14:textFill>
        </w:rPr>
        <w:t>。</w:t>
      </w:r>
    </w:p>
    <w:p w14:paraId="4189DB2D">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outlineLvl w:val="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7.1.</w:t>
      </w:r>
      <w:r>
        <w:rPr>
          <w:rFonts w:hint="eastAsia"/>
          <w:b/>
          <w:color w:val="000000" w:themeColor="text1"/>
          <w:szCs w:val="21"/>
          <w:shd w:val="clear" w:color="auto" w:fill="FFFFFF"/>
          <w:lang w:val="en-US" w:eastAsia="zh-CN"/>
          <w14:textFill>
            <w14:solidFill>
              <w14:schemeClr w14:val="tx1"/>
            </w14:solidFill>
          </w14:textFill>
        </w:rPr>
        <w:t>4</w:t>
      </w:r>
      <w:r>
        <w:rPr>
          <w:rFonts w:hint="eastAsia"/>
          <w:bCs/>
          <w:color w:val="000000" w:themeColor="text1"/>
          <w:szCs w:val="21"/>
          <w:shd w:val="clear" w:color="auto" w:fill="FFFFFF"/>
          <w14:textFill>
            <w14:solidFill>
              <w14:schemeClr w14:val="tx1"/>
            </w14:solidFill>
          </w14:textFill>
        </w:rPr>
        <w:t>自防水屋面板在防水层施工前进行淋水或蓄水试验，是为了在结构自防水阶段尽早暴露渗漏点及混凝土缺陷，避免防水层施工后将问题遮蔽而导致渗漏难以发现、定位和修复；试验应在混凝土达到设计强度一定比例后进行，是因为此时混凝土已具备较好的承载与抗裂能力，可更稳定地承受水荷载及含水条件变化影响，降低早期试验诱发附加开裂的风险；对试验中发现的渗漏或其他缺陷先修复并经复验合格后再进入下一道工序，可形成“发现—治理—验证”的质量闭环，确保结构自防水可靠并与后续防水层施工有效衔接。</w:t>
      </w:r>
    </w:p>
    <w:p w14:paraId="28EE39FE">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outlineLvl w:val="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7.1.</w:t>
      </w:r>
      <w:r>
        <w:rPr>
          <w:rFonts w:hint="eastAsia"/>
          <w:b/>
          <w:color w:val="000000" w:themeColor="text1"/>
          <w:szCs w:val="21"/>
          <w:shd w:val="clear" w:color="auto" w:fill="FFFFFF"/>
          <w:lang w:val="en-US" w:eastAsia="zh-CN"/>
          <w14:textFill>
            <w14:solidFill>
              <w14:schemeClr w14:val="tx1"/>
            </w14:solidFill>
          </w14:textFill>
        </w:rPr>
        <w:t>5</w:t>
      </w:r>
      <w:r>
        <w:rPr>
          <w:rFonts w:hint="eastAsia"/>
          <w:bCs/>
          <w:color w:val="000000" w:themeColor="text1"/>
          <w:szCs w:val="21"/>
          <w:shd w:val="clear" w:color="auto" w:fill="FFFFFF"/>
          <w14:textFill>
            <w14:solidFill>
              <w14:schemeClr w14:val="tx1"/>
            </w14:solidFill>
          </w14:textFill>
        </w:rPr>
        <w:t>本条规定蓄水类工程底板和顶板应连续浇筑且不留设施工缝，是为避免在受水压力作用下施工缝成为优先渗流通道，并减少因缝面处理不当导致的渗漏风险。蓄水构筑物底、顶板通常为主要受水构件，渗漏维修代价高且影响使用功能，因此通过连续浇筑控制关键部位的整体性与密实性。</w:t>
      </w:r>
    </w:p>
    <w:p w14:paraId="65DB9A09">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outlineLvl w:val="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7.1.</w:t>
      </w:r>
      <w:r>
        <w:rPr>
          <w:rFonts w:hint="eastAsia"/>
          <w:b/>
          <w:color w:val="000000" w:themeColor="text1"/>
          <w:szCs w:val="21"/>
          <w:shd w:val="clear" w:color="auto" w:fill="FFFFFF"/>
          <w:lang w:val="en-US" w:eastAsia="zh-CN"/>
          <w14:textFill>
            <w14:solidFill>
              <w14:schemeClr w14:val="tx1"/>
            </w14:solidFill>
          </w14:textFill>
        </w:rPr>
        <w:t>6</w:t>
      </w:r>
      <w:r>
        <w:rPr>
          <w:rFonts w:hint="eastAsia"/>
          <w:bCs/>
          <w:color w:val="000000" w:themeColor="text1"/>
          <w:szCs w:val="21"/>
          <w:shd w:val="clear" w:color="auto" w:fill="FFFFFF"/>
          <w14:textFill>
            <w14:solidFill>
              <w14:schemeClr w14:val="tx1"/>
            </w14:solidFill>
          </w14:textFill>
        </w:rPr>
        <w:t>本条规定蓄水类工程壁板应分层交圈连续浇筑且不留设垂直施工缝，是为保证池壁的整体防水性能与受力连续性。垂直施工缝贯穿壁厚且与水压力作用方向不利，若处理不当极易形成贯通渗漏路径；采用分层交圈连续浇筑可减少浇筑间歇与接缝数量，降低冷缝和离析缺陷概率，提高壁板密实性与抗渗可靠性</w:t>
      </w:r>
      <w:r>
        <w:rPr>
          <w:bCs/>
          <w:color w:val="000000" w:themeColor="text1"/>
          <w:szCs w:val="21"/>
          <w:shd w:val="clear" w:color="auto" w:fill="FFFFFF"/>
          <w14:textFill>
            <w14:solidFill>
              <w14:schemeClr w14:val="tx1"/>
            </w14:solidFill>
          </w14:textFill>
        </w:rPr>
        <w:t>。</w:t>
      </w:r>
    </w:p>
    <w:p w14:paraId="22A6C500">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outlineLvl w:val="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7.1.</w:t>
      </w:r>
      <w:r>
        <w:rPr>
          <w:rFonts w:hint="eastAsia"/>
          <w:b/>
          <w:color w:val="000000" w:themeColor="text1"/>
          <w:szCs w:val="21"/>
          <w:shd w:val="clear" w:color="auto" w:fill="FFFFFF"/>
          <w:lang w:val="en-US" w:eastAsia="zh-CN"/>
          <w14:textFill>
            <w14:solidFill>
              <w14:schemeClr w14:val="tx1"/>
            </w14:solidFill>
          </w14:textFill>
        </w:rPr>
        <w:t>7</w:t>
      </w:r>
      <w:r>
        <w:rPr>
          <w:rFonts w:hint="eastAsia"/>
          <w:bCs/>
          <w:color w:val="000000" w:themeColor="text1"/>
          <w:szCs w:val="21"/>
          <w:shd w:val="clear" w:color="auto" w:fill="FFFFFF"/>
          <w14:textFill>
            <w14:solidFill>
              <w14:schemeClr w14:val="tx1"/>
            </w14:solidFill>
          </w14:textFill>
        </w:rPr>
        <w:t>本条对超长混凝土结构施工引用现行行业标准，是为控制超长结构因温度收缩、干燥收缩等引起的裂缝风险。防水混凝土结构对裂缝敏感，超长结构若仅依靠材料抗渗难以保证不开裂或裂缝可控，需在施工组织、温控与收缩控制、后浇带/跳仓等措施上形成系统性技术要求。引用专门标准可避免重复规定并保证与现行技术体系一致</w:t>
      </w:r>
      <w:r>
        <w:rPr>
          <w:bCs/>
          <w:color w:val="000000" w:themeColor="text1"/>
          <w:szCs w:val="21"/>
          <w:shd w:val="clear" w:color="auto" w:fill="FFFFFF"/>
          <w14:textFill>
            <w14:solidFill>
              <w14:schemeClr w14:val="tx1"/>
            </w14:solidFill>
          </w14:textFill>
        </w:rPr>
        <w:t>。</w:t>
      </w:r>
    </w:p>
    <w:p w14:paraId="4861F80F">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both"/>
        <w:textAlignment w:val="auto"/>
        <w:outlineLvl w:val="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7.1.</w:t>
      </w:r>
      <w:r>
        <w:rPr>
          <w:rFonts w:hint="eastAsia"/>
          <w:b/>
          <w:color w:val="000000" w:themeColor="text1"/>
          <w:szCs w:val="21"/>
          <w:shd w:val="clear" w:color="auto" w:fill="FFFFFF"/>
          <w:lang w:val="en-US" w:eastAsia="zh-CN"/>
          <w14:textFill>
            <w14:solidFill>
              <w14:schemeClr w14:val="tx1"/>
            </w14:solidFill>
          </w14:textFill>
        </w:rPr>
        <w:t>8</w:t>
      </w:r>
      <w:r>
        <w:rPr>
          <w:rFonts w:hint="eastAsia"/>
          <w:bCs/>
          <w:color w:val="000000" w:themeColor="text1"/>
          <w:szCs w:val="21"/>
          <w:shd w:val="clear" w:color="auto" w:fill="FFFFFF"/>
          <w14:textFill>
            <w14:solidFill>
              <w14:schemeClr w14:val="tx1"/>
            </w14:solidFill>
          </w14:textFill>
        </w:rPr>
        <w:t>本条规定掺加防水剂的混凝土施工后仍应对影响防水功能的缺陷进行治理，是为明确“掺防水剂不等于免缺陷处理”。防水剂主要改善混凝土抗渗与孔隙结构，但对施工质量缺陷、结构裂缝及节点渗漏不具有自动消除作用，若不及时治理将难以满足设计防水等级要求。条款分别对治理效果、安全影响及典型缺陷治理方法提出要求，并引用相关材料标准规定性能指标，是为保证治理材料的适用性与可靠性，避免因材料性能不足或措施不当造成二次渗漏、结构受损或环境风险。</w:t>
      </w:r>
    </w:p>
    <w:p w14:paraId="59390797">
      <w:pPr>
        <w:pStyle w:val="3"/>
        <w:spacing w:before="312" w:beforeLines="100" w:after="312" w:afterLines="100" w:line="360" w:lineRule="auto"/>
        <w:jc w:val="center"/>
        <w:rPr>
          <w:rFonts w:ascii="Times New Roman" w:hAnsi="Times New Roman" w:eastAsia="黑体"/>
          <w:b w:val="0"/>
          <w:bCs w:val="0"/>
          <w:kern w:val="0"/>
          <w:sz w:val="28"/>
          <w:szCs w:val="28"/>
        </w:rPr>
      </w:pPr>
      <w:bookmarkStart w:id="134" w:name="_Toc222865176"/>
      <w:bookmarkStart w:id="135" w:name="_Toc27107"/>
      <w:bookmarkStart w:id="136" w:name="_Toc222866272"/>
      <w:bookmarkStart w:id="137" w:name="_Toc222865928"/>
      <w:r>
        <w:rPr>
          <w:rFonts w:ascii="Times New Roman" w:hAnsi="Times New Roman"/>
          <w:kern w:val="0"/>
          <w:sz w:val="28"/>
          <w:szCs w:val="28"/>
        </w:rPr>
        <w:t>7.</w:t>
      </w:r>
      <w:r>
        <w:rPr>
          <w:rFonts w:hint="eastAsia" w:ascii="Times New Roman" w:hAnsi="Times New Roman"/>
          <w:kern w:val="0"/>
          <w:sz w:val="28"/>
          <w:szCs w:val="28"/>
          <w:lang w:val="en-US" w:eastAsia="zh-CN"/>
        </w:rPr>
        <w:t>2</w:t>
      </w:r>
      <w:r>
        <w:rPr>
          <w:rFonts w:ascii="Times New Roman" w:hAnsi="Times New Roman"/>
          <w:kern w:val="0"/>
          <w:sz w:val="28"/>
          <w:szCs w:val="28"/>
        </w:rPr>
        <w:t xml:space="preserve"> </w:t>
      </w:r>
      <w:r>
        <w:rPr>
          <w:rFonts w:ascii="Times New Roman" w:hAnsi="Times New Roman" w:eastAsia="黑体"/>
          <w:b w:val="0"/>
          <w:bCs w:val="0"/>
          <w:kern w:val="0"/>
          <w:sz w:val="28"/>
          <w:szCs w:val="28"/>
        </w:rPr>
        <w:t>生产和运输</w:t>
      </w:r>
      <w:bookmarkEnd w:id="134"/>
      <w:bookmarkEnd w:id="135"/>
      <w:bookmarkEnd w:id="136"/>
      <w:bookmarkEnd w:id="137"/>
    </w:p>
    <w:p w14:paraId="7BE50B3C">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2</w:t>
      </w:r>
      <w:r>
        <w:rPr>
          <w:b/>
          <w:color w:val="000000" w:themeColor="text1"/>
          <w:szCs w:val="21"/>
          <w:shd w:val="clear" w:color="auto" w:fill="FFFFFF"/>
          <w14:textFill>
            <w14:solidFill>
              <w14:schemeClr w14:val="tx1"/>
            </w14:solidFill>
          </w14:textFill>
        </w:rPr>
        <w:t>.1</w:t>
      </w:r>
      <w:r>
        <w:rPr>
          <w:bCs/>
          <w:color w:val="000000" w:themeColor="text1"/>
          <w:szCs w:val="21"/>
          <w:shd w:val="clear" w:color="auto" w:fill="FFFFFF"/>
          <w14:textFill>
            <w14:solidFill>
              <w14:schemeClr w14:val="tx1"/>
            </w14:solidFill>
          </w14:textFill>
        </w:rPr>
        <w:t>预拌混凝土的质量控制优于现场拌制混凝土。掺加防水剂的混凝土对质量控制要求严格，因此规定宜在预拌混凝土工厂生产。</w:t>
      </w:r>
    </w:p>
    <w:p w14:paraId="1CED05C5">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2</w:t>
      </w:r>
      <w:r>
        <w:rPr>
          <w:b/>
          <w:color w:val="000000" w:themeColor="text1"/>
          <w:szCs w:val="21"/>
          <w:shd w:val="clear" w:color="auto" w:fill="FFFFFF"/>
          <w14:textFill>
            <w14:solidFill>
              <w14:schemeClr w14:val="tx1"/>
            </w14:solidFill>
          </w14:textFill>
        </w:rPr>
        <w:t>.2</w:t>
      </w:r>
      <w:r>
        <w:rPr>
          <w:bCs/>
          <w:color w:val="000000" w:themeColor="text1"/>
          <w:szCs w:val="21"/>
          <w:shd w:val="clear" w:color="auto" w:fill="FFFFFF"/>
          <w14:textFill>
            <w14:solidFill>
              <w14:schemeClr w14:val="tx1"/>
            </w14:solidFill>
          </w14:textFill>
        </w:rPr>
        <w:t>计量不准确可能会导致混凝土施工性能、强度、抗渗性能、耐久性能发生变化。在实际工程中，曾发生过计量不准确尤其是防水剂超掺导致混凝土凝结异常、强度下降、抗渗抗裂性能下降的工程事故。因此本条规定了各种原材料的允许计量偏差。</w:t>
      </w:r>
    </w:p>
    <w:p w14:paraId="4C030B8A">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2</w:t>
      </w:r>
      <w:r>
        <w:rPr>
          <w:b/>
          <w:color w:val="000000" w:themeColor="text1"/>
          <w:szCs w:val="21"/>
          <w:shd w:val="clear" w:color="auto" w:fill="FFFFFF"/>
          <w14:textFill>
            <w14:solidFill>
              <w14:schemeClr w14:val="tx1"/>
            </w14:solidFill>
          </w14:textFill>
        </w:rPr>
        <w:t>.4</w:t>
      </w:r>
      <w:r>
        <w:rPr>
          <w:bCs/>
          <w:color w:val="000000" w:themeColor="text1"/>
          <w:szCs w:val="21"/>
          <w:shd w:val="clear" w:color="auto" w:fill="FFFFFF"/>
          <w14:textFill>
            <w14:solidFill>
              <w14:schemeClr w14:val="tx1"/>
            </w14:solidFill>
          </w14:textFill>
        </w:rPr>
        <w:t>使用液体产品可以减少投料过程中的粉尘污染。根据搅拌站计量输送泵的情况，混凝土防水剂制成一定浓度的液体，便于自动计量，以减少投料粉尘，实现文明施工。使用过程中需要注意液体浓度与输送泵的匹配性。另外防水剂液体还要避免长期存放导致变质。</w:t>
      </w:r>
    </w:p>
    <w:p w14:paraId="2BDE9715">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2</w:t>
      </w:r>
      <w:r>
        <w:rPr>
          <w:b/>
          <w:color w:val="000000" w:themeColor="text1"/>
          <w:szCs w:val="21"/>
          <w:shd w:val="clear" w:color="auto" w:fill="FFFFFF"/>
          <w14:textFill>
            <w14:solidFill>
              <w14:schemeClr w14:val="tx1"/>
            </w14:solidFill>
          </w14:textFill>
        </w:rPr>
        <w:t>.5</w:t>
      </w:r>
      <w:r>
        <w:rPr>
          <w:bCs/>
          <w:color w:val="000000" w:themeColor="text1"/>
          <w:szCs w:val="21"/>
          <w:shd w:val="clear" w:color="auto" w:fill="FFFFFF"/>
          <w14:textFill>
            <w14:solidFill>
              <w14:schemeClr w14:val="tx1"/>
            </w14:solidFill>
          </w14:textFill>
        </w:rPr>
        <w:t>本条规定了混凝土拌合物的运输方式和运输过程中的注意事项。</w:t>
      </w:r>
    </w:p>
    <w:p w14:paraId="1556D454">
      <w:pPr>
        <w:spacing w:line="360" w:lineRule="auto"/>
        <w:ind w:firstLine="422" w:firstLineChars="200"/>
        <w:rPr>
          <w:rFonts w:eastAsia="仿宋"/>
          <w:bCs/>
          <w:color w:val="000000" w:themeColor="text1"/>
          <w:sz w:val="24"/>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2</w:t>
      </w:r>
      <w:r>
        <w:rPr>
          <w:b/>
          <w:color w:val="000000" w:themeColor="text1"/>
          <w:szCs w:val="21"/>
          <w:shd w:val="clear" w:color="auto" w:fill="FFFFFF"/>
          <w14:textFill>
            <w14:solidFill>
              <w14:schemeClr w14:val="tx1"/>
            </w14:solidFill>
          </w14:textFill>
        </w:rPr>
        <w:t>.6</w:t>
      </w:r>
      <w:r>
        <w:rPr>
          <w:bCs/>
          <w:color w:val="000000" w:themeColor="text1"/>
          <w:szCs w:val="21"/>
          <w:shd w:val="clear" w:color="auto" w:fill="FFFFFF"/>
          <w14:textFill>
            <w14:solidFill>
              <w14:schemeClr w14:val="tx1"/>
            </w14:solidFill>
          </w14:textFill>
        </w:rPr>
        <w:t>在施工现场随意加水不仅影响混凝土的强度，还会影响混凝土的抗渗、抗裂性能。因此本条规定，在施工中遇到坍落度不满足施工要求时，可以用同品种减水剂调整坍落度，严禁在施工现场直接加水。</w:t>
      </w:r>
    </w:p>
    <w:p w14:paraId="3F1C49DF">
      <w:pPr>
        <w:pStyle w:val="3"/>
        <w:spacing w:before="312" w:beforeLines="100" w:after="156" w:afterLines="50" w:line="360" w:lineRule="auto"/>
        <w:jc w:val="center"/>
        <w:rPr>
          <w:rFonts w:ascii="Times New Roman" w:hAnsi="Times New Roman" w:eastAsia="黑体"/>
          <w:b w:val="0"/>
          <w:bCs w:val="0"/>
          <w:kern w:val="0"/>
          <w:sz w:val="28"/>
          <w:szCs w:val="28"/>
        </w:rPr>
      </w:pPr>
      <w:bookmarkStart w:id="138" w:name="_Toc222865929"/>
      <w:bookmarkStart w:id="139" w:name="_Toc31949"/>
      <w:bookmarkStart w:id="140" w:name="_Toc222866273"/>
      <w:bookmarkStart w:id="141" w:name="_Toc222865177"/>
      <w:r>
        <w:rPr>
          <w:rFonts w:ascii="Times New Roman" w:hAnsi="Times New Roman" w:eastAsia="黑体"/>
          <w:b w:val="0"/>
          <w:bCs w:val="0"/>
          <w:kern w:val="0"/>
          <w:sz w:val="28"/>
          <w:szCs w:val="28"/>
        </w:rPr>
        <w:t>7.</w:t>
      </w:r>
      <w:r>
        <w:rPr>
          <w:rFonts w:hint="eastAsia" w:ascii="Times New Roman" w:hAnsi="Times New Roman" w:eastAsia="黑体"/>
          <w:b w:val="0"/>
          <w:bCs w:val="0"/>
          <w:kern w:val="0"/>
          <w:sz w:val="28"/>
          <w:szCs w:val="28"/>
          <w:lang w:val="en-US" w:eastAsia="zh-CN"/>
        </w:rPr>
        <w:t>3</w:t>
      </w:r>
      <w:r>
        <w:rPr>
          <w:rFonts w:ascii="Times New Roman" w:hAnsi="Times New Roman" w:eastAsia="黑体"/>
          <w:b w:val="0"/>
          <w:bCs w:val="0"/>
          <w:kern w:val="0"/>
          <w:sz w:val="28"/>
          <w:szCs w:val="28"/>
        </w:rPr>
        <w:t xml:space="preserve"> 浇筑和养护</w:t>
      </w:r>
      <w:bookmarkEnd w:id="138"/>
      <w:bookmarkEnd w:id="139"/>
      <w:bookmarkEnd w:id="140"/>
      <w:bookmarkEnd w:id="141"/>
    </w:p>
    <w:p w14:paraId="3B4AC20F">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 xml:space="preserve">.1 </w:t>
      </w:r>
      <w:r>
        <w:rPr>
          <w:bCs/>
          <w:color w:val="000000" w:themeColor="text1"/>
          <w:szCs w:val="21"/>
          <w:shd w:val="clear" w:color="auto" w:fill="FFFFFF"/>
          <w14:textFill>
            <w14:solidFill>
              <w14:schemeClr w14:val="tx1"/>
            </w14:solidFill>
          </w14:textFill>
        </w:rPr>
        <w:t>20mm厚的木模板，其热阻大约相当于300mm厚的混凝土。与木模板相比，钢模板或铝模板传热性能好，能够将混凝土中积蓄的热量尽快散发掉，降低混凝土温升峰值，减少温度裂缝。</w:t>
      </w:r>
    </w:p>
    <w:p w14:paraId="35DEAA89">
      <w:pPr>
        <w:spacing w:line="360" w:lineRule="auto"/>
        <w:ind w:firstLine="422" w:firstLineChars="200"/>
        <w:rPr>
          <w:rFonts w:hint="default" w:eastAsia="宋体"/>
          <w:bCs/>
          <w:color w:val="000000" w:themeColor="text1"/>
          <w:szCs w:val="21"/>
          <w:shd w:val="clear" w:color="auto" w:fill="FFFFFF"/>
          <w:lang w:val="en-US" w:eastAsia="zh-CN"/>
          <w14:textFill>
            <w14:solidFill>
              <w14:schemeClr w14:val="tx1"/>
            </w14:solidFill>
          </w14:textFill>
        </w:rPr>
      </w:pPr>
      <w:r>
        <w:rPr>
          <w:rFonts w:hint="eastAsia"/>
          <w:b/>
          <w:bCs w:val="0"/>
          <w:color w:val="000000" w:themeColor="text1"/>
          <w:szCs w:val="21"/>
          <w:shd w:val="clear" w:color="auto" w:fill="FFFFFF"/>
          <w:lang w:val="en-US" w:eastAsia="zh-CN"/>
          <w14:textFill>
            <w14:solidFill>
              <w14:schemeClr w14:val="tx1"/>
            </w14:solidFill>
          </w14:textFill>
        </w:rPr>
        <w:t>7.3.2</w:t>
      </w:r>
      <w:r>
        <w:rPr>
          <w:rFonts w:hint="eastAsia"/>
          <w:bCs/>
          <w:color w:val="000000" w:themeColor="text1"/>
          <w:szCs w:val="21"/>
          <w:shd w:val="clear" w:color="auto" w:fill="FFFFFF"/>
          <w:lang w:val="en-US" w:eastAsia="zh-CN"/>
          <w14:textFill>
            <w14:solidFill>
              <w14:schemeClr w14:val="tx1"/>
            </w14:solidFill>
          </w14:textFill>
        </w:rPr>
        <w:t>本条要求浇筑前清除模板内或垫层杂物，是为避免夹渣、蜂窝孔洞等缺陷，保证混凝土密实与抗渗性能。对干燥地基、垫层和模板洒水湿润（高温时对金属模板降温），可减少基层吸水和表面失水过快，降低塑性收缩裂缝风险。洒水后不得积水，以防稀释浆体、局部水胶比增大导致离析和抗渗薄弱区。</w:t>
      </w:r>
    </w:p>
    <w:p w14:paraId="3E038F51">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3</w:t>
      </w:r>
      <w:r>
        <w:rPr>
          <w:bCs/>
          <w:color w:val="000000" w:themeColor="text1"/>
          <w:szCs w:val="21"/>
          <w:shd w:val="clear" w:color="auto" w:fill="FFFFFF"/>
          <w14:textFill>
            <w14:solidFill>
              <w14:schemeClr w14:val="tx1"/>
            </w14:solidFill>
          </w14:textFill>
        </w:rPr>
        <w:t>浇筑温度高于30℃，会导致防水混凝土凝结时间缩短，容易出现施工冷缝；另外，浇筑气温高时，混凝土入模温度也高，会加大混凝土温度裂缝产生的概率。入模温度低于5℃，会影响混凝土凝结硬化，并导致强度增长缓慢。</w:t>
      </w:r>
    </w:p>
    <w:p w14:paraId="299DF669">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5</w:t>
      </w:r>
      <w:r>
        <w:rPr>
          <w:bCs/>
          <w:color w:val="000000" w:themeColor="text1"/>
          <w:szCs w:val="21"/>
          <w:shd w:val="clear" w:color="auto" w:fill="FFFFFF"/>
          <w14:textFill>
            <w14:solidFill>
              <w14:schemeClr w14:val="tx1"/>
            </w14:solidFill>
          </w14:textFill>
        </w:rPr>
        <w:t>施工冷缝属于施工质量事故，冷缝处极易渗漏水，因此在浇筑混凝土前应制定周详的浇筑计划，避免出现施工冷缝。</w:t>
      </w:r>
    </w:p>
    <w:p w14:paraId="2C02E7C6">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6</w:t>
      </w:r>
      <w:r>
        <w:rPr>
          <w:bCs/>
          <w:color w:val="000000" w:themeColor="text1"/>
          <w:szCs w:val="21"/>
          <w:shd w:val="clear" w:color="auto" w:fill="FFFFFF"/>
          <w14:textFill>
            <w14:solidFill>
              <w14:schemeClr w14:val="tx1"/>
            </w14:solidFill>
          </w14:textFill>
        </w:rPr>
        <w:t>本条规定的技术措施旨在避免大面积浇筑混凝土时发生施工冷缝。</w:t>
      </w:r>
    </w:p>
    <w:p w14:paraId="0682514D">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7</w:t>
      </w:r>
      <w:r>
        <w:rPr>
          <w:bCs/>
          <w:color w:val="000000" w:themeColor="text1"/>
          <w:szCs w:val="21"/>
          <w:shd w:val="clear" w:color="auto" w:fill="FFFFFF"/>
          <w14:textFill>
            <w14:solidFill>
              <w14:schemeClr w14:val="tx1"/>
            </w14:solidFill>
          </w14:textFill>
        </w:rPr>
        <w:t>规定分层浇筑厚度的目的，是确保</w:t>
      </w:r>
      <w:r>
        <w:rPr>
          <w:rFonts w:hint="eastAsia"/>
          <w:bCs/>
          <w:color w:val="000000" w:themeColor="text1"/>
          <w:szCs w:val="21"/>
          <w:shd w:val="clear" w:color="auto" w:fill="FFFFFF"/>
          <w:lang w:val="en-US" w:eastAsia="zh-CN"/>
          <w14:textFill>
            <w14:solidFill>
              <w14:schemeClr w14:val="tx1"/>
            </w14:solidFill>
          </w14:textFill>
        </w:rPr>
        <w:t>掺加防水剂的</w:t>
      </w:r>
      <w:r>
        <w:rPr>
          <w:bCs/>
          <w:color w:val="000000" w:themeColor="text1"/>
          <w:szCs w:val="21"/>
          <w:shd w:val="clear" w:color="auto" w:fill="FFFFFF"/>
          <w14:textFill>
            <w14:solidFill>
              <w14:schemeClr w14:val="tx1"/>
            </w14:solidFill>
          </w14:textFill>
        </w:rPr>
        <w:t>混凝土能够振捣密实。根据现行国家标准《混凝土结构工程施工规范》GB 50666的规定，每层浇筑厚度宜控制在（300～350）mm；大体积混凝土宜采用分层浇筑的方法，可利用自然流淌形成斜坡沿高度均匀上升，分层厚度不应大于500mm。</w:t>
      </w:r>
    </w:p>
    <w:p w14:paraId="5075BD8E">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8</w:t>
      </w:r>
      <w:r>
        <w:rPr>
          <w:bCs/>
          <w:color w:val="000000" w:themeColor="text1"/>
          <w:szCs w:val="21"/>
          <w:shd w:val="clear" w:color="auto" w:fill="FFFFFF"/>
          <w14:textFill>
            <w14:solidFill>
              <w14:schemeClr w14:val="tx1"/>
            </w14:solidFill>
          </w14:textFill>
        </w:rPr>
        <w:t>漏振、欠振和过振都会严重影响混凝土的质量，尤其是漏振和欠振会显著降低混凝土的密实度，因此混凝土切忌漏振和欠振。与人工插捣相比，机械振捣具有更强的激振力，更能够保证混凝土振捣质量，故建议采用机械振捣。</w:t>
      </w:r>
    </w:p>
    <w:p w14:paraId="4FF5CE78">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9</w:t>
      </w:r>
      <w:r>
        <w:rPr>
          <w:bCs/>
          <w:color w:val="000000" w:themeColor="text1"/>
          <w:szCs w:val="21"/>
          <w:shd w:val="clear" w:color="auto" w:fill="FFFFFF"/>
          <w14:textFill>
            <w14:solidFill>
              <w14:schemeClr w14:val="tx1"/>
            </w14:solidFill>
          </w14:textFill>
        </w:rPr>
        <w:t>混凝土浇筑完毕后，在初、终凝前，对混凝土表面抹压处理，能够有效消除混凝土的早期裂缝，对于提高混凝土结构的防水性能具有很好的作用。</w:t>
      </w:r>
    </w:p>
    <w:p w14:paraId="23FEC24A">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10</w:t>
      </w:r>
      <w:r>
        <w:rPr>
          <w:bCs/>
          <w:color w:val="000000" w:themeColor="text1"/>
          <w:szCs w:val="21"/>
          <w:shd w:val="clear" w:color="auto" w:fill="FFFFFF"/>
          <w14:textFill>
            <w14:solidFill>
              <w14:schemeClr w14:val="tx1"/>
            </w14:solidFill>
          </w14:textFill>
        </w:rPr>
        <w:t>掺加防水剂的</w:t>
      </w:r>
      <w:r>
        <w:rPr>
          <w:rFonts w:hint="eastAsia"/>
          <w:bCs/>
          <w:color w:val="000000" w:themeColor="text1"/>
          <w:szCs w:val="21"/>
          <w:shd w:val="clear" w:color="auto" w:fill="FFFFFF"/>
          <w:lang w:eastAsia="zh-CN"/>
          <w14:textFill>
            <w14:solidFill>
              <w14:schemeClr w14:val="tx1"/>
            </w14:solidFill>
          </w14:textFill>
        </w:rPr>
        <w:t>混凝土</w:t>
      </w:r>
      <w:r>
        <w:rPr>
          <w:bCs/>
          <w:color w:val="000000" w:themeColor="text1"/>
          <w:szCs w:val="21"/>
          <w:shd w:val="clear" w:color="auto" w:fill="FFFFFF"/>
          <w14:textFill>
            <w14:solidFill>
              <w14:schemeClr w14:val="tx1"/>
            </w14:solidFill>
          </w14:textFill>
        </w:rPr>
        <w:t>带模养护有利于减少温度裂缝，对减少侧墙混凝土干燥收缩开裂也有好处。</w:t>
      </w:r>
    </w:p>
    <w:p w14:paraId="7F704B8C">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w:t>
      </w:r>
      <w:r>
        <w:rPr>
          <w:rFonts w:hint="eastAsia"/>
          <w:b/>
          <w:color w:val="000000" w:themeColor="text1"/>
          <w:szCs w:val="21"/>
          <w:shd w:val="clear" w:color="auto" w:fill="FFFFFF"/>
          <w:lang w:val="en-US" w:eastAsia="zh-CN"/>
          <w14:textFill>
            <w14:solidFill>
              <w14:schemeClr w14:val="tx1"/>
            </w14:solidFill>
          </w14:textFill>
        </w:rPr>
        <w:t>11</w:t>
      </w:r>
      <w:r>
        <w:rPr>
          <w:bCs/>
          <w:color w:val="000000" w:themeColor="text1"/>
          <w:szCs w:val="21"/>
          <w:shd w:val="clear" w:color="auto" w:fill="FFFFFF"/>
          <w14:textFill>
            <w14:solidFill>
              <w14:schemeClr w14:val="tx1"/>
            </w14:solidFill>
          </w14:textFill>
        </w:rPr>
        <w:t>与普通混凝土相比，防水剂混凝土的养护更为重要。在浇筑成型后，如混凝土养护不及时，混凝土内部的水分将迅速蒸发，水分蒸发不但会造成毛细管网彼此连通，形成渗水通道，也会造成混凝土收缩增大，出现龟裂，导致抗渗性急剧下降，甚至完全丧失抗渗能力。混凝土养护措施有洒水、覆盖、喷涂养护剂等，可根据现场条件、环境温湿度、构件特点、技术要求、施工条件等因素确定。</w:t>
      </w:r>
    </w:p>
    <w:p w14:paraId="6129D67C">
      <w:pPr>
        <w:spacing w:line="360" w:lineRule="auto"/>
        <w:ind w:firstLine="422" w:firstLineChars="200"/>
        <w:rPr>
          <w:rFonts w:hint="default" w:eastAsia="宋体"/>
          <w:bCs/>
          <w:color w:val="000000" w:themeColor="text1"/>
          <w:szCs w:val="21"/>
          <w:shd w:val="clear" w:color="auto" w:fill="FFFFFF"/>
          <w:lang w:val="en-US" w:eastAsia="zh-CN"/>
          <w14:textFill>
            <w14:solidFill>
              <w14:schemeClr w14:val="tx1"/>
            </w14:solidFill>
          </w14:textFill>
        </w:rPr>
      </w:pPr>
      <w:r>
        <w:rPr>
          <w:rFonts w:hint="eastAsia"/>
          <w:b/>
          <w:bCs w:val="0"/>
          <w:color w:val="000000" w:themeColor="text1"/>
          <w:szCs w:val="21"/>
          <w:shd w:val="clear" w:color="auto" w:fill="FFFFFF"/>
          <w:lang w:val="en-US" w:eastAsia="zh-CN"/>
          <w14:textFill>
            <w14:solidFill>
              <w14:schemeClr w14:val="tx1"/>
            </w14:solidFill>
          </w14:textFill>
        </w:rPr>
        <w:t>7.3.12</w:t>
      </w:r>
      <w:r>
        <w:rPr>
          <w:rFonts w:hint="eastAsia"/>
          <w:bCs/>
          <w:color w:val="000000" w:themeColor="text1"/>
          <w:szCs w:val="21"/>
          <w:shd w:val="clear" w:color="auto" w:fill="FFFFFF"/>
          <w:lang w:val="en-US" w:eastAsia="zh-CN"/>
          <w14:textFill>
            <w14:solidFill>
              <w14:schemeClr w14:val="tx1"/>
            </w14:solidFill>
          </w14:textFill>
        </w:rPr>
        <w:t>本条通过限制混凝土芯部与表面、表面与环境的温差不超过20℃，并要求芯部开始降温前不得拆模，是为控制温度梯度与约束条件，减少温度应力引起的早期裂缝，保证抗渗与耐久性；同时规定混凝土表面温度与养护水温差不大于15℃，是为避免冷（热）水骤冷（骤热）导致表层温度突变和热冲击开裂，从而确保养护效果与结构自防水性能。</w:t>
      </w:r>
    </w:p>
    <w:p w14:paraId="120F42AE">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.1</w:t>
      </w:r>
      <w:r>
        <w:rPr>
          <w:rFonts w:hint="eastAsia"/>
          <w:b/>
          <w:color w:val="000000" w:themeColor="text1"/>
          <w:szCs w:val="21"/>
          <w:shd w:val="clear" w:color="auto" w:fill="FFFFFF"/>
          <w:lang w:val="en-US" w:eastAsia="zh-CN"/>
          <w14:textFill>
            <w14:solidFill>
              <w14:schemeClr w14:val="tx1"/>
            </w14:solidFill>
          </w14:textFill>
        </w:rPr>
        <w:t>3</w:t>
      </w:r>
      <w:r>
        <w:rPr>
          <w:bCs/>
          <w:color w:val="000000" w:themeColor="text1"/>
          <w:szCs w:val="21"/>
          <w:shd w:val="clear" w:color="auto" w:fill="FFFFFF"/>
          <w14:textFill>
            <w14:solidFill>
              <w14:schemeClr w14:val="tx1"/>
            </w14:solidFill>
          </w14:textFill>
        </w:rPr>
        <w:t>防水剂能提高静水压力下混凝土的抗渗性能。当混凝土处于腐蚀介质环境时，除了使用防水剂以外，还应考虑其他防腐措施。</w:t>
      </w:r>
    </w:p>
    <w:p w14:paraId="6E7DDAC2">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7.</w:t>
      </w:r>
      <w:r>
        <w:rPr>
          <w:rFonts w:hint="eastAsia"/>
          <w:b/>
          <w:color w:val="000000" w:themeColor="text1"/>
          <w:szCs w:val="21"/>
          <w:shd w:val="clear" w:color="auto" w:fill="FFFFFF"/>
          <w:lang w:val="en-US" w:eastAsia="zh-CN"/>
          <w14:textFill>
            <w14:solidFill>
              <w14:schemeClr w14:val="tx1"/>
            </w14:solidFill>
          </w14:textFill>
        </w:rPr>
        <w:t>3</w:t>
      </w:r>
      <w:r>
        <w:rPr>
          <w:b/>
          <w:color w:val="000000" w:themeColor="text1"/>
          <w:szCs w:val="21"/>
          <w:shd w:val="clear" w:color="auto" w:fill="FFFFFF"/>
          <w14:textFill>
            <w14:solidFill>
              <w14:schemeClr w14:val="tx1"/>
            </w14:solidFill>
          </w14:textFill>
        </w:rPr>
        <w:t>.1</w:t>
      </w:r>
      <w:r>
        <w:rPr>
          <w:rFonts w:hint="eastAsia"/>
          <w:b/>
          <w:color w:val="000000" w:themeColor="text1"/>
          <w:szCs w:val="21"/>
          <w:shd w:val="clear" w:color="auto" w:fill="FFFFFF"/>
          <w:lang w:val="en-US" w:eastAsia="zh-CN"/>
          <w14:textFill>
            <w14:solidFill>
              <w14:schemeClr w14:val="tx1"/>
            </w14:solidFill>
          </w14:textFill>
        </w:rPr>
        <w:t>4</w:t>
      </w:r>
      <w:r>
        <w:rPr>
          <w:bCs/>
          <w:color w:val="000000" w:themeColor="text1"/>
          <w:szCs w:val="21"/>
          <w:shd w:val="clear" w:color="auto" w:fill="FFFFFF"/>
          <w14:textFill>
            <w14:solidFill>
              <w14:schemeClr w14:val="tx1"/>
            </w14:solidFill>
          </w14:textFill>
        </w:rPr>
        <w:t>本条规定了结构最小截面尺寸超过1000mm或预测因水化热容易产生开裂的防水剂混凝土的温度监测与控制标准。大体积防水剂混凝土在施工过程中应采取特殊的施工措施防止混凝土开裂。如采取调整混凝土配合比、降低入模温度、分层浇筑、设置冷却水管、控制降温速率等技术措施，这些技术内容在现行国家标准《大体积混凝土施工标准》GB 50496均有较为详细的规定，在大体积混凝土施工过程中应按标准规定执行。</w:t>
      </w:r>
    </w:p>
    <w:p w14:paraId="6D3E449A">
      <w:pPr>
        <w:rPr>
          <w:rFonts w:eastAsia="仿宋"/>
          <w:bCs/>
          <w:color w:val="000000" w:themeColor="text1"/>
          <w:sz w:val="24"/>
          <w:shd w:val="clear" w:color="auto" w:fill="FFFFFF"/>
          <w14:textFill>
            <w14:solidFill>
              <w14:schemeClr w14:val="tx1"/>
            </w14:solidFill>
          </w14:textFill>
        </w:rPr>
      </w:pPr>
      <w:r>
        <w:rPr>
          <w:rFonts w:eastAsia="仿宋"/>
          <w:bCs/>
          <w:color w:val="000000" w:themeColor="text1"/>
          <w:sz w:val="24"/>
          <w:shd w:val="clear" w:color="auto" w:fill="FFFFFF"/>
          <w14:textFill>
            <w14:solidFill>
              <w14:schemeClr w14:val="tx1"/>
            </w14:solidFill>
          </w14:textFill>
        </w:rPr>
        <w:br w:type="page"/>
      </w:r>
    </w:p>
    <w:p w14:paraId="49FE456B">
      <w:pPr>
        <w:spacing w:before="312" w:beforeLines="100" w:after="312" w:afterLines="100" w:line="360" w:lineRule="auto"/>
        <w:jc w:val="center"/>
        <w:rPr>
          <w:b/>
          <w:bCs/>
          <w:sz w:val="32"/>
          <w:szCs w:val="32"/>
        </w:rPr>
      </w:pPr>
      <w:r>
        <w:rPr>
          <w:b/>
          <w:bCs/>
          <w:sz w:val="32"/>
          <w:szCs w:val="32"/>
        </w:rPr>
        <w:t>8 质量检验和验收</w:t>
      </w:r>
    </w:p>
    <w:p w14:paraId="3AB9E673">
      <w:pPr>
        <w:spacing w:line="360" w:lineRule="auto"/>
        <w:ind w:firstLine="422" w:firstLineChars="200"/>
        <w:jc w:val="left"/>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8.0.1</w:t>
      </w:r>
      <w:r>
        <w:rPr>
          <w:bCs/>
          <w:color w:val="000000" w:themeColor="text1"/>
          <w:szCs w:val="21"/>
          <w:shd w:val="clear" w:color="auto" w:fill="FFFFFF"/>
          <w14:textFill>
            <w14:solidFill>
              <w14:schemeClr w14:val="tx1"/>
            </w14:solidFill>
          </w14:textFill>
        </w:rPr>
        <w:t>生产混凝土的所有原材料质量文件齐全方可进场。</w:t>
      </w:r>
    </w:p>
    <w:p w14:paraId="08CA95AF">
      <w:pPr>
        <w:spacing w:line="360" w:lineRule="auto"/>
        <w:ind w:firstLine="422" w:firstLineChars="200"/>
        <w:rPr>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8.0.2</w:t>
      </w:r>
      <w:r>
        <w:rPr>
          <w:bCs/>
          <w:color w:val="000000" w:themeColor="text1"/>
          <w:szCs w:val="21"/>
          <w:shd w:val="clear" w:color="auto" w:fill="FFFFFF"/>
          <w14:textFill>
            <w14:solidFill>
              <w14:schemeClr w14:val="tx1"/>
            </w14:solidFill>
          </w14:textFill>
        </w:rPr>
        <w:t>本条规定了混凝土防水剂材料检验批量</w:t>
      </w:r>
      <w:r>
        <w:rPr>
          <w:rFonts w:hint="eastAsia"/>
          <w:bCs/>
          <w:color w:val="000000" w:themeColor="text1"/>
          <w:szCs w:val="21"/>
          <w:shd w:val="clear" w:color="auto" w:fill="FFFFFF"/>
          <w:lang w:eastAsia="zh-CN"/>
          <w14:textFill>
            <w14:solidFill>
              <w14:schemeClr w14:val="tx1"/>
            </w14:solidFill>
          </w14:textFill>
        </w:rPr>
        <w:t>、</w:t>
      </w:r>
      <w:r>
        <w:rPr>
          <w:bCs/>
          <w:color w:val="000000" w:themeColor="text1"/>
          <w:szCs w:val="21"/>
          <w:shd w:val="clear" w:color="auto" w:fill="FFFFFF"/>
          <w14:textFill>
            <w14:solidFill>
              <w14:schemeClr w14:val="tx1"/>
            </w14:solidFill>
          </w14:textFill>
        </w:rPr>
        <w:t>进场和施工中抽检的检验项目和</w:t>
      </w:r>
      <w:r>
        <w:rPr>
          <w:rFonts w:hint="eastAsia"/>
          <w:bCs/>
          <w:color w:val="000000" w:themeColor="text1"/>
          <w:szCs w:val="21"/>
          <w:shd w:val="clear" w:color="auto" w:fill="FFFFFF"/>
          <w:lang w:val="en-US" w:eastAsia="zh-CN"/>
          <w14:textFill>
            <w14:solidFill>
              <w14:schemeClr w14:val="tx1"/>
            </w14:solidFill>
          </w14:textFill>
        </w:rPr>
        <w:t>检测执行</w:t>
      </w:r>
      <w:r>
        <w:rPr>
          <w:bCs/>
          <w:color w:val="000000" w:themeColor="text1"/>
          <w:szCs w:val="21"/>
          <w:shd w:val="clear" w:color="auto" w:fill="FFFFFF"/>
          <w14:textFill>
            <w14:solidFill>
              <w14:schemeClr w14:val="tx1"/>
            </w14:solidFill>
          </w14:textFill>
        </w:rPr>
        <w:t>标准。</w:t>
      </w:r>
    </w:p>
    <w:p w14:paraId="500906FE">
      <w:pPr>
        <w:spacing w:line="360" w:lineRule="auto"/>
        <w:ind w:firstLine="422" w:firstLineChars="200"/>
        <w:rPr>
          <w:rFonts w:hint="eastAsia"/>
          <w:bCs/>
          <w:color w:val="000000" w:themeColor="text1"/>
          <w:szCs w:val="21"/>
          <w:shd w:val="clear" w:color="auto" w:fill="FFFFFF"/>
          <w14:textFill>
            <w14:solidFill>
              <w14:schemeClr w14:val="tx1"/>
            </w14:solidFill>
          </w14:textFill>
        </w:rPr>
      </w:pPr>
      <w:r>
        <w:rPr>
          <w:b/>
          <w:color w:val="000000" w:themeColor="text1"/>
          <w:szCs w:val="21"/>
          <w:shd w:val="clear" w:color="auto" w:fill="FFFFFF"/>
          <w14:textFill>
            <w14:solidFill>
              <w14:schemeClr w14:val="tx1"/>
            </w14:solidFill>
          </w14:textFill>
        </w:rPr>
        <w:t>8.0.3</w:t>
      </w:r>
      <w:r>
        <w:rPr>
          <w:bCs/>
          <w:color w:val="000000" w:themeColor="text1"/>
          <w:szCs w:val="21"/>
          <w:shd w:val="clear" w:color="auto" w:fill="FFFFFF"/>
          <w14:textFill>
            <w14:solidFill>
              <w14:schemeClr w14:val="tx1"/>
            </w14:solidFill>
          </w14:textFill>
        </w:rPr>
        <w:t>本条规定了掺加混凝土防水剂的混凝土中，除混凝土防水剂之外，其他原材料进场检验验收应该执行的标准。</w:t>
      </w:r>
    </w:p>
    <w:sectPr>
      <w:pgSz w:w="11906" w:h="16838"/>
      <w:pgMar w:top="1418"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74ABB">
    <w:pPr>
      <w:pStyle w:val="1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6D801">
    <w:pPr>
      <w:pStyle w:val="11"/>
      <w:jc w:val="center"/>
    </w:pPr>
    <w:r>
      <w:fldChar w:fldCharType="begin"/>
    </w:r>
    <w:r>
      <w:instrText xml:space="preserve">PAGE   \* MERGEFORMAT</w:instrText>
    </w:r>
    <w:r>
      <w:fldChar w:fldCharType="separate"/>
    </w:r>
    <w:r>
      <w:rPr>
        <w:lang w:val="zh-CN"/>
      </w:rPr>
      <w:t>II</w:t>
    </w:r>
    <w:r>
      <w:fldChar w:fldCharType="end"/>
    </w:r>
  </w:p>
  <w:p w14:paraId="3AA974C2">
    <w:pPr>
      <w:pStyle w:val="11"/>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5AA2E">
    <w:pPr>
      <w:pStyle w:val="11"/>
      <w:jc w:val="center"/>
    </w:pPr>
  </w:p>
  <w:p w14:paraId="057E6774">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877290"/>
      <w:docPartObj>
        <w:docPartGallery w:val="autotext"/>
      </w:docPartObj>
    </w:sdtPr>
    <w:sdtContent>
      <w:p w14:paraId="79D89B71">
        <w:pPr>
          <w:pStyle w:val="11"/>
          <w:jc w:val="center"/>
        </w:pPr>
        <w:r>
          <w:fldChar w:fldCharType="begin"/>
        </w:r>
        <w:r>
          <w:instrText xml:space="preserve">PAGE   \* MERGEFORMAT</w:instrText>
        </w:r>
        <w:r>
          <w:fldChar w:fldCharType="separate"/>
        </w:r>
        <w:r>
          <w:rPr>
            <w:lang w:val="zh-CN"/>
          </w:rPr>
          <w:t>2</w:t>
        </w:r>
        <w:r>
          <w:fldChar w:fldCharType="end"/>
        </w:r>
      </w:p>
    </w:sdtContent>
  </w:sdt>
  <w:p w14:paraId="671E0335">
    <w:pPr>
      <w:pStyle w:val="1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7813018"/>
      <w:docPartObj>
        <w:docPartGallery w:val="autotext"/>
      </w:docPartObj>
    </w:sdtPr>
    <w:sdtContent>
      <w:p w14:paraId="1F8E2857">
        <w:pPr>
          <w:pStyle w:val="11"/>
          <w:jc w:val="center"/>
        </w:pPr>
        <w:r>
          <w:fldChar w:fldCharType="begin"/>
        </w:r>
        <w:r>
          <w:instrText xml:space="preserve">PAGE   \* MERGEFORMAT</w:instrText>
        </w:r>
        <w:r>
          <w:fldChar w:fldCharType="separate"/>
        </w:r>
        <w:r>
          <w:rPr>
            <w:lang w:val="zh-CN"/>
          </w:rPr>
          <w:t>2</w:t>
        </w:r>
        <w:r>
          <w:fldChar w:fldCharType="end"/>
        </w:r>
      </w:p>
    </w:sdtContent>
  </w:sdt>
  <w:p w14:paraId="2BAE50C6">
    <w:pPr>
      <w:pStyle w:val="11"/>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A2832">
    <w:pPr>
      <w:pStyle w:val="11"/>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6598D2">
                          <w:pPr>
                            <w:pStyle w:val="1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ogMnjIAQAAmQMAAA4AAAAAAAAAAQAgAAAAHgEAAGRycy9lMm9Eb2Mu&#10;eG1sUEsFBgAAAAAGAAYAWQEAAFgFAAAAAA==&#10;">
              <v:fill on="f" focussize="0,0"/>
              <v:stroke on="f"/>
              <v:imagedata o:title=""/>
              <o:lock v:ext="edit" aspectratio="f"/>
              <v:textbox inset="0mm,0mm,0mm,0mm" style="mso-fit-shape-to-text:t;">
                <w:txbxContent>
                  <w:p w14:paraId="676598D2">
                    <w:pPr>
                      <w:pStyle w:val="1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9B246">
    <w:pPr>
      <w:pStyle w:val="11"/>
    </w:pPr>
    <w:r>
      <mc:AlternateContent>
        <mc:Choice Requires="wps">
          <w:drawing>
            <wp:anchor distT="0" distB="0" distL="114300" distR="114300" simplePos="0" relativeHeight="251662336" behindDoc="0" locked="0" layoutInCell="1" allowOverlap="1">
              <wp:simplePos x="0" y="0"/>
              <wp:positionH relativeFrom="margin">
                <wp:posOffset>2848610</wp:posOffset>
              </wp:positionH>
              <wp:positionV relativeFrom="paragraph">
                <wp:posOffset>-1905</wp:posOffset>
              </wp:positionV>
              <wp:extent cx="205740" cy="152400"/>
              <wp:effectExtent l="0" t="0" r="381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05740" cy="152400"/>
                      </a:xfrm>
                      <a:prstGeom prst="rect">
                        <a:avLst/>
                      </a:prstGeom>
                      <a:noFill/>
                      <a:ln>
                        <a:noFill/>
                      </a:ln>
                    </wps:spPr>
                    <wps:txbx>
                      <w:txbxContent>
                        <w:p w14:paraId="27A71667">
                          <w:pPr>
                            <w:pStyle w:val="11"/>
                          </w:pPr>
                          <w:r>
                            <w:fldChar w:fldCharType="begin"/>
                          </w:r>
                          <w:r>
                            <w:instrText xml:space="preserve"> PAGE  \* MERGEFORMAT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24.3pt;margin-top:-0.15pt;height:12pt;width:16.2pt;mso-position-horizontal-relative:margin;z-index:251662336;mso-width-relative:page;mso-height-relative:page;" filled="f" stroked="f" coordsize="21600,21600" o:gfxdata="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Jbqc92AAAAAgBAAAPAAAAAAAAAAEAIAAA&#10;ACIAAABkcnMvZG93bnJldi54bWxQSwECFAAUAAAACACHTuJAw38PGQwCAAAEBAAADgAAAAAAAAAB&#10;ACAAAAAnAQAAZHJzL2Uyb0RvYy54bWxQSwUGAAAAAAYABgBZAQAApQUAAAAA&#10;">
              <v:fill on="f" focussize="0,0"/>
              <v:stroke on="f"/>
              <v:imagedata o:title=""/>
              <o:lock v:ext="edit" aspectratio="f"/>
              <v:textbox inset="0mm,0mm,0mm,0mm">
                <w:txbxContent>
                  <w:p w14:paraId="27A7166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5B4EF">
    <w:pPr>
      <w:pStyle w:val="11"/>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66675</wp:posOffset>
              </wp:positionV>
              <wp:extent cx="243840" cy="215265"/>
              <wp:effectExtent l="14605"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rot="18557612">
                        <a:off x="0" y="0"/>
                        <a:ext cx="243840" cy="215265"/>
                      </a:xfrm>
                      <a:prstGeom prst="rect">
                        <a:avLst/>
                      </a:prstGeom>
                      <a:noFill/>
                      <a:ln>
                        <a:noFill/>
                      </a:ln>
                    </wps:spPr>
                    <wps:txbx>
                      <w:txbxContent>
                        <w:p w14:paraId="3D9CE797">
                          <w:pPr>
                            <w:pStyle w:val="11"/>
                            <w:jc w:val="center"/>
                          </w:pPr>
                          <w:r>
                            <w:rPr>
                              <w:rStyle w:val="21"/>
                            </w:rPr>
                            <w:fldChar w:fldCharType="begin"/>
                          </w:r>
                          <w:r>
                            <w:rPr>
                              <w:rStyle w:val="21"/>
                            </w:rPr>
                            <w:instrText xml:space="preserve"> PAGE </w:instrText>
                          </w:r>
                          <w:r>
                            <w:rPr>
                              <w:rStyle w:val="21"/>
                            </w:rPr>
                            <w:fldChar w:fldCharType="separate"/>
                          </w:r>
                          <w:r>
                            <w:rPr>
                              <w:rStyle w:val="21"/>
                            </w:rPr>
                            <w:t>8</w:t>
                          </w:r>
                          <w:r>
                            <w:rPr>
                              <w:rStyle w:val="21"/>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5.25pt;height:16.95pt;width:19.2pt;mso-position-horizontal:center;mso-position-horizontal-relative:margin;rotation:-3323099f;z-index:251664384;mso-width-relative:page;mso-height-relative:page;" filled="f" stroked="f" coordsize="21600,21600" o:gfxdata="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xZVi9MAAAAFAQAADwAAAAAA&#10;AAABACAAAAAiAAAAZHJzL2Rvd25yZXYueG1sUEsBAhQAFAAAAAgAh07iQFyRRt8YAgAAEwQAAA4A&#10;AAAAAAAAAQAgAAAAIgEAAGRycy9lMm9Eb2MueG1sUEsFBgAAAAAGAAYAWQEAAKwFAAAAAA==&#10;">
              <v:fill on="f" focussize="0,0"/>
              <v:stroke on="f"/>
              <v:imagedata o:title=""/>
              <o:lock v:ext="edit" aspectratio="f"/>
              <v:textbox inset="0mm,0mm,0mm,0mm">
                <w:txbxContent>
                  <w:p w14:paraId="3D9CE797">
                    <w:pPr>
                      <w:pStyle w:val="11"/>
                      <w:jc w:val="center"/>
                    </w:pPr>
                    <w:r>
                      <w:rPr>
                        <w:rStyle w:val="21"/>
                      </w:rPr>
                      <w:fldChar w:fldCharType="begin"/>
                    </w:r>
                    <w:r>
                      <w:rPr>
                        <w:rStyle w:val="21"/>
                      </w:rPr>
                      <w:instrText xml:space="preserve"> PAGE </w:instrText>
                    </w:r>
                    <w:r>
                      <w:rPr>
                        <w:rStyle w:val="21"/>
                      </w:rPr>
                      <w:fldChar w:fldCharType="separate"/>
                    </w:r>
                    <w:r>
                      <w:rPr>
                        <w:rStyle w:val="21"/>
                      </w:rPr>
                      <w:t>8</w:t>
                    </w:r>
                    <w:r>
                      <w:rPr>
                        <w:rStyle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4DED5">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66675</wp:posOffset>
              </wp:positionV>
              <wp:extent cx="243840" cy="215265"/>
              <wp:effectExtent l="52387" t="23813" r="56198" b="37147"/>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rot="18557612">
                        <a:off x="0" y="0"/>
                        <a:ext cx="243840" cy="215265"/>
                      </a:xfrm>
                      <a:prstGeom prst="rect">
                        <a:avLst/>
                      </a:prstGeom>
                      <a:noFill/>
                      <a:ln>
                        <a:noFill/>
                      </a:ln>
                    </wps:spPr>
                    <wps:txbx>
                      <w:txbxContent>
                        <w:p w14:paraId="0AADAE2D">
                          <w:pPr>
                            <w:pStyle w:val="11"/>
                            <w:jc w:val="center"/>
                          </w:pPr>
                          <w:r>
                            <w:rPr>
                              <w:rStyle w:val="21"/>
                            </w:rPr>
                            <w:fldChar w:fldCharType="begin"/>
                          </w:r>
                          <w:r>
                            <w:rPr>
                              <w:rStyle w:val="21"/>
                            </w:rPr>
                            <w:instrText xml:space="preserve"> PAGE </w:instrText>
                          </w:r>
                          <w:r>
                            <w:rPr>
                              <w:rStyle w:val="21"/>
                            </w:rPr>
                            <w:fldChar w:fldCharType="separate"/>
                          </w:r>
                          <w:r>
                            <w:rPr>
                              <w:rStyle w:val="21"/>
                            </w:rPr>
                            <w:t>8</w:t>
                          </w:r>
                          <w:r>
                            <w:rPr>
                              <w:rStyle w:val="21"/>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5.25pt;height:16.95pt;width:19.2pt;mso-position-horizontal:center;mso-position-horizontal-relative:margin;rotation:-3323099f;z-index:251661312;mso-width-relative:page;mso-height-relative:page;" filled="f" stroked="f" coordsize="21600,21600" o:gfxdata="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xZVi9MAAAAFAQAADwAAAAAA&#10;AAABACAAAAAiAAAAZHJzL2Rvd25yZXYueG1sUEsBAhQAFAAAAAgAh07iQICBFpAYAgAAEwQAAA4A&#10;AAAAAAAAAQAgAAAAIgEAAGRycy9lMm9Eb2MueG1sUEsFBgAAAAAGAAYAWQEAAKwFAAAAAA==&#10;">
              <v:fill on="f" focussize="0,0"/>
              <v:stroke on="f"/>
              <v:imagedata o:title=""/>
              <o:lock v:ext="edit" aspectratio="f"/>
              <v:textbox inset="0mm,0mm,0mm,0mm">
                <w:txbxContent>
                  <w:p w14:paraId="0AADAE2D">
                    <w:pPr>
                      <w:pStyle w:val="11"/>
                      <w:jc w:val="center"/>
                    </w:pPr>
                    <w:r>
                      <w:rPr>
                        <w:rStyle w:val="21"/>
                      </w:rPr>
                      <w:fldChar w:fldCharType="begin"/>
                    </w:r>
                    <w:r>
                      <w:rPr>
                        <w:rStyle w:val="21"/>
                      </w:rPr>
                      <w:instrText xml:space="preserve"> PAGE </w:instrText>
                    </w:r>
                    <w:r>
                      <w:rPr>
                        <w:rStyle w:val="21"/>
                      </w:rPr>
                      <w:fldChar w:fldCharType="separate"/>
                    </w:r>
                    <w:r>
                      <w:rPr>
                        <w:rStyle w:val="21"/>
                      </w:rPr>
                      <w:t>8</w:t>
                    </w:r>
                    <w:r>
                      <w:rPr>
                        <w:rStyle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c5MDcwOWRlNTc4ZDQxNzI5ZDVkNDFlZDRjMDhjZmYifQ=="/>
  </w:docVars>
  <w:rsids>
    <w:rsidRoot w:val="005705F5"/>
    <w:rsid w:val="00002143"/>
    <w:rsid w:val="00031416"/>
    <w:rsid w:val="00085569"/>
    <w:rsid w:val="000923B9"/>
    <w:rsid w:val="000952E4"/>
    <w:rsid w:val="00097AE4"/>
    <w:rsid w:val="000A4131"/>
    <w:rsid w:val="000B53FA"/>
    <w:rsid w:val="000C1110"/>
    <w:rsid w:val="00101EEC"/>
    <w:rsid w:val="00111271"/>
    <w:rsid w:val="00112761"/>
    <w:rsid w:val="00125224"/>
    <w:rsid w:val="001347C4"/>
    <w:rsid w:val="001739C4"/>
    <w:rsid w:val="00177958"/>
    <w:rsid w:val="00186C61"/>
    <w:rsid w:val="00193928"/>
    <w:rsid w:val="00196F08"/>
    <w:rsid w:val="001976D8"/>
    <w:rsid w:val="001A6B78"/>
    <w:rsid w:val="001A7A17"/>
    <w:rsid w:val="001B792A"/>
    <w:rsid w:val="001C5F54"/>
    <w:rsid w:val="001D61EB"/>
    <w:rsid w:val="001E3680"/>
    <w:rsid w:val="001F1B0C"/>
    <w:rsid w:val="0023282F"/>
    <w:rsid w:val="002402A6"/>
    <w:rsid w:val="0026111D"/>
    <w:rsid w:val="002708B5"/>
    <w:rsid w:val="0029771E"/>
    <w:rsid w:val="00297B6D"/>
    <w:rsid w:val="002E685A"/>
    <w:rsid w:val="002F3658"/>
    <w:rsid w:val="00304233"/>
    <w:rsid w:val="00317C63"/>
    <w:rsid w:val="00332407"/>
    <w:rsid w:val="00334A3E"/>
    <w:rsid w:val="00335BF2"/>
    <w:rsid w:val="00345028"/>
    <w:rsid w:val="0035524D"/>
    <w:rsid w:val="00373B10"/>
    <w:rsid w:val="0039461C"/>
    <w:rsid w:val="003B7D59"/>
    <w:rsid w:val="003D7E90"/>
    <w:rsid w:val="003E0E3A"/>
    <w:rsid w:val="003E57E3"/>
    <w:rsid w:val="00433AB6"/>
    <w:rsid w:val="00441578"/>
    <w:rsid w:val="0044300D"/>
    <w:rsid w:val="00463058"/>
    <w:rsid w:val="00464320"/>
    <w:rsid w:val="00467C15"/>
    <w:rsid w:val="0048580B"/>
    <w:rsid w:val="004B110D"/>
    <w:rsid w:val="004B24B6"/>
    <w:rsid w:val="004C2AB3"/>
    <w:rsid w:val="004C6AAB"/>
    <w:rsid w:val="004D6B05"/>
    <w:rsid w:val="004E0F18"/>
    <w:rsid w:val="004E27C6"/>
    <w:rsid w:val="004F1E13"/>
    <w:rsid w:val="00535A45"/>
    <w:rsid w:val="00553038"/>
    <w:rsid w:val="005549BF"/>
    <w:rsid w:val="005642BE"/>
    <w:rsid w:val="005705F5"/>
    <w:rsid w:val="00592A45"/>
    <w:rsid w:val="005A46E3"/>
    <w:rsid w:val="005B3680"/>
    <w:rsid w:val="005C2931"/>
    <w:rsid w:val="005D7C9C"/>
    <w:rsid w:val="005E10B6"/>
    <w:rsid w:val="005E607C"/>
    <w:rsid w:val="00612A14"/>
    <w:rsid w:val="00632744"/>
    <w:rsid w:val="0064647B"/>
    <w:rsid w:val="00651481"/>
    <w:rsid w:val="00656D51"/>
    <w:rsid w:val="00677F7F"/>
    <w:rsid w:val="006A1DBB"/>
    <w:rsid w:val="006A7F26"/>
    <w:rsid w:val="006C41D4"/>
    <w:rsid w:val="006E4FD7"/>
    <w:rsid w:val="00700310"/>
    <w:rsid w:val="007076A5"/>
    <w:rsid w:val="007078C9"/>
    <w:rsid w:val="00710AF7"/>
    <w:rsid w:val="007173C5"/>
    <w:rsid w:val="0072693B"/>
    <w:rsid w:val="00730291"/>
    <w:rsid w:val="007409AF"/>
    <w:rsid w:val="007521AB"/>
    <w:rsid w:val="00762E88"/>
    <w:rsid w:val="007776A9"/>
    <w:rsid w:val="00782F01"/>
    <w:rsid w:val="007867FA"/>
    <w:rsid w:val="007A0BF6"/>
    <w:rsid w:val="007B6CCB"/>
    <w:rsid w:val="007C3AE2"/>
    <w:rsid w:val="007E3816"/>
    <w:rsid w:val="008029B8"/>
    <w:rsid w:val="00816CC1"/>
    <w:rsid w:val="00834E9B"/>
    <w:rsid w:val="0084230C"/>
    <w:rsid w:val="00854BE7"/>
    <w:rsid w:val="0086391A"/>
    <w:rsid w:val="008B01C0"/>
    <w:rsid w:val="008C5026"/>
    <w:rsid w:val="008E0EA3"/>
    <w:rsid w:val="008E1873"/>
    <w:rsid w:val="008E451C"/>
    <w:rsid w:val="008F6ACA"/>
    <w:rsid w:val="008F7724"/>
    <w:rsid w:val="00904694"/>
    <w:rsid w:val="00933A7D"/>
    <w:rsid w:val="00940CE2"/>
    <w:rsid w:val="0096695D"/>
    <w:rsid w:val="00983FBB"/>
    <w:rsid w:val="00997FD7"/>
    <w:rsid w:val="009C0725"/>
    <w:rsid w:val="009D7206"/>
    <w:rsid w:val="009F17F3"/>
    <w:rsid w:val="009F28F6"/>
    <w:rsid w:val="00A04BDB"/>
    <w:rsid w:val="00A24F6F"/>
    <w:rsid w:val="00A27902"/>
    <w:rsid w:val="00A33409"/>
    <w:rsid w:val="00A50CC4"/>
    <w:rsid w:val="00A53A34"/>
    <w:rsid w:val="00A55E51"/>
    <w:rsid w:val="00A76CBB"/>
    <w:rsid w:val="00A8528A"/>
    <w:rsid w:val="00A94BCD"/>
    <w:rsid w:val="00A94FDB"/>
    <w:rsid w:val="00AA2B26"/>
    <w:rsid w:val="00AC4450"/>
    <w:rsid w:val="00AD2E92"/>
    <w:rsid w:val="00AD6164"/>
    <w:rsid w:val="00AE0CDB"/>
    <w:rsid w:val="00B206E2"/>
    <w:rsid w:val="00B337BC"/>
    <w:rsid w:val="00B41529"/>
    <w:rsid w:val="00B629CA"/>
    <w:rsid w:val="00B85156"/>
    <w:rsid w:val="00B87823"/>
    <w:rsid w:val="00B914FC"/>
    <w:rsid w:val="00BA50FD"/>
    <w:rsid w:val="00BA5537"/>
    <w:rsid w:val="00BB2EF3"/>
    <w:rsid w:val="00BD0E2D"/>
    <w:rsid w:val="00BD5316"/>
    <w:rsid w:val="00C03FFB"/>
    <w:rsid w:val="00C213E5"/>
    <w:rsid w:val="00C30997"/>
    <w:rsid w:val="00C4336D"/>
    <w:rsid w:val="00C67589"/>
    <w:rsid w:val="00C7048F"/>
    <w:rsid w:val="00C94DB6"/>
    <w:rsid w:val="00CD2B09"/>
    <w:rsid w:val="00CF0875"/>
    <w:rsid w:val="00CF4371"/>
    <w:rsid w:val="00D044D2"/>
    <w:rsid w:val="00D06510"/>
    <w:rsid w:val="00D13F61"/>
    <w:rsid w:val="00D56CFA"/>
    <w:rsid w:val="00D661F1"/>
    <w:rsid w:val="00D6736C"/>
    <w:rsid w:val="00D67B98"/>
    <w:rsid w:val="00DA77CF"/>
    <w:rsid w:val="00DB41A4"/>
    <w:rsid w:val="00DD6964"/>
    <w:rsid w:val="00DE6F80"/>
    <w:rsid w:val="00DF5C07"/>
    <w:rsid w:val="00E12ABE"/>
    <w:rsid w:val="00E13AA7"/>
    <w:rsid w:val="00E52B68"/>
    <w:rsid w:val="00E5458A"/>
    <w:rsid w:val="00E66216"/>
    <w:rsid w:val="00E94A0A"/>
    <w:rsid w:val="00EA06AA"/>
    <w:rsid w:val="00EF778F"/>
    <w:rsid w:val="00F014DB"/>
    <w:rsid w:val="00F05E5F"/>
    <w:rsid w:val="00F11B5A"/>
    <w:rsid w:val="00F20044"/>
    <w:rsid w:val="00F2037A"/>
    <w:rsid w:val="00F65F3C"/>
    <w:rsid w:val="00F73AE6"/>
    <w:rsid w:val="00F80DCA"/>
    <w:rsid w:val="00F9257B"/>
    <w:rsid w:val="00F9462A"/>
    <w:rsid w:val="00FC08AF"/>
    <w:rsid w:val="00FC637A"/>
    <w:rsid w:val="00FF0120"/>
    <w:rsid w:val="00FF3BAE"/>
    <w:rsid w:val="00FF633E"/>
    <w:rsid w:val="011F4F5F"/>
    <w:rsid w:val="01543359"/>
    <w:rsid w:val="03F077AF"/>
    <w:rsid w:val="04F82B62"/>
    <w:rsid w:val="08AF1FAE"/>
    <w:rsid w:val="0CDE2184"/>
    <w:rsid w:val="1069337D"/>
    <w:rsid w:val="12AC5FAE"/>
    <w:rsid w:val="1AF747AC"/>
    <w:rsid w:val="1C0B4101"/>
    <w:rsid w:val="1DD30792"/>
    <w:rsid w:val="1EEB524B"/>
    <w:rsid w:val="22584CBA"/>
    <w:rsid w:val="22D15CD8"/>
    <w:rsid w:val="293572F7"/>
    <w:rsid w:val="298F2F2D"/>
    <w:rsid w:val="2A9669CD"/>
    <w:rsid w:val="2CC06009"/>
    <w:rsid w:val="31205A40"/>
    <w:rsid w:val="3162125D"/>
    <w:rsid w:val="31967CA1"/>
    <w:rsid w:val="31EC7E59"/>
    <w:rsid w:val="3290041A"/>
    <w:rsid w:val="32AE5E2F"/>
    <w:rsid w:val="32B9519B"/>
    <w:rsid w:val="34E76546"/>
    <w:rsid w:val="39505780"/>
    <w:rsid w:val="3B667C69"/>
    <w:rsid w:val="3BC92F01"/>
    <w:rsid w:val="44FF37D2"/>
    <w:rsid w:val="462431F6"/>
    <w:rsid w:val="49DB1DED"/>
    <w:rsid w:val="4A2C08F3"/>
    <w:rsid w:val="50EC324A"/>
    <w:rsid w:val="520B4A1A"/>
    <w:rsid w:val="59490A5B"/>
    <w:rsid w:val="59DF4590"/>
    <w:rsid w:val="5A160C1F"/>
    <w:rsid w:val="5D916D4C"/>
    <w:rsid w:val="61C2174E"/>
    <w:rsid w:val="624A43E3"/>
    <w:rsid w:val="625A6715"/>
    <w:rsid w:val="636D5D54"/>
    <w:rsid w:val="65B548FE"/>
    <w:rsid w:val="663C2EEC"/>
    <w:rsid w:val="66656D76"/>
    <w:rsid w:val="6D824B04"/>
    <w:rsid w:val="6F6E1155"/>
    <w:rsid w:val="71A92378"/>
    <w:rsid w:val="77ED6E0E"/>
    <w:rsid w:val="7AA81E37"/>
    <w:rsid w:val="7AD151D3"/>
    <w:rsid w:val="7AEB3F3F"/>
    <w:rsid w:val="7EC82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0"/>
    <w:pPr>
      <w:keepNext/>
      <w:keepLines/>
      <w:widowControl/>
      <w:spacing w:before="340" w:after="330" w:line="578" w:lineRule="auto"/>
      <w:jc w:val="left"/>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6"/>
    <w:semiHidden/>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link w:val="38"/>
    <w:semiHidden/>
    <w:unhideWhenUsed/>
    <w:qFormat/>
    <w:uiPriority w:val="99"/>
    <w:pPr>
      <w:jc w:val="left"/>
    </w:pPr>
  </w:style>
  <w:style w:type="paragraph" w:styleId="6">
    <w:name w:val="Body Text"/>
    <w:basedOn w:val="1"/>
    <w:link w:val="42"/>
    <w:qFormat/>
    <w:uiPriority w:val="0"/>
    <w:pPr>
      <w:spacing w:after="120"/>
    </w:pPr>
  </w:style>
  <w:style w:type="paragraph" w:styleId="7">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8">
    <w:name w:val="Plain Text"/>
    <w:basedOn w:val="1"/>
    <w:link w:val="32"/>
    <w:unhideWhenUsed/>
    <w:qFormat/>
    <w:uiPriority w:val="0"/>
    <w:rPr>
      <w:rFonts w:ascii="宋体" w:hAnsi="Courier New" w:cs="宋体"/>
      <w:szCs w:val="21"/>
    </w:rPr>
  </w:style>
  <w:style w:type="paragraph" w:styleId="9">
    <w:name w:val="Date"/>
    <w:basedOn w:val="1"/>
    <w:next w:val="1"/>
    <w:link w:val="33"/>
    <w:semiHidden/>
    <w:unhideWhenUsed/>
    <w:qFormat/>
    <w:uiPriority w:val="99"/>
    <w:pPr>
      <w:ind w:left="100" w:leftChars="2500"/>
    </w:pPr>
  </w:style>
  <w:style w:type="paragraph" w:styleId="10">
    <w:name w:val="Balloon Text"/>
    <w:basedOn w:val="1"/>
    <w:link w:val="30"/>
    <w:semiHidden/>
    <w:unhideWhenUsed/>
    <w:qFormat/>
    <w:uiPriority w:val="99"/>
    <w:rPr>
      <w:sz w:val="18"/>
      <w:szCs w:val="18"/>
    </w:rPr>
  </w:style>
  <w:style w:type="paragraph" w:styleId="11">
    <w:name w:val="footer"/>
    <w:basedOn w:val="1"/>
    <w:link w:val="27"/>
    <w:qFormat/>
    <w:uiPriority w:val="99"/>
    <w:pPr>
      <w:tabs>
        <w:tab w:val="center" w:pos="4153"/>
        <w:tab w:val="right" w:pos="8306"/>
      </w:tabs>
      <w:snapToGrid w:val="0"/>
      <w:jc w:val="left"/>
    </w:pPr>
    <w:rPr>
      <w:sz w:val="18"/>
      <w:szCs w:val="18"/>
    </w:rPr>
  </w:style>
  <w:style w:type="paragraph" w:styleId="12">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tabs>
        <w:tab w:val="right" w:leader="middleDot" w:pos="9060"/>
      </w:tabs>
      <w:snapToGrid w:val="0"/>
      <w:spacing w:before="120" w:after="120" w:line="360" w:lineRule="auto"/>
      <w:jc w:val="center"/>
    </w:pPr>
    <w:rPr>
      <w:rFonts w:ascii="黑体" w:eastAsia="黑体"/>
      <w:bCs/>
      <w:caps/>
      <w:sz w:val="32"/>
      <w:szCs w:val="32"/>
    </w:rPr>
  </w:style>
  <w:style w:type="paragraph" w:styleId="14">
    <w:name w:val="toc 2"/>
    <w:basedOn w:val="1"/>
    <w:next w:val="1"/>
    <w:qFormat/>
    <w:uiPriority w:val="39"/>
    <w:pPr>
      <w:ind w:left="420" w:leftChars="200"/>
    </w:pPr>
  </w:style>
  <w:style w:type="paragraph" w:styleId="15">
    <w:name w:val="Normal (Web)"/>
    <w:basedOn w:val="1"/>
    <w:semiHidden/>
    <w:unhideWhenUsed/>
    <w:qFormat/>
    <w:uiPriority w:val="99"/>
    <w:rPr>
      <w:sz w:val="24"/>
    </w:rPr>
  </w:style>
  <w:style w:type="paragraph" w:styleId="16">
    <w:name w:val="annotation subject"/>
    <w:basedOn w:val="5"/>
    <w:next w:val="5"/>
    <w:link w:val="39"/>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rPr>
  </w:style>
  <w:style w:type="character" w:styleId="21">
    <w:name w:val="page number"/>
    <w:qFormat/>
    <w:uiPriority w:val="0"/>
  </w:style>
  <w:style w:type="character" w:styleId="22">
    <w:name w:val="Emphasis"/>
    <w:basedOn w:val="19"/>
    <w:qFormat/>
    <w:uiPriority w:val="20"/>
    <w:rPr>
      <w:i/>
      <w:iCs/>
    </w:rPr>
  </w:style>
  <w:style w:type="character" w:styleId="23">
    <w:name w:val="Hyperlink"/>
    <w:qFormat/>
    <w:uiPriority w:val="99"/>
    <w:rPr>
      <w:color w:val="0000FF"/>
      <w:u w:val="single"/>
    </w:rPr>
  </w:style>
  <w:style w:type="character" w:styleId="24">
    <w:name w:val="annotation reference"/>
    <w:basedOn w:val="19"/>
    <w:unhideWhenUsed/>
    <w:qFormat/>
    <w:uiPriority w:val="0"/>
    <w:rPr>
      <w:sz w:val="21"/>
      <w:szCs w:val="21"/>
    </w:rPr>
  </w:style>
  <w:style w:type="character" w:customStyle="1" w:styleId="25">
    <w:name w:val="标题 1 字符"/>
    <w:basedOn w:val="19"/>
    <w:link w:val="2"/>
    <w:qFormat/>
    <w:uiPriority w:val="0"/>
    <w:rPr>
      <w:rFonts w:ascii="Times New Roman" w:hAnsi="Times New Roman" w:eastAsia="宋体" w:cs="Times New Roman"/>
      <w:b/>
      <w:bCs/>
      <w:kern w:val="44"/>
      <w:sz w:val="44"/>
      <w:szCs w:val="44"/>
    </w:rPr>
  </w:style>
  <w:style w:type="character" w:customStyle="1" w:styleId="26">
    <w:name w:val="标题 2 字符"/>
    <w:basedOn w:val="19"/>
    <w:link w:val="3"/>
    <w:qFormat/>
    <w:uiPriority w:val="0"/>
    <w:rPr>
      <w:rFonts w:ascii="Cambria" w:hAnsi="Cambria" w:eastAsia="宋体" w:cs="Times New Roman"/>
      <w:b/>
      <w:bCs/>
      <w:sz w:val="32"/>
      <w:szCs w:val="32"/>
    </w:rPr>
  </w:style>
  <w:style w:type="character" w:customStyle="1" w:styleId="27">
    <w:name w:val="页脚 字符"/>
    <w:basedOn w:val="19"/>
    <w:link w:val="11"/>
    <w:qFormat/>
    <w:uiPriority w:val="99"/>
    <w:rPr>
      <w:rFonts w:ascii="Times New Roman" w:hAnsi="Times New Roman" w:eastAsia="宋体" w:cs="Times New Roman"/>
      <w:sz w:val="18"/>
      <w:szCs w:val="18"/>
    </w:rPr>
  </w:style>
  <w:style w:type="paragraph" w:customStyle="1" w:styleId="28">
    <w:name w:val="段"/>
    <w:link w:val="2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段 Char"/>
    <w:link w:val="28"/>
    <w:qFormat/>
    <w:uiPriority w:val="0"/>
    <w:rPr>
      <w:rFonts w:ascii="宋体" w:hAnsi="Times New Roman" w:eastAsia="宋体" w:cs="Times New Roman"/>
      <w:kern w:val="0"/>
      <w:szCs w:val="20"/>
    </w:rPr>
  </w:style>
  <w:style w:type="character" w:customStyle="1" w:styleId="30">
    <w:name w:val="批注框文本 字符"/>
    <w:basedOn w:val="19"/>
    <w:link w:val="10"/>
    <w:semiHidden/>
    <w:qFormat/>
    <w:uiPriority w:val="99"/>
    <w:rPr>
      <w:rFonts w:ascii="Times New Roman" w:hAnsi="Times New Roman" w:eastAsia="宋体" w:cs="Times New Roman"/>
      <w:sz w:val="18"/>
      <w:szCs w:val="18"/>
    </w:rPr>
  </w:style>
  <w:style w:type="character" w:customStyle="1" w:styleId="31">
    <w:name w:val="页眉 字符"/>
    <w:basedOn w:val="19"/>
    <w:link w:val="12"/>
    <w:qFormat/>
    <w:uiPriority w:val="99"/>
    <w:rPr>
      <w:rFonts w:ascii="Times New Roman" w:hAnsi="Times New Roman" w:eastAsia="宋体" w:cs="Times New Roman"/>
      <w:sz w:val="18"/>
      <w:szCs w:val="18"/>
    </w:rPr>
  </w:style>
  <w:style w:type="character" w:customStyle="1" w:styleId="32">
    <w:name w:val="纯文本 字符"/>
    <w:basedOn w:val="19"/>
    <w:link w:val="8"/>
    <w:qFormat/>
    <w:uiPriority w:val="0"/>
    <w:rPr>
      <w:rFonts w:ascii="宋体" w:hAnsi="Courier New" w:eastAsia="宋体" w:cs="宋体"/>
      <w:szCs w:val="21"/>
    </w:rPr>
  </w:style>
  <w:style w:type="character" w:customStyle="1" w:styleId="33">
    <w:name w:val="日期 字符"/>
    <w:basedOn w:val="19"/>
    <w:link w:val="9"/>
    <w:semiHidden/>
    <w:qFormat/>
    <w:uiPriority w:val="99"/>
    <w:rPr>
      <w:rFonts w:ascii="Times New Roman" w:hAnsi="Times New Roman" w:eastAsia="宋体" w:cs="Times New Roman"/>
      <w:szCs w:val="24"/>
    </w:rPr>
  </w:style>
  <w:style w:type="paragraph" w:customStyle="1" w:styleId="34">
    <w:name w:val="样式 表主题"/>
    <w:basedOn w:val="1"/>
    <w:qFormat/>
    <w:uiPriority w:val="0"/>
    <w:pPr>
      <w:spacing w:line="400" w:lineRule="exact"/>
      <w:jc w:val="center"/>
    </w:pPr>
    <w:rPr>
      <w:rFonts w:eastAsia="黑体" w:cs="宋体"/>
      <w:sz w:val="18"/>
      <w:szCs w:val="20"/>
    </w:rPr>
  </w:style>
  <w:style w:type="paragraph" w:customStyle="1" w:styleId="35">
    <w:name w:val="正文２"/>
    <w:basedOn w:val="1"/>
    <w:qFormat/>
    <w:uiPriority w:val="0"/>
    <w:pPr>
      <w:spacing w:line="400" w:lineRule="exact"/>
      <w:ind w:firstLine="480"/>
    </w:pPr>
    <w:rPr>
      <w:rFonts w:cs="宋体"/>
      <w:szCs w:val="20"/>
    </w:rPr>
  </w:style>
  <w:style w:type="character" w:customStyle="1" w:styleId="36">
    <w:name w:val="标题 3 字符"/>
    <w:basedOn w:val="19"/>
    <w:link w:val="4"/>
    <w:semiHidden/>
    <w:qFormat/>
    <w:uiPriority w:val="9"/>
    <w:rPr>
      <w:rFonts w:ascii="Times New Roman" w:hAnsi="Times New Roman" w:eastAsia="宋体" w:cs="Times New Roman"/>
      <w:b/>
      <w:bCs/>
      <w:sz w:val="32"/>
      <w:szCs w:val="32"/>
    </w:rPr>
  </w:style>
  <w:style w:type="paragraph" w:customStyle="1" w:styleId="3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8">
    <w:name w:val="批注文字 字符"/>
    <w:basedOn w:val="19"/>
    <w:link w:val="5"/>
    <w:semiHidden/>
    <w:qFormat/>
    <w:uiPriority w:val="99"/>
    <w:rPr>
      <w:rFonts w:ascii="Times New Roman" w:hAnsi="Times New Roman" w:eastAsia="宋体" w:cs="Times New Roman"/>
      <w:szCs w:val="24"/>
    </w:rPr>
  </w:style>
  <w:style w:type="character" w:customStyle="1" w:styleId="39">
    <w:name w:val="批注主题 字符"/>
    <w:basedOn w:val="38"/>
    <w:link w:val="16"/>
    <w:semiHidden/>
    <w:qFormat/>
    <w:uiPriority w:val="99"/>
    <w:rPr>
      <w:rFonts w:ascii="Times New Roman" w:hAnsi="Times New Roman" w:eastAsia="宋体" w:cs="Times New Roman"/>
      <w:b/>
      <w:bCs/>
      <w:szCs w:val="24"/>
    </w:rPr>
  </w:style>
  <w:style w:type="character" w:styleId="40">
    <w:name w:val="Placeholder Text"/>
    <w:basedOn w:val="19"/>
    <w:semiHidden/>
    <w:qFormat/>
    <w:uiPriority w:val="99"/>
    <w:rPr>
      <w:color w:val="666666"/>
    </w:rPr>
  </w:style>
  <w:style w:type="paragraph" w:customStyle="1" w:styleId="41">
    <w:name w:val="TOC Heading"/>
    <w:basedOn w:val="2"/>
    <w:next w:val="1"/>
    <w:unhideWhenUsed/>
    <w:qFormat/>
    <w:uiPriority w:val="39"/>
    <w:pPr>
      <w:spacing w:before="240" w:after="0" w:line="259" w:lineRule="auto"/>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2">
    <w:name w:val="正文文本 字符"/>
    <w:basedOn w:val="19"/>
    <w:link w:val="6"/>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emf"/><Relationship Id="rId12" Type="http://schemas.openxmlformats.org/officeDocument/2006/relationships/theme" Target="theme/theme1.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7F1D65-1548-48C5-B66E-7E58A5CD611F}">
  <ds:schemaRefs/>
</ds:datastoreItem>
</file>

<file path=docProps/app.xml><?xml version="1.0" encoding="utf-8"?>
<Properties xmlns="http://schemas.openxmlformats.org/officeDocument/2006/extended-properties" xmlns:vt="http://schemas.openxmlformats.org/officeDocument/2006/docPropsVTypes">
  <Template>Normal</Template>
  <Pages>35</Pages>
  <Words>15549</Words>
  <Characters>17680</Characters>
  <Lines>128</Lines>
  <Paragraphs>36</Paragraphs>
  <TotalTime>9</TotalTime>
  <ScaleCrop>false</ScaleCrop>
  <LinksUpToDate>false</LinksUpToDate>
  <CharactersWithSpaces>18049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2026-02-24T15:40:00Z</dcterms:created>
  <dc:creator>X1 Carbon</dc:creator>
  <cp:lastModifiedBy>长成</cp:lastModifiedBy>
  <dcterms:modified xsi:type="dcterms:W3CDTF">2026-02-26T00:45:12Z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C0CFA8EC01DD4D7CB1817CC5216607B8_12</vt:lpwstr>
  </property>
  <property fmtid="{D5CDD505-2E9C-101B-9397-08002B2CF9AE}" pid="4" name="KSOTemplateDocerSaveRecord">
    <vt:lpwstr>eyJoZGlkIjoiZDE5MjBkYmUyM2UzMDlhNGNiZDIyZGIzN2NiNDY2ZDciLCJ1c2VySWQiOiIzNzk3MjkxMDUifQ==</vt:lpwstr>
  </property>
</Properties>
</file>