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E581A2A">
      <w:pPr>
        <w:snapToGrid w:val="0"/>
        <w:spacing w:line="360" w:lineRule="auto"/>
        <w:ind w:firstLine="630" w:firstLineChars="196"/>
        <w:rPr>
          <w:rFonts w:ascii="宋体" w:hAnsi="宋体" w:eastAsia="宋体"/>
          <w:b/>
          <w:sz w:val="32"/>
          <w:szCs w:val="32"/>
        </w:rPr>
      </w:pPr>
    </w:p>
    <w:p w14:paraId="2F3EB597">
      <w:pPr>
        <w:snapToGrid w:val="0"/>
        <w:spacing w:line="360" w:lineRule="auto"/>
        <w:rPr>
          <w:rFonts w:ascii="仿宋" w:hAnsi="仿宋" w:eastAsia="仿宋"/>
          <w:b/>
          <w:szCs w:val="28"/>
        </w:rPr>
      </w:pPr>
      <w:r>
        <w:rPr>
          <w:rFonts w:hint="eastAsia" w:ascii="仿宋" w:hAnsi="仿宋" w:eastAsia="仿宋"/>
          <w:b/>
          <w:szCs w:val="28"/>
        </w:rPr>
        <w:t>附表1</w:t>
      </w:r>
    </w:p>
    <w:p w14:paraId="6C36EC16">
      <w:pPr>
        <w:snapToGrid w:val="0"/>
        <w:spacing w:line="360" w:lineRule="auto"/>
        <w:jc w:val="center"/>
        <w:rPr>
          <w:rFonts w:ascii="宋体" w:hAnsi="宋体" w:eastAsia="宋体"/>
          <w:b/>
          <w:sz w:val="32"/>
          <w:szCs w:val="32"/>
        </w:rPr>
      </w:pPr>
      <w:r>
        <w:rPr>
          <w:rFonts w:hint="eastAsia" w:ascii="宋体" w:hAnsi="宋体" w:eastAsia="宋体"/>
          <w:b/>
          <w:color w:val="FF0000"/>
          <w:sz w:val="32"/>
          <w:szCs w:val="32"/>
        </w:rPr>
        <w:t>协会</w:t>
      </w:r>
      <w:r>
        <w:rPr>
          <w:rFonts w:hint="eastAsia" w:ascii="宋体" w:hAnsi="宋体" w:eastAsia="宋体"/>
          <w:b/>
          <w:sz w:val="32"/>
          <w:szCs w:val="32"/>
        </w:rPr>
        <w:t>标准项目建议书</w:t>
      </w:r>
    </w:p>
    <w:tbl>
      <w:tblPr>
        <w:tblStyle w:val="5"/>
        <w:tblW w:w="9740"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2167"/>
        <w:gridCol w:w="1078"/>
        <w:gridCol w:w="540"/>
        <w:gridCol w:w="540"/>
        <w:gridCol w:w="928"/>
        <w:gridCol w:w="886"/>
        <w:gridCol w:w="957"/>
        <w:gridCol w:w="744"/>
        <w:gridCol w:w="1900"/>
      </w:tblGrid>
      <w:tr w14:paraId="0C95B1F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845" w:hRule="atLeast"/>
          <w:jc w:val="center"/>
        </w:trPr>
        <w:tc>
          <w:tcPr>
            <w:tcW w:w="2167" w:type="dxa"/>
            <w:vAlign w:val="center"/>
          </w:tcPr>
          <w:p w14:paraId="1ACF56AB">
            <w:pPr>
              <w:snapToGrid w:val="0"/>
              <w:spacing w:line="360" w:lineRule="auto"/>
              <w:jc w:val="center"/>
              <w:rPr>
                <w:rFonts w:ascii="宋体" w:hAnsi="宋体" w:eastAsia="宋体"/>
                <w:sz w:val="18"/>
                <w:szCs w:val="18"/>
              </w:rPr>
            </w:pPr>
            <w:r>
              <w:rPr>
                <w:rFonts w:hint="eastAsia" w:ascii="宋体" w:hAnsi="宋体" w:eastAsia="宋体"/>
                <w:sz w:val="18"/>
                <w:szCs w:val="18"/>
              </w:rPr>
              <w:t>建议项目名称</w:t>
            </w:r>
          </w:p>
          <w:p w14:paraId="2B942708">
            <w:pPr>
              <w:snapToGrid w:val="0"/>
              <w:spacing w:line="360" w:lineRule="auto"/>
              <w:ind w:left="-5" w:leftChars="-6" w:hanging="12" w:hangingChars="7"/>
              <w:jc w:val="center"/>
              <w:rPr>
                <w:rFonts w:ascii="宋体" w:hAnsi="宋体" w:eastAsia="宋体"/>
                <w:sz w:val="18"/>
                <w:szCs w:val="18"/>
              </w:rPr>
            </w:pPr>
            <w:r>
              <w:rPr>
                <w:rFonts w:ascii="宋体" w:hAnsi="宋体" w:eastAsia="宋体"/>
                <w:sz w:val="18"/>
                <w:szCs w:val="18"/>
              </w:rPr>
              <w:t>(</w:t>
            </w:r>
            <w:r>
              <w:rPr>
                <w:rFonts w:hint="eastAsia" w:ascii="宋体" w:hAnsi="宋体" w:eastAsia="宋体"/>
                <w:sz w:val="18"/>
                <w:szCs w:val="18"/>
              </w:rPr>
              <w:t>中文</w:t>
            </w:r>
            <w:r>
              <w:rPr>
                <w:rFonts w:ascii="宋体" w:hAnsi="宋体" w:eastAsia="宋体"/>
                <w:sz w:val="18"/>
                <w:szCs w:val="18"/>
              </w:rPr>
              <w:t>)</w:t>
            </w:r>
          </w:p>
        </w:tc>
        <w:tc>
          <w:tcPr>
            <w:tcW w:w="3086" w:type="dxa"/>
            <w:gridSpan w:val="4"/>
            <w:vAlign w:val="center"/>
          </w:tcPr>
          <w:p w14:paraId="17DDDFDC">
            <w:pPr>
              <w:snapToGrid w:val="0"/>
              <w:spacing w:line="360" w:lineRule="auto"/>
              <w:jc w:val="center"/>
              <w:rPr>
                <w:rFonts w:hint="eastAsia" w:ascii="宋体" w:hAnsi="宋体" w:eastAsia="宋体"/>
                <w:sz w:val="18"/>
                <w:szCs w:val="18"/>
              </w:rPr>
            </w:pPr>
            <w:r>
              <w:rPr>
                <w:rFonts w:hint="eastAsia" w:ascii="宋体" w:hAnsi="宋体" w:eastAsia="宋体"/>
                <w:sz w:val="18"/>
                <w:szCs w:val="18"/>
              </w:rPr>
              <w:t>水工建筑物水泥基密封与修复</w:t>
            </w:r>
          </w:p>
          <w:p w14:paraId="39FD4FA1">
            <w:pPr>
              <w:snapToGrid w:val="0"/>
              <w:spacing w:line="360" w:lineRule="auto"/>
              <w:jc w:val="center"/>
              <w:rPr>
                <w:rFonts w:ascii="宋体" w:hAnsi="宋体" w:eastAsia="宋体"/>
                <w:sz w:val="18"/>
                <w:szCs w:val="18"/>
              </w:rPr>
            </w:pPr>
            <w:r>
              <w:rPr>
                <w:rFonts w:hint="eastAsia" w:ascii="宋体" w:hAnsi="宋体" w:eastAsia="宋体"/>
                <w:sz w:val="18"/>
                <w:szCs w:val="18"/>
              </w:rPr>
              <w:t>技术规范</w:t>
            </w:r>
          </w:p>
        </w:tc>
        <w:tc>
          <w:tcPr>
            <w:tcW w:w="1843" w:type="dxa"/>
            <w:gridSpan w:val="2"/>
            <w:vAlign w:val="center"/>
          </w:tcPr>
          <w:p w14:paraId="52A06CD1">
            <w:pPr>
              <w:snapToGrid w:val="0"/>
              <w:spacing w:line="360" w:lineRule="auto"/>
              <w:jc w:val="center"/>
              <w:rPr>
                <w:rFonts w:ascii="宋体" w:hAnsi="宋体" w:eastAsia="宋体"/>
                <w:sz w:val="18"/>
                <w:szCs w:val="18"/>
              </w:rPr>
            </w:pPr>
            <w:r>
              <w:rPr>
                <w:rFonts w:hint="eastAsia" w:ascii="宋体" w:hAnsi="宋体" w:eastAsia="宋体"/>
                <w:sz w:val="18"/>
                <w:szCs w:val="18"/>
              </w:rPr>
              <w:t>建议项目名称</w:t>
            </w:r>
          </w:p>
          <w:p w14:paraId="4573E7C7">
            <w:pPr>
              <w:snapToGrid w:val="0"/>
              <w:spacing w:line="360" w:lineRule="auto"/>
              <w:jc w:val="center"/>
              <w:rPr>
                <w:rFonts w:ascii="宋体" w:hAnsi="宋体" w:eastAsia="宋体"/>
                <w:sz w:val="18"/>
                <w:szCs w:val="18"/>
              </w:rPr>
            </w:pPr>
            <w:r>
              <w:rPr>
                <w:rFonts w:ascii="宋体" w:hAnsi="宋体" w:eastAsia="宋体"/>
                <w:sz w:val="18"/>
                <w:szCs w:val="18"/>
              </w:rPr>
              <w:t>(</w:t>
            </w:r>
            <w:r>
              <w:rPr>
                <w:rFonts w:hint="eastAsia" w:ascii="宋体" w:hAnsi="宋体" w:eastAsia="宋体"/>
                <w:sz w:val="18"/>
                <w:szCs w:val="18"/>
              </w:rPr>
              <w:t>英文</w:t>
            </w:r>
            <w:r>
              <w:rPr>
                <w:rFonts w:ascii="宋体" w:hAnsi="宋体" w:eastAsia="宋体"/>
                <w:sz w:val="18"/>
                <w:szCs w:val="18"/>
              </w:rPr>
              <w:t>)</w:t>
            </w:r>
          </w:p>
        </w:tc>
        <w:tc>
          <w:tcPr>
            <w:tcW w:w="2644" w:type="dxa"/>
            <w:gridSpan w:val="2"/>
            <w:vAlign w:val="center"/>
          </w:tcPr>
          <w:p w14:paraId="51CF812F">
            <w:pPr>
              <w:snapToGrid w:val="0"/>
              <w:spacing w:line="360" w:lineRule="auto"/>
              <w:jc w:val="center"/>
              <w:rPr>
                <w:rFonts w:ascii="宋体" w:hAnsi="宋体" w:eastAsia="宋体"/>
                <w:sz w:val="18"/>
                <w:szCs w:val="18"/>
              </w:rPr>
            </w:pPr>
            <w:r>
              <w:rPr>
                <w:rFonts w:hint="eastAsia" w:ascii="Times New Roman" w:hAnsi="Times New Roman" w:eastAsia="宋体" w:cs="宋体"/>
                <w:sz w:val="18"/>
                <w:szCs w:val="18"/>
              </w:rPr>
              <w:t>Technical Specification for Cement-Based Sealing and Repair of Hydraulic Structures</w:t>
            </w:r>
          </w:p>
        </w:tc>
      </w:tr>
      <w:tr w14:paraId="620224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5" w:hRule="atLeast"/>
          <w:jc w:val="center"/>
        </w:trPr>
        <w:tc>
          <w:tcPr>
            <w:tcW w:w="2167" w:type="dxa"/>
            <w:tcBorders>
              <w:bottom w:val="single" w:color="auto" w:sz="2" w:space="0"/>
            </w:tcBorders>
            <w:vAlign w:val="center"/>
          </w:tcPr>
          <w:p w14:paraId="369C04E2">
            <w:pPr>
              <w:snapToGrid w:val="0"/>
              <w:spacing w:line="360" w:lineRule="auto"/>
              <w:jc w:val="center"/>
              <w:rPr>
                <w:rFonts w:ascii="宋体" w:hAnsi="宋体" w:eastAsia="宋体"/>
                <w:sz w:val="18"/>
                <w:szCs w:val="18"/>
              </w:rPr>
            </w:pPr>
            <w:r>
              <w:rPr>
                <w:rFonts w:hint="eastAsia" w:ascii="宋体" w:hAnsi="宋体" w:eastAsia="宋体"/>
                <w:sz w:val="18"/>
                <w:szCs w:val="18"/>
              </w:rPr>
              <w:t>制定或修订</w:t>
            </w:r>
          </w:p>
        </w:tc>
        <w:tc>
          <w:tcPr>
            <w:tcW w:w="1618" w:type="dxa"/>
            <w:gridSpan w:val="2"/>
            <w:tcBorders>
              <w:bottom w:val="single" w:color="auto" w:sz="2" w:space="0"/>
            </w:tcBorders>
            <w:vAlign w:val="center"/>
          </w:tcPr>
          <w:p w14:paraId="179D1EB3">
            <w:pPr>
              <w:snapToGrid w:val="0"/>
              <w:spacing w:line="360" w:lineRule="auto"/>
              <w:rPr>
                <w:rFonts w:ascii="宋体" w:hAnsi="宋体" w:eastAsia="宋体"/>
                <w:sz w:val="18"/>
                <w:szCs w:val="18"/>
              </w:rPr>
            </w:pPr>
            <w:r>
              <w:rPr>
                <w:rFonts w:hint="eastAsia" w:ascii="宋体" w:hAnsi="宋体" w:eastAsia="宋体"/>
                <w:sz w:val="18"/>
                <w:szCs w:val="18"/>
                <w:lang w:eastAsia="zh-CN"/>
              </w:rPr>
              <w:t>☑</w:t>
            </w:r>
            <w:r>
              <w:rPr>
                <w:rFonts w:hint="eastAsia" w:ascii="宋体" w:hAnsi="宋体" w:eastAsia="宋体"/>
                <w:sz w:val="18"/>
                <w:szCs w:val="18"/>
              </w:rPr>
              <w:t xml:space="preserve"> 制定</w:t>
            </w:r>
          </w:p>
        </w:tc>
        <w:tc>
          <w:tcPr>
            <w:tcW w:w="1468" w:type="dxa"/>
            <w:gridSpan w:val="2"/>
            <w:tcBorders>
              <w:bottom w:val="single" w:color="auto" w:sz="2" w:space="0"/>
            </w:tcBorders>
            <w:vAlign w:val="center"/>
          </w:tcPr>
          <w:p w14:paraId="26AD1070">
            <w:pPr>
              <w:snapToGrid w:val="0"/>
              <w:spacing w:line="360" w:lineRule="auto"/>
              <w:rPr>
                <w:rFonts w:ascii="宋体" w:hAnsi="宋体" w:eastAsia="宋体"/>
                <w:sz w:val="18"/>
                <w:szCs w:val="18"/>
              </w:rPr>
            </w:pPr>
            <w:r>
              <w:rPr>
                <w:rFonts w:hint="eastAsia" w:ascii="宋体" w:hAnsi="宋体" w:eastAsia="宋体"/>
                <w:sz w:val="18"/>
                <w:szCs w:val="18"/>
              </w:rPr>
              <w:t>□ 修订</w:t>
            </w:r>
          </w:p>
        </w:tc>
        <w:tc>
          <w:tcPr>
            <w:tcW w:w="1843" w:type="dxa"/>
            <w:gridSpan w:val="2"/>
            <w:tcBorders>
              <w:bottom w:val="single" w:color="auto" w:sz="2" w:space="0"/>
            </w:tcBorders>
            <w:vAlign w:val="center"/>
          </w:tcPr>
          <w:p w14:paraId="04FE6278">
            <w:pPr>
              <w:snapToGrid w:val="0"/>
              <w:spacing w:line="360" w:lineRule="auto"/>
              <w:jc w:val="center"/>
              <w:rPr>
                <w:rFonts w:ascii="宋体" w:hAnsi="宋体" w:eastAsia="宋体"/>
                <w:sz w:val="18"/>
                <w:szCs w:val="18"/>
              </w:rPr>
            </w:pPr>
            <w:r>
              <w:rPr>
                <w:rFonts w:hint="eastAsia" w:ascii="宋体" w:hAnsi="宋体" w:eastAsia="宋体"/>
                <w:sz w:val="18"/>
                <w:szCs w:val="18"/>
              </w:rPr>
              <w:t>被修订标准号</w:t>
            </w:r>
          </w:p>
        </w:tc>
        <w:tc>
          <w:tcPr>
            <w:tcW w:w="2644" w:type="dxa"/>
            <w:gridSpan w:val="2"/>
            <w:tcBorders>
              <w:bottom w:val="single" w:color="auto" w:sz="2" w:space="0"/>
            </w:tcBorders>
            <w:vAlign w:val="center"/>
          </w:tcPr>
          <w:p w14:paraId="6AC39A2C">
            <w:pPr>
              <w:snapToGrid w:val="0"/>
              <w:spacing w:line="360" w:lineRule="auto"/>
              <w:jc w:val="center"/>
              <w:rPr>
                <w:rFonts w:ascii="宋体" w:hAnsi="宋体" w:eastAsia="宋体"/>
                <w:sz w:val="18"/>
                <w:szCs w:val="18"/>
              </w:rPr>
            </w:pPr>
            <w:r>
              <w:rPr>
                <w:rFonts w:ascii="宋体" w:hAnsi="宋体" w:eastAsia="宋体" w:cs="宋体"/>
                <w:sz w:val="24"/>
                <w:szCs w:val="24"/>
              </w:rPr>
              <w:t>/</w:t>
            </w:r>
          </w:p>
        </w:tc>
      </w:tr>
      <w:tr w14:paraId="653D6FE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9" w:hRule="atLeast"/>
          <w:jc w:val="center"/>
        </w:trPr>
        <w:tc>
          <w:tcPr>
            <w:tcW w:w="2167" w:type="dxa"/>
            <w:tcBorders>
              <w:top w:val="single" w:color="auto" w:sz="2" w:space="0"/>
              <w:left w:val="single" w:color="auto" w:sz="2" w:space="0"/>
              <w:bottom w:val="single" w:color="auto" w:sz="2" w:space="0"/>
            </w:tcBorders>
            <w:vAlign w:val="center"/>
          </w:tcPr>
          <w:p w14:paraId="57257F9D">
            <w:pPr>
              <w:snapToGrid w:val="0"/>
              <w:spacing w:line="360" w:lineRule="auto"/>
              <w:jc w:val="center"/>
              <w:rPr>
                <w:rFonts w:ascii="宋体" w:hAnsi="宋体" w:eastAsia="宋体"/>
                <w:sz w:val="18"/>
                <w:szCs w:val="18"/>
              </w:rPr>
            </w:pPr>
            <w:r>
              <w:rPr>
                <w:rFonts w:hint="eastAsia" w:ascii="宋体" w:hAnsi="宋体" w:eastAsia="宋体"/>
                <w:sz w:val="18"/>
                <w:szCs w:val="18"/>
              </w:rPr>
              <w:t>采用程度</w:t>
            </w:r>
          </w:p>
        </w:tc>
        <w:tc>
          <w:tcPr>
            <w:tcW w:w="1078" w:type="dxa"/>
            <w:tcBorders>
              <w:top w:val="single" w:color="auto" w:sz="2" w:space="0"/>
              <w:bottom w:val="single" w:color="auto" w:sz="2" w:space="0"/>
            </w:tcBorders>
            <w:vAlign w:val="center"/>
          </w:tcPr>
          <w:p w14:paraId="441093EF">
            <w:pPr>
              <w:snapToGrid w:val="0"/>
              <w:spacing w:line="360" w:lineRule="auto"/>
              <w:rPr>
                <w:rFonts w:ascii="宋体" w:hAnsi="宋体" w:eastAsia="宋体"/>
                <w:sz w:val="18"/>
                <w:szCs w:val="18"/>
              </w:rPr>
            </w:pPr>
            <w:r>
              <w:rPr>
                <w:rFonts w:hint="eastAsia" w:ascii="宋体" w:hAnsi="宋体" w:eastAsia="宋体"/>
                <w:sz w:val="18"/>
                <w:szCs w:val="18"/>
              </w:rPr>
              <w:t>□ IDT</w:t>
            </w:r>
          </w:p>
        </w:tc>
        <w:tc>
          <w:tcPr>
            <w:tcW w:w="1080" w:type="dxa"/>
            <w:gridSpan w:val="2"/>
            <w:tcBorders>
              <w:top w:val="single" w:color="auto" w:sz="2" w:space="0"/>
              <w:bottom w:val="single" w:color="auto" w:sz="2" w:space="0"/>
            </w:tcBorders>
            <w:vAlign w:val="center"/>
          </w:tcPr>
          <w:p w14:paraId="14BF0EC5">
            <w:pPr>
              <w:snapToGrid w:val="0"/>
              <w:spacing w:line="360" w:lineRule="auto"/>
              <w:rPr>
                <w:rFonts w:ascii="宋体" w:hAnsi="宋体" w:eastAsia="宋体"/>
                <w:sz w:val="18"/>
                <w:szCs w:val="18"/>
              </w:rPr>
            </w:pPr>
            <w:r>
              <w:rPr>
                <w:rFonts w:hint="eastAsia" w:ascii="宋体" w:hAnsi="宋体" w:eastAsia="宋体"/>
                <w:sz w:val="18"/>
                <w:szCs w:val="18"/>
              </w:rPr>
              <w:t>□ MOD</w:t>
            </w:r>
          </w:p>
        </w:tc>
        <w:tc>
          <w:tcPr>
            <w:tcW w:w="928" w:type="dxa"/>
            <w:tcBorders>
              <w:top w:val="single" w:color="auto" w:sz="2" w:space="0"/>
              <w:bottom w:val="single" w:color="auto" w:sz="2" w:space="0"/>
            </w:tcBorders>
            <w:vAlign w:val="center"/>
          </w:tcPr>
          <w:p w14:paraId="7DFBAAF1">
            <w:pPr>
              <w:snapToGrid w:val="0"/>
              <w:spacing w:line="360" w:lineRule="auto"/>
              <w:rPr>
                <w:rFonts w:ascii="宋体" w:hAnsi="宋体" w:eastAsia="宋体"/>
                <w:sz w:val="18"/>
                <w:szCs w:val="18"/>
              </w:rPr>
            </w:pPr>
            <w:r>
              <w:rPr>
                <w:rFonts w:hint="eastAsia" w:ascii="宋体" w:hAnsi="宋体" w:eastAsia="宋体"/>
                <w:sz w:val="18"/>
                <w:szCs w:val="18"/>
              </w:rPr>
              <w:t>□ NEQ</w:t>
            </w:r>
          </w:p>
        </w:tc>
        <w:tc>
          <w:tcPr>
            <w:tcW w:w="1843" w:type="dxa"/>
            <w:gridSpan w:val="2"/>
            <w:tcBorders>
              <w:top w:val="single" w:color="auto" w:sz="2" w:space="0"/>
              <w:bottom w:val="single" w:color="auto" w:sz="2" w:space="0"/>
            </w:tcBorders>
            <w:vAlign w:val="center"/>
          </w:tcPr>
          <w:p w14:paraId="29993DFD">
            <w:pPr>
              <w:snapToGrid w:val="0"/>
              <w:spacing w:line="360" w:lineRule="auto"/>
              <w:jc w:val="center"/>
              <w:rPr>
                <w:rFonts w:ascii="宋体" w:hAnsi="宋体" w:eastAsia="宋体"/>
                <w:sz w:val="18"/>
                <w:szCs w:val="18"/>
              </w:rPr>
            </w:pPr>
            <w:r>
              <w:rPr>
                <w:rFonts w:hint="eastAsia" w:ascii="宋体" w:hAnsi="宋体" w:eastAsia="宋体"/>
                <w:sz w:val="18"/>
                <w:szCs w:val="18"/>
              </w:rPr>
              <w:t>采标号</w:t>
            </w:r>
          </w:p>
        </w:tc>
        <w:tc>
          <w:tcPr>
            <w:tcW w:w="2644" w:type="dxa"/>
            <w:gridSpan w:val="2"/>
            <w:tcBorders>
              <w:top w:val="single" w:color="auto" w:sz="2" w:space="0"/>
              <w:bottom w:val="single" w:color="auto" w:sz="2" w:space="0"/>
              <w:right w:val="single" w:color="auto" w:sz="2" w:space="0"/>
            </w:tcBorders>
            <w:vAlign w:val="center"/>
          </w:tcPr>
          <w:p w14:paraId="62F1F01D">
            <w:pPr>
              <w:snapToGrid w:val="0"/>
              <w:spacing w:line="360" w:lineRule="auto"/>
              <w:jc w:val="center"/>
              <w:rPr>
                <w:rFonts w:ascii="宋体" w:hAnsi="宋体" w:eastAsia="宋体"/>
                <w:sz w:val="18"/>
                <w:szCs w:val="18"/>
              </w:rPr>
            </w:pPr>
            <w:r>
              <w:rPr>
                <w:rFonts w:ascii="宋体" w:hAnsi="宋体" w:eastAsia="宋体" w:cs="宋体"/>
                <w:sz w:val="24"/>
                <w:szCs w:val="24"/>
              </w:rPr>
              <w:t>/</w:t>
            </w:r>
          </w:p>
        </w:tc>
      </w:tr>
      <w:tr w14:paraId="07DFBCA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9" w:hRule="atLeast"/>
          <w:jc w:val="center"/>
        </w:trPr>
        <w:tc>
          <w:tcPr>
            <w:tcW w:w="2167" w:type="dxa"/>
            <w:tcBorders>
              <w:top w:val="single" w:color="auto" w:sz="2" w:space="0"/>
              <w:left w:val="single" w:color="auto" w:sz="2" w:space="0"/>
              <w:bottom w:val="single" w:color="auto" w:sz="2" w:space="0"/>
            </w:tcBorders>
            <w:vAlign w:val="center"/>
          </w:tcPr>
          <w:p w14:paraId="687C29AE">
            <w:pPr>
              <w:snapToGrid w:val="0"/>
              <w:spacing w:line="360" w:lineRule="auto"/>
              <w:jc w:val="center"/>
              <w:rPr>
                <w:rFonts w:ascii="宋体" w:hAnsi="宋体" w:eastAsia="宋体"/>
                <w:sz w:val="18"/>
                <w:szCs w:val="18"/>
              </w:rPr>
            </w:pPr>
            <w:r>
              <w:rPr>
                <w:rFonts w:hint="eastAsia" w:ascii="宋体" w:hAnsi="宋体" w:eastAsia="宋体"/>
                <w:sz w:val="18"/>
                <w:szCs w:val="18"/>
              </w:rPr>
              <w:t>国际标准名称（中文）</w:t>
            </w:r>
          </w:p>
        </w:tc>
        <w:tc>
          <w:tcPr>
            <w:tcW w:w="3086" w:type="dxa"/>
            <w:gridSpan w:val="4"/>
            <w:tcBorders>
              <w:top w:val="single" w:color="auto" w:sz="2" w:space="0"/>
              <w:bottom w:val="single" w:color="auto" w:sz="2" w:space="0"/>
            </w:tcBorders>
            <w:vAlign w:val="center"/>
          </w:tcPr>
          <w:p w14:paraId="7A2B542B">
            <w:pPr>
              <w:snapToGrid w:val="0"/>
              <w:spacing w:line="360" w:lineRule="auto"/>
              <w:jc w:val="center"/>
              <w:rPr>
                <w:rFonts w:ascii="宋体" w:hAnsi="宋体" w:eastAsia="宋体"/>
                <w:sz w:val="18"/>
                <w:szCs w:val="18"/>
              </w:rPr>
            </w:pPr>
            <w:r>
              <w:rPr>
                <w:rFonts w:ascii="宋体" w:hAnsi="宋体" w:eastAsia="宋体" w:cs="宋体"/>
                <w:sz w:val="24"/>
                <w:szCs w:val="24"/>
              </w:rPr>
              <w:t>/</w:t>
            </w:r>
          </w:p>
        </w:tc>
        <w:tc>
          <w:tcPr>
            <w:tcW w:w="1843" w:type="dxa"/>
            <w:gridSpan w:val="2"/>
            <w:tcBorders>
              <w:top w:val="single" w:color="auto" w:sz="2" w:space="0"/>
              <w:bottom w:val="single" w:color="auto" w:sz="2" w:space="0"/>
            </w:tcBorders>
            <w:vAlign w:val="center"/>
          </w:tcPr>
          <w:p w14:paraId="1934D1E9">
            <w:pPr>
              <w:snapToGrid w:val="0"/>
              <w:spacing w:line="360" w:lineRule="auto"/>
              <w:jc w:val="center"/>
              <w:rPr>
                <w:rFonts w:ascii="宋体" w:hAnsi="宋体" w:eastAsia="宋体"/>
                <w:sz w:val="18"/>
                <w:szCs w:val="18"/>
              </w:rPr>
            </w:pPr>
            <w:r>
              <w:rPr>
                <w:rFonts w:hint="eastAsia" w:ascii="宋体" w:hAnsi="宋体" w:eastAsia="宋体"/>
                <w:sz w:val="18"/>
                <w:szCs w:val="18"/>
              </w:rPr>
              <w:t>国际标准名称（英文）</w:t>
            </w:r>
          </w:p>
        </w:tc>
        <w:tc>
          <w:tcPr>
            <w:tcW w:w="2644" w:type="dxa"/>
            <w:gridSpan w:val="2"/>
            <w:tcBorders>
              <w:top w:val="single" w:color="auto" w:sz="2" w:space="0"/>
              <w:bottom w:val="single" w:color="auto" w:sz="2" w:space="0"/>
              <w:right w:val="single" w:color="auto" w:sz="2" w:space="0"/>
            </w:tcBorders>
            <w:vAlign w:val="center"/>
          </w:tcPr>
          <w:p w14:paraId="36E65F94">
            <w:pPr>
              <w:snapToGrid w:val="0"/>
              <w:spacing w:line="360" w:lineRule="auto"/>
              <w:jc w:val="center"/>
              <w:rPr>
                <w:rFonts w:ascii="宋体" w:hAnsi="宋体" w:eastAsia="宋体"/>
                <w:sz w:val="18"/>
                <w:szCs w:val="18"/>
              </w:rPr>
            </w:pPr>
            <w:r>
              <w:rPr>
                <w:rFonts w:ascii="宋体" w:hAnsi="宋体" w:eastAsia="宋体" w:cs="宋体"/>
                <w:sz w:val="24"/>
                <w:szCs w:val="24"/>
              </w:rPr>
              <w:t>/</w:t>
            </w:r>
          </w:p>
        </w:tc>
      </w:tr>
      <w:tr w14:paraId="5007754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39" w:hRule="atLeast"/>
          <w:jc w:val="center"/>
        </w:trPr>
        <w:tc>
          <w:tcPr>
            <w:tcW w:w="2167" w:type="dxa"/>
            <w:tcBorders>
              <w:top w:val="single" w:color="auto" w:sz="2" w:space="0"/>
              <w:left w:val="single" w:color="auto" w:sz="2" w:space="0"/>
              <w:bottom w:val="single" w:color="auto" w:sz="2" w:space="0"/>
            </w:tcBorders>
            <w:vAlign w:val="center"/>
          </w:tcPr>
          <w:p w14:paraId="5B24FCE4">
            <w:pPr>
              <w:snapToGrid w:val="0"/>
              <w:spacing w:line="360" w:lineRule="auto"/>
              <w:jc w:val="center"/>
              <w:rPr>
                <w:rFonts w:ascii="宋体" w:hAnsi="宋体" w:eastAsia="宋体"/>
                <w:sz w:val="18"/>
                <w:szCs w:val="18"/>
              </w:rPr>
            </w:pPr>
            <w:r>
              <w:rPr>
                <w:rFonts w:ascii="宋体" w:hAnsi="宋体" w:eastAsia="宋体"/>
                <w:sz w:val="18"/>
                <w:szCs w:val="18"/>
              </w:rPr>
              <w:t>ICS</w:t>
            </w:r>
            <w:r>
              <w:rPr>
                <w:rFonts w:hint="eastAsia" w:ascii="宋体" w:hAnsi="宋体" w:eastAsia="宋体"/>
                <w:sz w:val="18"/>
                <w:szCs w:val="18"/>
              </w:rPr>
              <w:t>分类号</w:t>
            </w:r>
          </w:p>
        </w:tc>
        <w:tc>
          <w:tcPr>
            <w:tcW w:w="3086" w:type="dxa"/>
            <w:gridSpan w:val="4"/>
            <w:tcBorders>
              <w:top w:val="single" w:color="auto" w:sz="2" w:space="0"/>
              <w:bottom w:val="single" w:color="auto" w:sz="2" w:space="0"/>
            </w:tcBorders>
            <w:vAlign w:val="center"/>
          </w:tcPr>
          <w:p w14:paraId="61189E10">
            <w:pPr>
              <w:snapToGrid w:val="0"/>
              <w:spacing w:line="360" w:lineRule="auto"/>
              <w:jc w:val="center"/>
              <w:rPr>
                <w:rFonts w:ascii="宋体" w:hAnsi="宋体" w:eastAsia="宋体"/>
                <w:sz w:val="18"/>
                <w:szCs w:val="18"/>
              </w:rPr>
            </w:pPr>
            <w:r>
              <w:rPr>
                <w:rFonts w:hint="eastAsia" w:ascii="Times New Roman" w:hAnsi="Times New Roman" w:eastAsia="宋体"/>
                <w:sz w:val="18"/>
                <w:szCs w:val="18"/>
                <w:lang w:val="en-US" w:eastAsia="zh-CN"/>
              </w:rPr>
              <w:t>93.160</w:t>
            </w:r>
          </w:p>
        </w:tc>
        <w:tc>
          <w:tcPr>
            <w:tcW w:w="1843" w:type="dxa"/>
            <w:gridSpan w:val="2"/>
            <w:tcBorders>
              <w:top w:val="single" w:color="auto" w:sz="2" w:space="0"/>
              <w:bottom w:val="single" w:color="auto" w:sz="2" w:space="0"/>
            </w:tcBorders>
            <w:vAlign w:val="center"/>
          </w:tcPr>
          <w:p w14:paraId="4FFA1FCE">
            <w:pPr>
              <w:snapToGrid w:val="0"/>
              <w:spacing w:line="360" w:lineRule="auto"/>
              <w:jc w:val="center"/>
              <w:rPr>
                <w:rFonts w:ascii="宋体" w:hAnsi="宋体" w:eastAsia="宋体"/>
                <w:sz w:val="18"/>
                <w:szCs w:val="18"/>
              </w:rPr>
            </w:pPr>
            <w:r>
              <w:rPr>
                <w:rFonts w:hint="eastAsia" w:ascii="宋体" w:hAnsi="宋体" w:eastAsia="宋体"/>
                <w:sz w:val="18"/>
                <w:szCs w:val="18"/>
              </w:rPr>
              <w:t>中国标准分类号</w:t>
            </w:r>
          </w:p>
        </w:tc>
        <w:tc>
          <w:tcPr>
            <w:tcW w:w="2644" w:type="dxa"/>
            <w:gridSpan w:val="2"/>
            <w:tcBorders>
              <w:top w:val="single" w:color="auto" w:sz="2" w:space="0"/>
              <w:bottom w:val="single" w:color="auto" w:sz="2" w:space="0"/>
              <w:right w:val="single" w:color="auto" w:sz="2" w:space="0"/>
            </w:tcBorders>
            <w:vAlign w:val="center"/>
          </w:tcPr>
          <w:p w14:paraId="2C95223A">
            <w:pPr>
              <w:snapToGrid w:val="0"/>
              <w:spacing w:line="360" w:lineRule="auto"/>
              <w:jc w:val="center"/>
              <w:rPr>
                <w:rFonts w:hint="default" w:ascii="Times New Roman" w:hAnsi="Times New Roman" w:eastAsia="宋体"/>
                <w:sz w:val="18"/>
                <w:szCs w:val="18"/>
                <w:lang w:val="en-US" w:eastAsia="zh-CN"/>
              </w:rPr>
            </w:pPr>
            <w:r>
              <w:rPr>
                <w:rFonts w:hint="eastAsia" w:ascii="Times New Roman" w:hAnsi="Times New Roman" w:eastAsia="宋体"/>
                <w:sz w:val="18"/>
                <w:szCs w:val="18"/>
                <w:lang w:val="en-US" w:eastAsia="zh-CN"/>
              </w:rPr>
              <w:t>P 55</w:t>
            </w:r>
          </w:p>
        </w:tc>
      </w:tr>
      <w:tr w14:paraId="213BE846">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496" w:hRule="atLeast"/>
          <w:jc w:val="center"/>
        </w:trPr>
        <w:tc>
          <w:tcPr>
            <w:tcW w:w="2167" w:type="dxa"/>
            <w:tcBorders>
              <w:top w:val="single" w:color="auto" w:sz="2" w:space="0"/>
              <w:left w:val="single" w:color="auto" w:sz="2" w:space="0"/>
              <w:bottom w:val="single" w:color="auto" w:sz="2" w:space="0"/>
            </w:tcBorders>
            <w:vAlign w:val="center"/>
          </w:tcPr>
          <w:p w14:paraId="50FACA3D">
            <w:pPr>
              <w:snapToGrid w:val="0"/>
              <w:spacing w:line="360" w:lineRule="auto"/>
              <w:jc w:val="center"/>
              <w:rPr>
                <w:rFonts w:ascii="宋体" w:hAnsi="宋体" w:eastAsia="宋体"/>
                <w:sz w:val="18"/>
                <w:szCs w:val="18"/>
              </w:rPr>
            </w:pPr>
            <w:r>
              <w:rPr>
                <w:rFonts w:hint="eastAsia" w:ascii="宋体" w:hAnsi="宋体" w:eastAsia="宋体"/>
                <w:sz w:val="18"/>
                <w:szCs w:val="18"/>
              </w:rPr>
              <w:t>标准主要起草单位</w:t>
            </w:r>
          </w:p>
        </w:tc>
        <w:tc>
          <w:tcPr>
            <w:tcW w:w="3086" w:type="dxa"/>
            <w:gridSpan w:val="4"/>
            <w:tcBorders>
              <w:top w:val="single" w:color="auto" w:sz="2" w:space="0"/>
              <w:bottom w:val="single" w:color="auto" w:sz="2" w:space="0"/>
            </w:tcBorders>
            <w:vAlign w:val="center"/>
          </w:tcPr>
          <w:p w14:paraId="3803FB77">
            <w:pPr>
              <w:snapToGrid w:val="0"/>
              <w:spacing w:line="360" w:lineRule="auto"/>
              <w:jc w:val="center"/>
              <w:rPr>
                <w:rFonts w:hint="default" w:ascii="宋体" w:hAnsi="宋体" w:eastAsia="宋体"/>
                <w:sz w:val="18"/>
                <w:szCs w:val="18"/>
                <w:lang w:val="en-US" w:eastAsia="zh-CN"/>
              </w:rPr>
            </w:pPr>
            <w:r>
              <w:rPr>
                <w:rFonts w:hint="eastAsia" w:ascii="宋体" w:hAnsi="宋体" w:eastAsia="宋体"/>
                <w:sz w:val="18"/>
                <w:szCs w:val="18"/>
                <w:lang w:val="en-US" w:eastAsia="zh-CN"/>
              </w:rPr>
              <w:t>东南大学等</w:t>
            </w:r>
          </w:p>
        </w:tc>
        <w:tc>
          <w:tcPr>
            <w:tcW w:w="1843" w:type="dxa"/>
            <w:gridSpan w:val="2"/>
            <w:tcBorders>
              <w:top w:val="single" w:color="auto" w:sz="2" w:space="0"/>
              <w:bottom w:val="single" w:color="auto" w:sz="2" w:space="0"/>
            </w:tcBorders>
            <w:vAlign w:val="center"/>
          </w:tcPr>
          <w:p w14:paraId="7BD07580">
            <w:pPr>
              <w:snapToGrid w:val="0"/>
              <w:spacing w:line="360" w:lineRule="auto"/>
              <w:jc w:val="center"/>
              <w:rPr>
                <w:rFonts w:ascii="宋体" w:hAnsi="宋体" w:eastAsia="宋体"/>
                <w:sz w:val="18"/>
                <w:szCs w:val="18"/>
              </w:rPr>
            </w:pPr>
            <w:r>
              <w:rPr>
                <w:rFonts w:hint="eastAsia" w:ascii="宋体" w:hAnsi="宋体" w:eastAsia="宋体"/>
                <w:sz w:val="18"/>
                <w:szCs w:val="18"/>
              </w:rPr>
              <w:t>计划起止时间</w:t>
            </w:r>
          </w:p>
        </w:tc>
        <w:tc>
          <w:tcPr>
            <w:tcW w:w="2644" w:type="dxa"/>
            <w:gridSpan w:val="2"/>
            <w:tcBorders>
              <w:top w:val="single" w:color="auto" w:sz="2" w:space="0"/>
              <w:bottom w:val="single" w:color="auto" w:sz="2" w:space="0"/>
              <w:right w:val="single" w:color="auto" w:sz="2" w:space="0"/>
            </w:tcBorders>
            <w:vAlign w:val="center"/>
          </w:tcPr>
          <w:p w14:paraId="7AFF3DE9">
            <w:pPr>
              <w:snapToGrid w:val="0"/>
              <w:spacing w:line="360" w:lineRule="auto"/>
              <w:jc w:val="center"/>
              <w:rPr>
                <w:rFonts w:hint="default" w:ascii="Times New Roman" w:hAnsi="Times New Roman" w:eastAsia="宋体"/>
                <w:sz w:val="18"/>
                <w:szCs w:val="18"/>
                <w:lang w:val="en-US" w:eastAsia="zh-CN"/>
              </w:rPr>
            </w:pPr>
            <w:r>
              <w:rPr>
                <w:rFonts w:hint="eastAsia" w:eastAsia="宋体"/>
                <w:sz w:val="18"/>
                <w:szCs w:val="18"/>
                <w:lang w:val="en-US" w:eastAsia="zh-CN"/>
              </w:rPr>
              <w:t>1年</w:t>
            </w:r>
            <w:bookmarkStart w:id="0" w:name="_GoBack"/>
            <w:bookmarkEnd w:id="0"/>
          </w:p>
        </w:tc>
      </w:tr>
      <w:tr w14:paraId="384ECA2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05" w:hRule="atLeast"/>
          <w:jc w:val="center"/>
        </w:trPr>
        <w:tc>
          <w:tcPr>
            <w:tcW w:w="2167" w:type="dxa"/>
            <w:tcBorders>
              <w:top w:val="single" w:color="auto" w:sz="2" w:space="0"/>
              <w:left w:val="single" w:color="auto" w:sz="2" w:space="0"/>
              <w:bottom w:val="single" w:color="auto" w:sz="2" w:space="0"/>
            </w:tcBorders>
            <w:vAlign w:val="center"/>
          </w:tcPr>
          <w:p w14:paraId="659B3C92">
            <w:pPr>
              <w:snapToGrid w:val="0"/>
              <w:spacing w:line="360" w:lineRule="auto"/>
              <w:jc w:val="center"/>
              <w:rPr>
                <w:rFonts w:ascii="宋体" w:hAnsi="宋体" w:eastAsia="宋体"/>
                <w:sz w:val="18"/>
                <w:szCs w:val="18"/>
              </w:rPr>
            </w:pPr>
            <w:r>
              <w:rPr>
                <w:rFonts w:hint="eastAsia" w:ascii="宋体" w:hAnsi="宋体" w:eastAsia="宋体"/>
                <w:sz w:val="18"/>
                <w:szCs w:val="18"/>
              </w:rPr>
              <w:t>目的</w:t>
            </w:r>
            <w:r>
              <w:rPr>
                <w:rFonts w:ascii="宋体" w:hAnsi="宋体" w:eastAsia="宋体"/>
                <w:sz w:val="18"/>
                <w:szCs w:val="18"/>
              </w:rPr>
              <w:t>﹑</w:t>
            </w:r>
            <w:r>
              <w:rPr>
                <w:rFonts w:hint="eastAsia" w:ascii="宋体" w:hAnsi="宋体" w:eastAsia="宋体"/>
                <w:sz w:val="18"/>
                <w:szCs w:val="18"/>
              </w:rPr>
              <w:t>意义或必</w:t>
            </w:r>
          </w:p>
          <w:p w14:paraId="583BC909">
            <w:pPr>
              <w:snapToGrid w:val="0"/>
              <w:spacing w:line="360" w:lineRule="auto"/>
              <w:jc w:val="center"/>
              <w:rPr>
                <w:rFonts w:ascii="宋体" w:hAnsi="宋体" w:eastAsia="宋体"/>
                <w:sz w:val="18"/>
                <w:szCs w:val="18"/>
              </w:rPr>
            </w:pPr>
            <w:r>
              <w:rPr>
                <w:rFonts w:hint="eastAsia" w:ascii="宋体" w:hAnsi="宋体" w:eastAsia="宋体"/>
                <w:sz w:val="18"/>
                <w:szCs w:val="18"/>
              </w:rPr>
              <w:t>要性</w:t>
            </w:r>
          </w:p>
        </w:tc>
        <w:tc>
          <w:tcPr>
            <w:tcW w:w="7573" w:type="dxa"/>
            <w:gridSpan w:val="8"/>
            <w:tcBorders>
              <w:top w:val="single" w:color="auto" w:sz="2" w:space="0"/>
              <w:bottom w:val="single" w:color="auto" w:sz="2" w:space="0"/>
              <w:right w:val="single" w:color="auto" w:sz="2" w:space="0"/>
            </w:tcBorders>
            <w:vAlign w:val="center"/>
          </w:tcPr>
          <w:p w14:paraId="38D97712">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ascii="宋体" w:hAnsi="宋体" w:eastAsia="宋体" w:cs="宋体"/>
                <w:kern w:val="2"/>
                <w:sz w:val="18"/>
                <w:szCs w:val="18"/>
                <w:lang w:val="en-US" w:eastAsia="zh-CN" w:bidi="ar-SA"/>
              </w:rPr>
            </w:pPr>
            <w:r>
              <w:rPr>
                <w:rFonts w:hint="eastAsia" w:ascii="宋体" w:hAnsi="宋体" w:eastAsia="宋体"/>
                <w:sz w:val="18"/>
                <w:szCs w:val="18"/>
              </w:rPr>
              <w:t>水工建筑物水泥基密封与修复技术规范</w:t>
            </w:r>
            <w:r>
              <w:rPr>
                <w:rFonts w:ascii="宋体" w:hAnsi="宋体" w:eastAsia="宋体" w:cs="宋体"/>
                <w:sz w:val="18"/>
                <w:szCs w:val="18"/>
              </w:rPr>
              <w:t>是针对水利水电工程复杂服役环境研发的高性能修复材料体</w:t>
            </w:r>
            <w:r>
              <w:rPr>
                <w:rFonts w:ascii="宋体" w:hAnsi="宋体" w:eastAsia="宋体" w:cs="宋体"/>
                <w:kern w:val="2"/>
                <w:sz w:val="18"/>
                <w:szCs w:val="18"/>
                <w:lang w:val="en-US" w:eastAsia="zh-CN" w:bidi="ar-SA"/>
              </w:rPr>
              <w:t>系。该体系通过高抗分散絮凝技术与聚合物-水泥基复合技术，解决了传统材料在动水环境下易流失、易脆断及剥离的行业难题。</w:t>
            </w:r>
          </w:p>
          <w:p w14:paraId="6BEED84D">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1" w:firstLineChars="200"/>
              <w:textAlignment w:val="auto"/>
              <w:rPr>
                <w:rFonts w:ascii="宋体" w:hAnsi="宋体" w:eastAsia="宋体" w:cs="宋体"/>
                <w:b/>
                <w:bCs/>
                <w:kern w:val="2"/>
                <w:sz w:val="18"/>
                <w:szCs w:val="18"/>
                <w:lang w:val="en-US" w:eastAsia="zh-CN" w:bidi="ar-SA"/>
              </w:rPr>
            </w:pPr>
            <w:r>
              <w:rPr>
                <w:rFonts w:hint="eastAsia" w:ascii="宋体" w:hAnsi="宋体" w:eastAsia="宋体"/>
                <w:b/>
                <w:bCs/>
                <w:sz w:val="18"/>
                <w:szCs w:val="18"/>
              </w:rPr>
              <w:t>水工建筑物水泥基密封与修复技术规范</w:t>
            </w:r>
            <w:r>
              <w:rPr>
                <w:rFonts w:ascii="宋体" w:hAnsi="宋体" w:eastAsia="宋体" w:cs="宋体"/>
                <w:b/>
                <w:bCs/>
                <w:kern w:val="2"/>
                <w:sz w:val="18"/>
                <w:szCs w:val="18"/>
                <w:lang w:val="en-US" w:eastAsia="zh-CN" w:bidi="ar-SA"/>
              </w:rPr>
              <w:t>主要特点：</w:t>
            </w:r>
          </w:p>
          <w:p w14:paraId="656F6810">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1.优异</w:t>
            </w:r>
            <w:r>
              <w:rPr>
                <w:rFonts w:ascii="宋体" w:hAnsi="宋体" w:eastAsia="宋体" w:cs="宋体"/>
                <w:kern w:val="2"/>
                <w:sz w:val="18"/>
                <w:szCs w:val="18"/>
                <w:lang w:val="en-US" w:eastAsia="zh-CN" w:bidi="ar-SA"/>
              </w:rPr>
              <w:t>的水下抗分散性：密封材料通过高效抗分散组分的作用，在动水或静水等不排水工况下施工时，能够有效保持浆体的完整性。这种特性可以遏制水泥浆在水中的流失，确保材料在复杂水环境下能够精准填充空腔并固化，保障水下施工质量。</w:t>
            </w:r>
          </w:p>
          <w:p w14:paraId="1917C070">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2.卓越的柔韧性与形变自适应能力：韧性修复材料通过聚合物与水泥基材料的复合作用，赋予了构筑物远超传统材料的极限变形能力。其能够适应水工结构因温度变化或不均匀沉降产生的位移，有效应对复杂应力环境，防止修复层发生脆性破坏。</w:t>
            </w:r>
          </w:p>
          <w:p w14:paraId="625C0ED6">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3.可靠的粘结稳定性：修复材料具备与旧混凝土基体或钢筋表面形成持久、高强度结合的能力。无论是水上还是水下环境，均能保持良好的粘结状态，解决了修复界面易剥离的难题，确保加固工程的整体性与长效性。</w:t>
            </w:r>
          </w:p>
          <w:p w14:paraId="55C780CD">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4.良好的抗渗性与耐久性：利用材料内部的特殊机理实现优异的阻水效果，展现出显著的抗渗性能。同时，通过优化组分抑制材料收缩，减少了裂缝产生的风险，提升了水工建筑物在长期服役过程中的耐久性。</w:t>
            </w:r>
          </w:p>
          <w:p w14:paraId="339FB811">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1" w:firstLineChars="200"/>
              <w:textAlignment w:val="auto"/>
              <w:rPr>
                <w:rFonts w:ascii="宋体" w:hAnsi="宋体" w:eastAsia="宋体" w:cs="宋体"/>
                <w:b/>
                <w:bCs/>
                <w:kern w:val="2"/>
                <w:sz w:val="18"/>
                <w:szCs w:val="18"/>
                <w:lang w:val="en-US" w:eastAsia="zh-CN" w:bidi="ar-SA"/>
              </w:rPr>
            </w:pPr>
            <w:r>
              <w:rPr>
                <w:rFonts w:hint="eastAsia" w:ascii="宋体" w:hAnsi="宋体" w:eastAsia="宋体"/>
                <w:b/>
                <w:bCs/>
                <w:sz w:val="18"/>
                <w:szCs w:val="18"/>
              </w:rPr>
              <w:t>水工建筑物水泥基密封与修复技术规范</w:t>
            </w:r>
            <w:r>
              <w:rPr>
                <w:rFonts w:ascii="宋体" w:hAnsi="宋体" w:eastAsia="宋体" w:cs="宋体"/>
                <w:b/>
                <w:bCs/>
                <w:kern w:val="2"/>
                <w:sz w:val="18"/>
                <w:szCs w:val="18"/>
                <w:lang w:val="en-US" w:eastAsia="zh-CN" w:bidi="ar-SA"/>
              </w:rPr>
              <w:t>主要</w:t>
            </w:r>
            <w:r>
              <w:rPr>
                <w:rFonts w:hint="eastAsia" w:ascii="宋体" w:hAnsi="宋体" w:eastAsia="宋体" w:cs="宋体"/>
                <w:b/>
                <w:bCs/>
                <w:kern w:val="2"/>
                <w:sz w:val="18"/>
                <w:szCs w:val="18"/>
                <w:lang w:val="en-US" w:eastAsia="zh-CN" w:bidi="ar-SA"/>
              </w:rPr>
              <w:t>应用领域</w:t>
            </w:r>
            <w:r>
              <w:rPr>
                <w:rFonts w:ascii="宋体" w:hAnsi="宋体" w:eastAsia="宋体" w:cs="宋体"/>
                <w:b/>
                <w:bCs/>
                <w:kern w:val="2"/>
                <w:sz w:val="18"/>
                <w:szCs w:val="18"/>
                <w:lang w:val="en-US" w:eastAsia="zh-CN" w:bidi="ar-SA"/>
              </w:rPr>
              <w:t>：</w:t>
            </w:r>
          </w:p>
          <w:p w14:paraId="4E41388B">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（1）水工结构修补与加固领域：</w:t>
            </w:r>
          </w:p>
          <w:p w14:paraId="7DAAF305">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大坝与泄洪设施修复，水工建筑物水泥基密封与韧性修复材料可用于大坝坝面、溢洪道及泄洪洞等部位的修补。其既能利用高抗分散特性在动水环境下完成精准封堵，又能发挥超高韧性抵御泄洪时的冲磨与震动载荷。在不排水工况下，材料可迅速填充冲坑与裂缝，恢复结构完整性，减少因停产检修带来的经济损失，适用于水电站、大型水闸等对结构耐久性有严苛要求的水工建筑。结构防渗与止水工程，在水工建筑物内部空间中，该材料可作为防渗墙、伸缩缝或渗漏点的止水屏障使用。它能够在封堵渗漏通道的同时，凭借形变自适应能力应对结构的不均匀沉降或温度应力，保持长期的密封效果，确保水工结构的运行安全。</w:t>
            </w:r>
          </w:p>
          <w:p w14:paraId="3F84FD28">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（2）港口与地下水务工程：</w:t>
            </w:r>
          </w:p>
          <w:p w14:paraId="6AB1F51F">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水下基础加固，水工建筑物水泥基密封与韧性修复材料用于港口码头、护岸及桩基等水下基础的加固。在潮汐带或全潜环境下，材料能够提供强韧的粘结力，为钢筋混凝土结构提供可靠的保护层。同时，其优异的抗渗性能可以有效阻止氯离子侵蚀，大幅延长涉水基础设施的使用寿命。地下水务工程，可应用于城市泵站、输水隧洞、沉井及调蓄池等地下构筑物的维护。施工过程中，材料以其良好的流变性能融入狭窄空间或复杂部位；运行期间，其物理封堵与微观互穿网络的共同作用能够营造出卓越的阻水环境，为城市供排水系统的稳定运行提供保障。</w:t>
            </w:r>
          </w:p>
          <w:p w14:paraId="7CE4471C">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eastAsia" w:ascii="宋体" w:hAnsi="宋体" w:eastAsia="宋体" w:cs="宋体"/>
                <w:b/>
                <w:bCs/>
                <w:kern w:val="2"/>
                <w:sz w:val="18"/>
                <w:szCs w:val="18"/>
                <w:lang w:val="en-US" w:eastAsia="zh-CN" w:bidi="ar-SA"/>
              </w:rPr>
            </w:pPr>
            <w:r>
              <w:rPr>
                <w:rFonts w:hint="eastAsia" w:ascii="宋体" w:hAnsi="宋体" w:eastAsia="宋体" w:cs="宋体"/>
                <w:kern w:val="2"/>
                <w:sz w:val="18"/>
                <w:szCs w:val="18"/>
                <w:lang w:val="en-US" w:eastAsia="zh-CN" w:bidi="ar-SA"/>
              </w:rPr>
              <w:t>水工建筑物水泥基密封与韧性修复已在多项大型水利水电及港口工程中得到应用，涵盖了防渗堵漏、结构加固及抗冲磨修复等多个领域。</w:t>
            </w:r>
            <w:r>
              <w:rPr>
                <w:rFonts w:hint="eastAsia" w:ascii="宋体" w:hAnsi="宋体" w:eastAsia="宋体" w:cs="宋体"/>
                <w:b/>
                <w:bCs/>
                <w:kern w:val="2"/>
                <w:sz w:val="18"/>
                <w:szCs w:val="18"/>
                <w:lang w:val="en-US" w:eastAsia="zh-CN" w:bidi="ar-SA"/>
              </w:rPr>
              <w:t>该类材料典型应用工程案例有：</w:t>
            </w:r>
          </w:p>
          <w:p w14:paraId="0FCF0472">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default"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(1)白鹤滩水电站修复工程</w:t>
            </w:r>
          </w:p>
          <w:p w14:paraId="26B549F3">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jc w:val="center"/>
              <w:textAlignment w:val="auto"/>
              <w:rPr>
                <w:rFonts w:hint="default" w:ascii="宋体" w:hAnsi="宋体" w:eastAsia="宋体" w:cs="宋体"/>
                <w:b/>
                <w:bCs/>
                <w:kern w:val="2"/>
                <w:sz w:val="18"/>
                <w:szCs w:val="18"/>
                <w:lang w:val="en-US" w:eastAsia="zh-CN" w:bidi="ar-SA"/>
              </w:rPr>
            </w:pPr>
            <w:r>
              <w:drawing>
                <wp:inline distT="0" distB="0" distL="114300" distR="114300">
                  <wp:extent cx="2136140" cy="1468755"/>
                  <wp:effectExtent l="0" t="0" r="1270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4"/>
                          <a:stretch>
                            <a:fillRect/>
                          </a:stretch>
                        </pic:blipFill>
                        <pic:spPr>
                          <a:xfrm>
                            <a:off x="0" y="0"/>
                            <a:ext cx="2136140" cy="1468755"/>
                          </a:xfrm>
                          <a:prstGeom prst="rect">
                            <a:avLst/>
                          </a:prstGeom>
                          <a:noFill/>
                          <a:ln>
                            <a:noFill/>
                          </a:ln>
                        </pic:spPr>
                      </pic:pic>
                    </a:graphicData>
                  </a:graphic>
                </wp:inline>
              </w:drawing>
            </w:r>
            <w:r>
              <w:drawing>
                <wp:inline distT="0" distB="0" distL="114300" distR="114300">
                  <wp:extent cx="2124710" cy="1475740"/>
                  <wp:effectExtent l="0" t="0" r="889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5"/>
                          <a:stretch>
                            <a:fillRect/>
                          </a:stretch>
                        </pic:blipFill>
                        <pic:spPr>
                          <a:xfrm>
                            <a:off x="0" y="0"/>
                            <a:ext cx="2124710" cy="1475740"/>
                          </a:xfrm>
                          <a:prstGeom prst="rect">
                            <a:avLst/>
                          </a:prstGeom>
                          <a:noFill/>
                          <a:ln>
                            <a:noFill/>
                          </a:ln>
                        </pic:spPr>
                      </pic:pic>
                    </a:graphicData>
                  </a:graphic>
                </wp:inline>
              </w:drawing>
            </w:r>
          </w:p>
          <w:p w14:paraId="3996CD23">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1" w:firstLineChars="200"/>
              <w:jc w:val="center"/>
              <w:textAlignment w:val="auto"/>
              <w:rPr>
                <w:rFonts w:hint="eastAsia" w:ascii="宋体" w:hAnsi="宋体" w:eastAsia="宋体" w:cs="宋体"/>
                <w:b/>
                <w:bCs/>
                <w:kern w:val="2"/>
                <w:sz w:val="18"/>
                <w:szCs w:val="18"/>
                <w:lang w:val="en-US" w:eastAsia="zh-CN" w:bidi="ar-SA"/>
              </w:rPr>
            </w:pPr>
            <w:r>
              <w:rPr>
                <w:rFonts w:hint="eastAsia" w:ascii="宋体" w:hAnsi="宋体" w:eastAsia="宋体" w:cs="宋体"/>
                <w:b/>
                <w:bCs/>
                <w:kern w:val="2"/>
                <w:sz w:val="18"/>
                <w:szCs w:val="18"/>
                <w:lang w:val="en-US" w:eastAsia="zh-CN" w:bidi="ar-SA"/>
              </w:rPr>
              <w:t>图1 白鹤滩水电站导流洞闸门底坎水下修复处理</w:t>
            </w:r>
          </w:p>
          <w:p w14:paraId="490F69F2">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default"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(2)景洪电厂大坝</w:t>
            </w:r>
          </w:p>
          <w:p w14:paraId="141D022D">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jc w:val="center"/>
              <w:textAlignment w:val="auto"/>
            </w:pPr>
            <w:r>
              <w:drawing>
                <wp:inline distT="0" distB="0" distL="114300" distR="114300">
                  <wp:extent cx="2137410" cy="1551940"/>
                  <wp:effectExtent l="0" t="0" r="1143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stretch>
                            <a:fillRect/>
                          </a:stretch>
                        </pic:blipFill>
                        <pic:spPr>
                          <a:xfrm>
                            <a:off x="0" y="0"/>
                            <a:ext cx="2137410" cy="1551940"/>
                          </a:xfrm>
                          <a:prstGeom prst="rect">
                            <a:avLst/>
                          </a:prstGeom>
                          <a:noFill/>
                          <a:ln>
                            <a:noFill/>
                          </a:ln>
                        </pic:spPr>
                      </pic:pic>
                    </a:graphicData>
                  </a:graphic>
                </wp:inline>
              </w:drawing>
            </w:r>
            <w:r>
              <w:drawing>
                <wp:inline distT="0" distB="0" distL="114300" distR="114300">
                  <wp:extent cx="2117725" cy="1517015"/>
                  <wp:effectExtent l="0" t="0" r="635" b="698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7"/>
                          <a:stretch>
                            <a:fillRect/>
                          </a:stretch>
                        </pic:blipFill>
                        <pic:spPr>
                          <a:xfrm>
                            <a:off x="0" y="0"/>
                            <a:ext cx="2117725" cy="1517015"/>
                          </a:xfrm>
                          <a:prstGeom prst="rect">
                            <a:avLst/>
                          </a:prstGeom>
                          <a:noFill/>
                          <a:ln>
                            <a:noFill/>
                          </a:ln>
                        </pic:spPr>
                      </pic:pic>
                    </a:graphicData>
                  </a:graphic>
                </wp:inline>
              </w:drawing>
            </w:r>
          </w:p>
          <w:p w14:paraId="4E7E4AE2">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1" w:firstLineChars="200"/>
              <w:jc w:val="center"/>
              <w:textAlignment w:val="auto"/>
              <w:rPr>
                <w:rFonts w:hint="eastAsia" w:ascii="宋体" w:hAnsi="宋体" w:eastAsia="宋体" w:cs="宋体"/>
                <w:b/>
                <w:bCs/>
                <w:kern w:val="2"/>
                <w:sz w:val="18"/>
                <w:szCs w:val="18"/>
                <w:lang w:val="en-US" w:eastAsia="zh-CN" w:bidi="ar-SA"/>
              </w:rPr>
            </w:pPr>
            <w:r>
              <w:rPr>
                <w:rFonts w:hint="eastAsia" w:ascii="宋体" w:hAnsi="宋体" w:eastAsia="宋体" w:cs="宋体"/>
                <w:b/>
                <w:bCs/>
                <w:kern w:val="2"/>
                <w:sz w:val="18"/>
                <w:szCs w:val="18"/>
                <w:lang w:val="en-US" w:eastAsia="zh-CN" w:bidi="ar-SA"/>
              </w:rPr>
              <w:t>图2 景洪电厂大坝12#-13#坝段结构横缝渗水处理工程</w:t>
            </w:r>
          </w:p>
          <w:p w14:paraId="10DEABBA">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(3)尤溪洲大桥的墩柱施工</w:t>
            </w:r>
          </w:p>
          <w:p w14:paraId="296A2876">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jc w:val="center"/>
              <w:textAlignment w:val="auto"/>
            </w:pPr>
            <w:r>
              <w:drawing>
                <wp:inline distT="0" distB="0" distL="114300" distR="114300">
                  <wp:extent cx="2117725" cy="1476375"/>
                  <wp:effectExtent l="0" t="0" r="635" b="190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8"/>
                          <a:stretch>
                            <a:fillRect/>
                          </a:stretch>
                        </pic:blipFill>
                        <pic:spPr>
                          <a:xfrm>
                            <a:off x="0" y="0"/>
                            <a:ext cx="2117725" cy="1476375"/>
                          </a:xfrm>
                          <a:prstGeom prst="rect">
                            <a:avLst/>
                          </a:prstGeom>
                          <a:noFill/>
                          <a:ln>
                            <a:noFill/>
                          </a:ln>
                        </pic:spPr>
                      </pic:pic>
                    </a:graphicData>
                  </a:graphic>
                </wp:inline>
              </w:drawing>
            </w:r>
            <w:r>
              <w:drawing>
                <wp:inline distT="0" distB="0" distL="114300" distR="114300">
                  <wp:extent cx="2127885" cy="1470660"/>
                  <wp:effectExtent l="0" t="0" r="5715"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9"/>
                          <a:stretch>
                            <a:fillRect/>
                          </a:stretch>
                        </pic:blipFill>
                        <pic:spPr>
                          <a:xfrm>
                            <a:off x="0" y="0"/>
                            <a:ext cx="2127885" cy="1470660"/>
                          </a:xfrm>
                          <a:prstGeom prst="rect">
                            <a:avLst/>
                          </a:prstGeom>
                          <a:noFill/>
                          <a:ln>
                            <a:noFill/>
                          </a:ln>
                        </pic:spPr>
                      </pic:pic>
                    </a:graphicData>
                  </a:graphic>
                </wp:inline>
              </w:drawing>
            </w:r>
          </w:p>
          <w:p w14:paraId="1C48388A">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1" w:firstLineChars="200"/>
              <w:jc w:val="center"/>
              <w:textAlignment w:val="auto"/>
              <w:rPr>
                <w:rFonts w:hint="eastAsia" w:ascii="宋体" w:hAnsi="宋体" w:eastAsia="宋体" w:cs="宋体"/>
                <w:b/>
                <w:bCs/>
                <w:kern w:val="2"/>
                <w:sz w:val="18"/>
                <w:szCs w:val="18"/>
                <w:lang w:val="en-US" w:eastAsia="zh-CN" w:bidi="ar-SA"/>
              </w:rPr>
            </w:pPr>
            <w:r>
              <w:rPr>
                <w:rFonts w:hint="eastAsia" w:ascii="宋体" w:hAnsi="宋体" w:eastAsia="宋体" w:cs="宋体"/>
                <w:b/>
                <w:bCs/>
                <w:kern w:val="2"/>
                <w:sz w:val="18"/>
                <w:szCs w:val="18"/>
                <w:lang w:val="en-US" w:eastAsia="zh-CN" w:bidi="ar-SA"/>
              </w:rPr>
              <w:t>图3 尤溪洲大桥的墩柱施工修复工程</w:t>
            </w:r>
          </w:p>
          <w:p w14:paraId="4B8F4837">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1" w:firstLineChars="200"/>
              <w:jc w:val="center"/>
              <w:textAlignment w:val="auto"/>
              <w:rPr>
                <w:rFonts w:hint="default" w:ascii="宋体" w:hAnsi="宋体" w:eastAsia="宋体" w:cs="宋体"/>
                <w:b/>
                <w:bCs/>
                <w:kern w:val="2"/>
                <w:sz w:val="18"/>
                <w:szCs w:val="18"/>
                <w:lang w:val="en-US" w:eastAsia="zh-CN" w:bidi="ar-SA"/>
              </w:rPr>
            </w:pPr>
          </w:p>
          <w:p w14:paraId="7DEEFB3E">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default" w:ascii="宋体" w:hAnsi="宋体" w:eastAsia="宋体" w:cs="宋体"/>
                <w:kern w:val="2"/>
                <w:sz w:val="18"/>
                <w:szCs w:val="18"/>
                <w:lang w:val="en-US" w:eastAsia="zh-CN" w:bidi="ar-SA"/>
              </w:rPr>
            </w:pPr>
            <w:r>
              <w:rPr>
                <w:rFonts w:ascii="宋体" w:hAnsi="宋体" w:eastAsia="宋体" w:cs="宋体"/>
                <w:kern w:val="2"/>
                <w:sz w:val="18"/>
                <w:szCs w:val="18"/>
                <w:lang w:val="en-US" w:eastAsia="zh-CN" w:bidi="ar-SA"/>
              </w:rPr>
              <w:t>目前，国内外对水下修复材料的研究多集中于单一抗分散性能，尚缺乏能兼顾“超高韧性”与“水下施工性”的聚合物-水泥基复合材料技术标准。制定本标准旨在规范水工水泥基密封与韧性修复材料的技术要求（如水下抗分散性、柔韧性、粘结强度等）、试验方法及施工验收准则。这将为水利行业提供一种兼具无机材料长寿命与有机材料高韧性表现的新型评价准则，对保障水工建筑物的安全服役、提升行业技术水平具有重要意义。</w:t>
            </w:r>
          </w:p>
        </w:tc>
      </w:tr>
      <w:tr w14:paraId="0BC73CD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051" w:hRule="atLeast"/>
          <w:jc w:val="center"/>
        </w:trPr>
        <w:tc>
          <w:tcPr>
            <w:tcW w:w="2167" w:type="dxa"/>
            <w:tcBorders>
              <w:top w:val="single" w:color="auto" w:sz="2" w:space="0"/>
              <w:left w:val="single" w:color="auto" w:sz="2" w:space="0"/>
              <w:bottom w:val="single" w:color="auto" w:sz="2" w:space="0"/>
            </w:tcBorders>
            <w:vAlign w:val="center"/>
          </w:tcPr>
          <w:p w14:paraId="1A4BF064">
            <w:pPr>
              <w:snapToGrid w:val="0"/>
              <w:spacing w:line="360" w:lineRule="auto"/>
              <w:jc w:val="center"/>
              <w:rPr>
                <w:rFonts w:ascii="宋体" w:hAnsi="宋体" w:eastAsia="宋体"/>
                <w:sz w:val="18"/>
                <w:szCs w:val="18"/>
              </w:rPr>
            </w:pPr>
            <w:r>
              <w:rPr>
                <w:rFonts w:hint="eastAsia" w:ascii="宋体" w:hAnsi="宋体" w:eastAsia="宋体"/>
                <w:sz w:val="18"/>
                <w:szCs w:val="18"/>
              </w:rPr>
              <w:t>范围和主要</w:t>
            </w:r>
          </w:p>
          <w:p w14:paraId="05606D33">
            <w:pPr>
              <w:snapToGrid w:val="0"/>
              <w:spacing w:line="360" w:lineRule="auto"/>
              <w:jc w:val="center"/>
              <w:rPr>
                <w:rFonts w:ascii="宋体" w:hAnsi="宋体" w:eastAsia="宋体"/>
                <w:sz w:val="18"/>
                <w:szCs w:val="18"/>
              </w:rPr>
            </w:pPr>
            <w:r>
              <w:rPr>
                <w:rFonts w:hint="eastAsia" w:ascii="宋体" w:hAnsi="宋体" w:eastAsia="宋体"/>
                <w:sz w:val="18"/>
                <w:szCs w:val="18"/>
              </w:rPr>
              <w:t>技术内容</w:t>
            </w:r>
          </w:p>
        </w:tc>
        <w:tc>
          <w:tcPr>
            <w:tcW w:w="7573" w:type="dxa"/>
            <w:gridSpan w:val="8"/>
            <w:tcBorders>
              <w:top w:val="single" w:color="auto" w:sz="2" w:space="0"/>
              <w:bottom w:val="single" w:color="auto" w:sz="2" w:space="0"/>
              <w:right w:val="single" w:color="auto" w:sz="2" w:space="0"/>
            </w:tcBorders>
            <w:vAlign w:val="center"/>
          </w:tcPr>
          <w:p w14:paraId="7A01FA75">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eastAsia" w:ascii="宋体" w:hAnsi="宋体" w:eastAsia="宋体" w:cs="宋体"/>
                <w:kern w:val="2"/>
                <w:sz w:val="18"/>
                <w:szCs w:val="18"/>
                <w:lang w:val="en-US" w:eastAsia="zh-CN" w:bidi="ar-SA"/>
              </w:rPr>
            </w:pPr>
            <w:r>
              <w:rPr>
                <w:rFonts w:hint="eastAsia" w:ascii="宋体" w:hAnsi="宋体" w:eastAsia="宋体" w:cs="宋体"/>
                <w:kern w:val="2"/>
                <w:sz w:val="18"/>
                <w:szCs w:val="18"/>
                <w:lang w:val="en-US" w:eastAsia="zh-CN" w:bidi="ar-SA"/>
              </w:rPr>
              <w:t>适用范围：本标准适用于以水泥基材料为基体材料，通过添加高抗分散组分或聚合物改性组分，采用灌注、抹面、喷射或压浆等施工工艺，用于大坝、水闸、溢洪道、港口等水工建筑物或构筑物在静水或动水环境下的裂缝密封、孔洞填充、渗漏修补及表面韧性加固工程的水泥基材料。</w:t>
            </w:r>
          </w:p>
          <w:p w14:paraId="7FB9793E">
            <w:pPr>
              <w:keepNext w:val="0"/>
              <w:keepLines w:val="0"/>
              <w:pageBreakBefore w:val="0"/>
              <w:widowControl w:val="0"/>
              <w:kinsoku/>
              <w:wordWrap/>
              <w:overflowPunct/>
              <w:topLinePunct w:val="0"/>
              <w:autoSpaceDE/>
              <w:autoSpaceDN/>
              <w:bidi w:val="0"/>
              <w:adjustRightInd/>
              <w:snapToGrid w:val="0"/>
              <w:spacing w:beforeAutospacing="0" w:afterAutospacing="0" w:line="360" w:lineRule="auto"/>
              <w:ind w:firstLine="360" w:firstLineChars="200"/>
              <w:textAlignment w:val="auto"/>
              <w:rPr>
                <w:rFonts w:hint="default" w:ascii="宋体" w:hAnsi="宋体" w:eastAsia="宋体" w:cs="宋体"/>
                <w:sz w:val="24"/>
                <w:szCs w:val="24"/>
                <w:lang w:val="en-US" w:eastAsia="zh-CN"/>
              </w:rPr>
            </w:pPr>
            <w:r>
              <w:rPr>
                <w:rFonts w:hint="eastAsia" w:ascii="宋体" w:hAnsi="宋体" w:eastAsia="宋体" w:cs="宋体"/>
                <w:kern w:val="2"/>
                <w:sz w:val="18"/>
                <w:szCs w:val="18"/>
                <w:lang w:val="en-US" w:eastAsia="zh-CN" w:bidi="ar-SA"/>
              </w:rPr>
              <w:t>主要技术内容：术语与定义、基本规定（含材料选型准则及水工环境适应性要求）、原材料（主要原材料种类与性能要求）、材料制备与施工工艺（组分混合顺序、配比控制及不同工况下的施工要点）、质量要求（外观、流动度、水下抗分散性、柔韧性、粘结强度及抗渗性能等技术指标）、试验方法、检验规则（出厂与型式检验项目、批次判定）、产品合格证、包装标志及存放运输要求等。</w:t>
            </w:r>
          </w:p>
        </w:tc>
      </w:tr>
      <w:tr w14:paraId="4A09E1A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trHeight w:val="1460" w:hRule="atLeast"/>
          <w:jc w:val="center"/>
        </w:trPr>
        <w:tc>
          <w:tcPr>
            <w:tcW w:w="2167" w:type="dxa"/>
            <w:tcBorders>
              <w:top w:val="single" w:color="auto" w:sz="2" w:space="0"/>
              <w:left w:val="single" w:color="auto" w:sz="2" w:space="0"/>
              <w:bottom w:val="single" w:color="auto" w:sz="2" w:space="0"/>
            </w:tcBorders>
            <w:vAlign w:val="center"/>
          </w:tcPr>
          <w:p w14:paraId="52D54AF7">
            <w:pPr>
              <w:numPr>
                <w:ilvl w:val="0"/>
                <w:numId w:val="0"/>
              </w:numPr>
              <w:snapToGrid w:val="0"/>
              <w:spacing w:line="360" w:lineRule="auto"/>
              <w:jc w:val="center"/>
              <w:rPr>
                <w:rFonts w:ascii="宋体" w:hAnsi="宋体" w:eastAsia="宋体" w:cs="宋体"/>
                <w:sz w:val="18"/>
                <w:szCs w:val="18"/>
              </w:rPr>
            </w:pPr>
            <w:r>
              <w:rPr>
                <w:rFonts w:hint="eastAsia" w:ascii="宋体" w:hAnsi="宋体" w:eastAsia="宋体" w:cs="宋体"/>
                <w:sz w:val="18"/>
                <w:szCs w:val="18"/>
              </w:rPr>
              <w:t>国内外情况</w:t>
            </w:r>
          </w:p>
          <w:p w14:paraId="3E79426B">
            <w:pPr>
              <w:numPr>
                <w:ilvl w:val="0"/>
                <w:numId w:val="0"/>
              </w:numPr>
              <w:snapToGrid w:val="0"/>
              <w:spacing w:line="360" w:lineRule="auto"/>
              <w:jc w:val="center"/>
              <w:rPr>
                <w:rFonts w:ascii="宋体" w:hAnsi="宋体" w:eastAsia="宋体" w:cs="宋体"/>
                <w:sz w:val="18"/>
                <w:szCs w:val="18"/>
              </w:rPr>
            </w:pPr>
            <w:r>
              <w:rPr>
                <w:rFonts w:hint="eastAsia" w:ascii="宋体" w:hAnsi="宋体" w:eastAsia="宋体" w:cs="宋体"/>
                <w:sz w:val="18"/>
                <w:szCs w:val="18"/>
              </w:rPr>
              <w:t>简要说明</w:t>
            </w:r>
          </w:p>
        </w:tc>
        <w:tc>
          <w:tcPr>
            <w:tcW w:w="7573" w:type="dxa"/>
            <w:gridSpan w:val="8"/>
            <w:tcBorders>
              <w:top w:val="single" w:color="auto" w:sz="2" w:space="0"/>
              <w:bottom w:val="single" w:color="auto" w:sz="2" w:space="0"/>
              <w:right w:val="single" w:color="auto" w:sz="2" w:space="0"/>
            </w:tcBorders>
            <w:vAlign w:val="center"/>
          </w:tcPr>
          <w:p w14:paraId="6369E34C">
            <w:pPr>
              <w:tabs>
                <w:tab w:val="left" w:pos="315"/>
              </w:tabs>
              <w:spacing w:line="380" w:lineRule="atLeast"/>
              <w:ind w:firstLine="360" w:firstLineChars="200"/>
              <w:rPr>
                <w:rFonts w:hint="eastAsia" w:eastAsiaTheme="minorEastAsia"/>
                <w:sz w:val="18"/>
                <w:szCs w:val="18"/>
                <w:shd w:val="clear" w:color="auto" w:fill="FFFFFF"/>
              </w:rPr>
            </w:pPr>
            <w:r>
              <w:rPr>
                <w:rFonts w:hint="eastAsia" w:eastAsiaTheme="minorEastAsia"/>
                <w:sz w:val="18"/>
                <w:szCs w:val="18"/>
                <w:shd w:val="clear" w:color="auto" w:fill="FFFFFF"/>
              </w:rPr>
              <w:t>1.国内外对该技术研究情况简要说明：</w:t>
            </w:r>
          </w:p>
          <w:p w14:paraId="3BB22661">
            <w:pPr>
              <w:tabs>
                <w:tab w:val="left" w:pos="315"/>
              </w:tabs>
              <w:spacing w:line="380" w:lineRule="atLeast"/>
              <w:ind w:firstLine="360" w:firstLineChars="200"/>
              <w:rPr>
                <w:rFonts w:hint="default" w:eastAsiaTheme="minorEastAsia"/>
                <w:sz w:val="18"/>
                <w:szCs w:val="18"/>
                <w:shd w:val="clear" w:color="auto" w:fill="FFFFFF"/>
                <w:lang w:val="en-US" w:eastAsia="zh-CN"/>
              </w:rPr>
            </w:pPr>
            <w:r>
              <w:rPr>
                <w:rFonts w:hint="eastAsia" w:eastAsia="宋体" w:cs="宋体"/>
                <w:sz w:val="18"/>
                <w:szCs w:val="18"/>
                <w:lang w:val="en-US" w:eastAsia="zh-CN"/>
              </w:rPr>
              <w:t>水工建筑物水泥基密封与修复技术规范</w:t>
            </w:r>
            <w:r>
              <w:rPr>
                <w:rFonts w:hint="default" w:eastAsiaTheme="minorEastAsia"/>
                <w:sz w:val="18"/>
                <w:szCs w:val="18"/>
                <w:shd w:val="clear" w:color="auto" w:fill="FFFFFF"/>
                <w:lang w:val="en-US" w:eastAsia="zh-CN"/>
              </w:rPr>
              <w:t>是以水泥基材料为基体，通过高抗分散组分与聚合物改性技术复合而成的功能型修复材料。该材料体系的研究旨在解决水工建筑物在动水</w:t>
            </w:r>
            <w:r>
              <w:rPr>
                <w:rFonts w:hint="eastAsia" w:eastAsiaTheme="minorEastAsia"/>
                <w:sz w:val="18"/>
                <w:szCs w:val="18"/>
                <w:shd w:val="clear" w:color="auto" w:fill="FFFFFF"/>
                <w:lang w:val="en-US" w:eastAsia="zh-CN"/>
              </w:rPr>
              <w:t>环境</w:t>
            </w:r>
            <w:r>
              <w:rPr>
                <w:rFonts w:hint="default" w:eastAsiaTheme="minorEastAsia"/>
                <w:sz w:val="18"/>
                <w:szCs w:val="18"/>
                <w:shd w:val="clear" w:color="auto" w:fill="FFFFFF"/>
                <w:lang w:val="en-US" w:eastAsia="zh-CN"/>
              </w:rPr>
              <w:t>、渗漏及复杂应力下的结构损伤修复难</w:t>
            </w:r>
            <w:r>
              <w:rPr>
                <w:rFonts w:hint="default" w:ascii="Times New Roman" w:hAnsi="Times New Roman" w:eastAsia="宋体" w:cs="宋体"/>
                <w:sz w:val="18"/>
                <w:szCs w:val="18"/>
                <w:lang w:val="en-US" w:eastAsia="zh-CN"/>
              </w:rPr>
              <w:t>题。在相关研究领域，国内以水电水利规划设计总院、中国水利水电科学研究院等</w:t>
            </w:r>
            <w:r>
              <w:rPr>
                <w:rFonts w:hint="eastAsia" w:ascii="Times New Roman" w:hAnsi="Times New Roman" w:eastAsia="宋体" w:cs="宋体"/>
                <w:sz w:val="18"/>
                <w:szCs w:val="18"/>
                <w:lang w:val="en-US" w:eastAsia="zh-CN"/>
              </w:rPr>
              <w:t>多家</w:t>
            </w:r>
            <w:r>
              <w:rPr>
                <w:rFonts w:hint="default" w:ascii="Times New Roman" w:hAnsi="Times New Roman" w:eastAsia="宋体" w:cs="宋体"/>
                <w:sz w:val="18"/>
                <w:szCs w:val="18"/>
                <w:lang w:val="en-US" w:eastAsia="zh-CN"/>
              </w:rPr>
              <w:t>核心研究团队为代表，重点</w:t>
            </w:r>
            <w:r>
              <w:rPr>
                <w:rFonts w:hint="eastAsia" w:ascii="Times New Roman" w:hAnsi="Times New Roman" w:eastAsia="宋体" w:cs="宋体"/>
                <w:sz w:val="18"/>
                <w:szCs w:val="18"/>
                <w:lang w:val="en-US" w:eastAsia="zh-CN"/>
              </w:rPr>
              <w:t>围绕水工混凝土材料展开相关研究</w:t>
            </w:r>
            <w:r>
              <w:rPr>
                <w:rFonts w:hint="default" w:ascii="Times New Roman" w:hAnsi="Times New Roman" w:eastAsia="宋体" w:cs="宋体"/>
                <w:sz w:val="18"/>
                <w:szCs w:val="18"/>
                <w:lang w:val="en-US" w:eastAsia="zh-CN"/>
              </w:rPr>
              <w:t>，取得了多项创新性研究成果与工程应用经验。目前，已形成了一套完整</w:t>
            </w:r>
            <w:r>
              <w:rPr>
                <w:rFonts w:hint="eastAsia" w:ascii="Times New Roman" w:hAnsi="Times New Roman" w:eastAsia="宋体" w:cs="宋体"/>
                <w:sz w:val="18"/>
                <w:szCs w:val="18"/>
                <w:lang w:val="en-US" w:eastAsia="zh-CN"/>
              </w:rPr>
              <w:t>应用</w:t>
            </w:r>
            <w:r>
              <w:rPr>
                <w:rFonts w:hint="default" w:ascii="Times New Roman" w:hAnsi="Times New Roman" w:eastAsia="宋体" w:cs="宋体"/>
                <w:sz w:val="18"/>
                <w:szCs w:val="18"/>
                <w:lang w:val="en-US" w:eastAsia="zh-CN"/>
              </w:rPr>
              <w:t>体系，并组织制定了</w:t>
            </w:r>
            <w:r>
              <w:rPr>
                <w:rFonts w:ascii="Times New Roman" w:hAnsi="Times New Roman" w:eastAsia="宋体" w:cs="宋体"/>
                <w:sz w:val="18"/>
                <w:szCs w:val="18"/>
              </w:rPr>
              <w:t>NB/T 11669-2024《水工建筑物水下修复技术规范》、GB/T 50448及SL/T 352等现行规程</w:t>
            </w:r>
            <w:r>
              <w:rPr>
                <w:rFonts w:hint="default" w:ascii="Times New Roman" w:hAnsi="Times New Roman" w:eastAsia="宋体" w:cs="宋体"/>
                <w:sz w:val="18"/>
                <w:szCs w:val="18"/>
                <w:lang w:val="en-US" w:eastAsia="zh-CN"/>
              </w:rPr>
              <w:t>多项国家与行业标准。这些研究成果为水工密封与修复</w:t>
            </w:r>
            <w:r>
              <w:rPr>
                <w:rFonts w:hint="default" w:eastAsiaTheme="minorEastAsia"/>
                <w:sz w:val="18"/>
                <w:szCs w:val="18"/>
                <w:shd w:val="clear" w:color="auto" w:fill="FFFFFF"/>
                <w:lang w:val="en-US" w:eastAsia="zh-CN"/>
              </w:rPr>
              <w:t>材料的力学性能、水下施工性能、试验方法及产品制备积累了大量实验数据，为本标准的制定奠定了坚实基础。</w:t>
            </w:r>
          </w:p>
          <w:p w14:paraId="2D28BABF">
            <w:pPr>
              <w:tabs>
                <w:tab w:val="left" w:pos="315"/>
              </w:tabs>
              <w:spacing w:line="380" w:lineRule="atLeast"/>
              <w:ind w:firstLine="360" w:firstLineChars="200"/>
              <w:rPr>
                <w:rFonts w:hint="eastAsia" w:eastAsiaTheme="minorEastAsia"/>
                <w:sz w:val="18"/>
                <w:szCs w:val="18"/>
                <w:shd w:val="clear" w:color="auto" w:fill="FFFFFF"/>
              </w:rPr>
            </w:pPr>
            <w:r>
              <w:rPr>
                <w:rFonts w:hint="eastAsia" w:eastAsiaTheme="minorEastAsia"/>
                <w:sz w:val="18"/>
                <w:szCs w:val="18"/>
                <w:shd w:val="clear" w:color="auto" w:fill="FFFFFF"/>
              </w:rPr>
              <w:t>2</w:t>
            </w:r>
            <w:r>
              <w:rPr>
                <w:rFonts w:hint="eastAsia" w:eastAsiaTheme="minorEastAsia"/>
                <w:sz w:val="18"/>
                <w:szCs w:val="18"/>
                <w:shd w:val="clear" w:color="auto" w:fill="FFFFFF"/>
                <w:lang w:eastAsia="zh-CN"/>
              </w:rPr>
              <w:t>.</w:t>
            </w:r>
            <w:r>
              <w:rPr>
                <w:rFonts w:hint="eastAsia" w:eastAsiaTheme="minorEastAsia"/>
                <w:sz w:val="18"/>
                <w:szCs w:val="18"/>
                <w:shd w:val="clear" w:color="auto" w:fill="FFFFFF"/>
              </w:rPr>
              <w:t>项目与国际标准或国外先进标准采用程度的考虑：</w:t>
            </w:r>
          </w:p>
          <w:p w14:paraId="6CDA99F5">
            <w:pPr>
              <w:tabs>
                <w:tab w:val="left" w:pos="315"/>
              </w:tabs>
              <w:spacing w:line="380" w:lineRule="atLeast"/>
              <w:ind w:firstLine="360" w:firstLineChars="200"/>
              <w:rPr>
                <w:rFonts w:hint="eastAsia" w:eastAsiaTheme="minorEastAsia"/>
                <w:sz w:val="18"/>
                <w:szCs w:val="18"/>
                <w:shd w:val="clear" w:color="auto" w:fill="FFFFFF"/>
              </w:rPr>
            </w:pPr>
            <w:r>
              <w:rPr>
                <w:rFonts w:hint="eastAsia" w:eastAsiaTheme="minorEastAsia"/>
                <w:sz w:val="18"/>
                <w:szCs w:val="18"/>
                <w:shd w:val="clear" w:color="auto" w:fill="FFFFFF"/>
              </w:rPr>
              <w:t>目前国外针对水工特种修复材料，尤其是兼具水下抗分散性与超高韧性的水泥基复合材料，尚无统一的国际技术标准。相关国际企业多采用企业内部技术规程对产品性能进行界定，且核心技术参数具有封闭性。因此，本标准在制定过程中将广泛参考国际先进的技术文献及水下施工规范内容，但在技术指标设置上将结合我国水利工程的具体服役环境与施工工艺特点进行自主确立，不采取等同采用国外标准的方式。</w:t>
            </w:r>
          </w:p>
          <w:p w14:paraId="70450458">
            <w:pPr>
              <w:tabs>
                <w:tab w:val="left" w:pos="315"/>
              </w:tabs>
              <w:spacing w:line="380" w:lineRule="atLeast"/>
              <w:ind w:firstLine="360" w:firstLineChars="200"/>
              <w:rPr>
                <w:rFonts w:eastAsiaTheme="minorEastAsia"/>
                <w:sz w:val="18"/>
                <w:szCs w:val="18"/>
                <w:shd w:val="clear" w:color="auto" w:fill="FFFFFF"/>
              </w:rPr>
            </w:pPr>
            <w:r>
              <w:rPr>
                <w:rFonts w:hint="eastAsia" w:eastAsiaTheme="minorEastAsia"/>
                <w:sz w:val="18"/>
                <w:szCs w:val="18"/>
                <w:shd w:val="clear" w:color="auto" w:fill="FFFFFF"/>
              </w:rPr>
              <w:t>3.与国内相关标准间的关系：</w:t>
            </w:r>
          </w:p>
          <w:p w14:paraId="18D6AC93">
            <w:pPr>
              <w:numPr>
                <w:ilvl w:val="0"/>
                <w:numId w:val="0"/>
              </w:numPr>
              <w:snapToGrid w:val="0"/>
              <w:spacing w:line="360" w:lineRule="auto"/>
              <w:ind w:firstLine="360" w:firstLineChars="200"/>
              <w:rPr>
                <w:rFonts w:ascii="Times New Roman" w:hAnsi="Times New Roman" w:eastAsia="宋体" w:cs="宋体"/>
                <w:sz w:val="18"/>
                <w:szCs w:val="18"/>
              </w:rPr>
            </w:pPr>
            <w:r>
              <w:rPr>
                <w:rFonts w:hint="eastAsia" w:ascii="Times New Roman" w:hAnsi="Times New Roman" w:eastAsia="宋体" w:cs="宋体"/>
                <w:sz w:val="18"/>
                <w:szCs w:val="18"/>
              </w:rPr>
              <w:t>水工建筑物水泥基密封与修复技术规范</w:t>
            </w:r>
            <w:r>
              <w:rPr>
                <w:rFonts w:ascii="Times New Roman" w:hAnsi="Times New Roman" w:eastAsia="宋体" w:cs="宋体"/>
                <w:sz w:val="18"/>
                <w:szCs w:val="18"/>
              </w:rPr>
              <w:t>目前在国内尚无直接对应的产品标准。在基础力学性能与水工适应性测试方面，本标准将尽可能与现行行业标准《水工混凝土试验规程》SL/T 352以及《水利水电工程加固材料应用技术规范》相协调，同时在韧性评价与大变形测量方面参考相关建筑防水材料的先进试验方法，确保标准体系的科学性与延续性。</w:t>
            </w:r>
          </w:p>
          <w:p w14:paraId="5D2A4DFB">
            <w:pPr>
              <w:tabs>
                <w:tab w:val="left" w:pos="315"/>
              </w:tabs>
              <w:spacing w:line="380" w:lineRule="atLeast"/>
              <w:ind w:firstLine="360" w:firstLineChars="200"/>
              <w:rPr>
                <w:rFonts w:eastAsiaTheme="minorEastAsia"/>
                <w:sz w:val="18"/>
                <w:szCs w:val="18"/>
                <w:shd w:val="clear" w:color="auto" w:fill="FFFFFF"/>
              </w:rPr>
            </w:pPr>
            <w:r>
              <w:rPr>
                <w:rFonts w:hint="eastAsia" w:eastAsiaTheme="minorEastAsia"/>
                <w:sz w:val="18"/>
                <w:szCs w:val="18"/>
                <w:shd w:val="clear" w:color="auto" w:fill="FFFFFF"/>
              </w:rPr>
              <w:t>4.指出是否发现有知识产权的问题：</w:t>
            </w:r>
          </w:p>
          <w:p w14:paraId="110CB00A">
            <w:pPr>
              <w:numPr>
                <w:ilvl w:val="0"/>
                <w:numId w:val="0"/>
              </w:numPr>
              <w:snapToGrid w:val="0"/>
              <w:spacing w:line="360" w:lineRule="auto"/>
              <w:ind w:firstLine="360" w:firstLineChars="200"/>
              <w:rPr>
                <w:rFonts w:hint="default" w:ascii="宋体" w:hAnsi="宋体" w:eastAsia="宋体" w:cs="宋体"/>
                <w:sz w:val="18"/>
                <w:szCs w:val="18"/>
                <w:lang w:val="en-US" w:eastAsia="zh-CN"/>
              </w:rPr>
            </w:pPr>
            <w:r>
              <w:rPr>
                <w:rFonts w:hint="eastAsia" w:eastAsiaTheme="minorEastAsia"/>
                <w:sz w:val="18"/>
                <w:szCs w:val="18"/>
                <w:shd w:val="clear" w:color="auto" w:fill="FFFFFF"/>
              </w:rPr>
              <w:t>该标准的制定目前没有发现有知识产权的问题。</w:t>
            </w:r>
          </w:p>
        </w:tc>
      </w:tr>
      <w:tr w14:paraId="35B11EEB">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1162" w:hRule="atLeast"/>
          <w:jc w:val="center"/>
        </w:trPr>
        <w:tc>
          <w:tcPr>
            <w:tcW w:w="2167" w:type="dxa"/>
            <w:tcBorders>
              <w:top w:val="single" w:color="auto" w:sz="2" w:space="0"/>
              <w:left w:val="single" w:color="auto" w:sz="2" w:space="0"/>
              <w:bottom w:val="single" w:color="auto" w:sz="2" w:space="0"/>
            </w:tcBorders>
            <w:vAlign w:val="center"/>
          </w:tcPr>
          <w:p w14:paraId="056A1743">
            <w:pPr>
              <w:pStyle w:val="3"/>
              <w:tabs>
                <w:tab w:val="clear" w:pos="4153"/>
                <w:tab w:val="clear" w:pos="8306"/>
              </w:tabs>
              <w:spacing w:line="360" w:lineRule="auto"/>
              <w:rPr>
                <w:rFonts w:ascii="宋体" w:hAnsi="宋体" w:eastAsia="宋体"/>
              </w:rPr>
            </w:pPr>
            <w:r>
              <w:rPr>
                <w:rFonts w:hint="eastAsia" w:ascii="宋体" w:hAnsi="宋体" w:eastAsia="宋体"/>
              </w:rPr>
              <w:t>牵头单位</w:t>
            </w:r>
          </w:p>
        </w:tc>
        <w:tc>
          <w:tcPr>
            <w:tcW w:w="3972" w:type="dxa"/>
            <w:gridSpan w:val="5"/>
            <w:tcBorders>
              <w:top w:val="single" w:color="auto" w:sz="2" w:space="0"/>
              <w:bottom w:val="single" w:color="auto" w:sz="2" w:space="0"/>
            </w:tcBorders>
            <w:vAlign w:val="center"/>
          </w:tcPr>
          <w:p w14:paraId="325B4941">
            <w:pPr>
              <w:snapToGrid w:val="0"/>
              <w:spacing w:line="360" w:lineRule="auto"/>
              <w:jc w:val="center"/>
              <w:rPr>
                <w:rFonts w:ascii="宋体" w:hAnsi="宋体" w:eastAsia="宋体"/>
                <w:sz w:val="18"/>
                <w:szCs w:val="18"/>
              </w:rPr>
            </w:pPr>
          </w:p>
          <w:p w14:paraId="67495D3E">
            <w:pPr>
              <w:snapToGrid w:val="0"/>
              <w:spacing w:line="360" w:lineRule="auto"/>
              <w:jc w:val="center"/>
              <w:rPr>
                <w:rFonts w:ascii="宋体" w:hAnsi="宋体" w:eastAsia="宋体"/>
                <w:sz w:val="18"/>
                <w:szCs w:val="18"/>
              </w:rPr>
            </w:pPr>
            <w:r>
              <w:rPr>
                <w:rFonts w:hint="eastAsia" w:ascii="宋体" w:hAnsi="宋体" w:eastAsia="宋体"/>
                <w:sz w:val="18"/>
                <w:szCs w:val="18"/>
              </w:rPr>
              <w:t>（签字、盖公章）月     日</w:t>
            </w:r>
          </w:p>
        </w:tc>
        <w:tc>
          <w:tcPr>
            <w:tcW w:w="1701" w:type="dxa"/>
            <w:gridSpan w:val="2"/>
            <w:tcBorders>
              <w:top w:val="single" w:color="auto" w:sz="2" w:space="0"/>
              <w:bottom w:val="single" w:color="auto" w:sz="2" w:space="0"/>
            </w:tcBorders>
            <w:vAlign w:val="center"/>
          </w:tcPr>
          <w:p w14:paraId="0CB5B5AA">
            <w:pPr>
              <w:snapToGrid w:val="0"/>
              <w:spacing w:line="360" w:lineRule="auto"/>
              <w:jc w:val="center"/>
              <w:rPr>
                <w:rFonts w:ascii="宋体" w:hAnsi="宋体" w:eastAsia="宋体"/>
                <w:sz w:val="18"/>
                <w:szCs w:val="18"/>
              </w:rPr>
            </w:pPr>
            <w:r>
              <w:rPr>
                <w:rFonts w:hint="eastAsia" w:ascii="宋体" w:hAnsi="宋体" w:eastAsia="宋体"/>
                <w:sz w:val="18"/>
                <w:szCs w:val="18"/>
              </w:rPr>
              <w:t>归口管理部门</w:t>
            </w:r>
          </w:p>
        </w:tc>
        <w:tc>
          <w:tcPr>
            <w:tcW w:w="1900" w:type="dxa"/>
            <w:tcBorders>
              <w:top w:val="single" w:color="auto" w:sz="2" w:space="0"/>
              <w:bottom w:val="single" w:color="auto" w:sz="2" w:space="0"/>
              <w:right w:val="single" w:color="auto" w:sz="2" w:space="0"/>
            </w:tcBorders>
            <w:vAlign w:val="center"/>
          </w:tcPr>
          <w:p w14:paraId="4780D96A">
            <w:pPr>
              <w:snapToGrid w:val="0"/>
              <w:spacing w:line="360" w:lineRule="auto"/>
              <w:rPr>
                <w:rFonts w:ascii="宋体" w:hAnsi="宋体" w:eastAsia="宋体"/>
                <w:sz w:val="18"/>
                <w:szCs w:val="18"/>
              </w:rPr>
            </w:pPr>
          </w:p>
          <w:p w14:paraId="42145058">
            <w:pPr>
              <w:snapToGrid w:val="0"/>
              <w:rPr>
                <w:rFonts w:ascii="宋体" w:hAnsi="宋体" w:eastAsia="宋体"/>
                <w:sz w:val="18"/>
                <w:szCs w:val="18"/>
              </w:rPr>
            </w:pPr>
            <w:r>
              <w:rPr>
                <w:rFonts w:hint="eastAsia" w:ascii="宋体" w:hAnsi="宋体" w:eastAsia="宋体"/>
                <w:sz w:val="18"/>
                <w:szCs w:val="18"/>
              </w:rPr>
              <w:t>（签字、盖公章）</w:t>
            </w:r>
          </w:p>
          <w:p w14:paraId="22264D80">
            <w:pPr>
              <w:snapToGrid w:val="0"/>
              <w:rPr>
                <w:rFonts w:ascii="宋体" w:hAnsi="宋体" w:eastAsia="宋体"/>
                <w:sz w:val="18"/>
                <w:szCs w:val="18"/>
              </w:rPr>
            </w:pPr>
            <w:r>
              <w:rPr>
                <w:rFonts w:hint="eastAsia" w:ascii="宋体" w:hAnsi="宋体" w:eastAsia="宋体"/>
                <w:sz w:val="18"/>
                <w:szCs w:val="18"/>
              </w:rPr>
              <w:t xml:space="preserve">    月     日</w:t>
            </w:r>
          </w:p>
        </w:tc>
      </w:tr>
    </w:tbl>
    <w:p w14:paraId="1B37CBBB">
      <w:pPr>
        <w:snapToGrid w:val="0"/>
        <w:spacing w:beforeLines="50"/>
        <w:ind w:firstLine="503" w:firstLineChars="280"/>
        <w:rPr>
          <w:rFonts w:ascii="宋体" w:hAnsi="宋体" w:eastAsia="宋体"/>
          <w:sz w:val="18"/>
          <w:szCs w:val="18"/>
        </w:rPr>
      </w:pPr>
      <w:r>
        <w:rPr>
          <w:rFonts w:ascii="宋体" w:hAnsi="宋体" w:eastAsia="宋体"/>
          <w:sz w:val="18"/>
          <w:szCs w:val="18"/>
        </w:rPr>
        <w:t>[</w:t>
      </w:r>
      <w:r>
        <w:rPr>
          <w:rFonts w:hint="eastAsia" w:ascii="宋体" w:hAnsi="宋体" w:eastAsia="宋体"/>
          <w:sz w:val="18"/>
          <w:szCs w:val="18"/>
        </w:rPr>
        <w:t>注1</w:t>
      </w:r>
      <w:r>
        <w:rPr>
          <w:rFonts w:ascii="宋体" w:hAnsi="宋体" w:eastAsia="宋体"/>
          <w:sz w:val="18"/>
          <w:szCs w:val="18"/>
        </w:rPr>
        <w:t xml:space="preserve">] </w:t>
      </w:r>
      <w:r>
        <w:rPr>
          <w:rFonts w:hint="eastAsia" w:ascii="宋体" w:hAnsi="宋体" w:eastAsia="宋体"/>
          <w:sz w:val="18"/>
          <w:szCs w:val="18"/>
        </w:rPr>
        <w:t xml:space="preserve"> 填写制定或修订项目中，若选择修订必须填写被修订标准号；</w:t>
      </w:r>
    </w:p>
    <w:p w14:paraId="098B87D2">
      <w:pPr>
        <w:snapToGrid w:val="0"/>
        <w:ind w:firstLine="503" w:firstLineChars="280"/>
        <w:rPr>
          <w:rFonts w:ascii="宋体" w:hAnsi="宋体" w:eastAsia="宋体"/>
          <w:sz w:val="18"/>
          <w:szCs w:val="18"/>
        </w:rPr>
      </w:pPr>
      <w:r>
        <w:rPr>
          <w:rFonts w:ascii="宋体" w:hAnsi="宋体" w:eastAsia="宋体"/>
          <w:sz w:val="18"/>
          <w:szCs w:val="18"/>
        </w:rPr>
        <w:t>[</w:t>
      </w:r>
      <w:r>
        <w:rPr>
          <w:rFonts w:hint="eastAsia" w:ascii="宋体" w:hAnsi="宋体" w:eastAsia="宋体"/>
          <w:sz w:val="18"/>
          <w:szCs w:val="18"/>
        </w:rPr>
        <w:t>注2</w:t>
      </w:r>
      <w:r>
        <w:rPr>
          <w:rFonts w:ascii="宋体" w:hAnsi="宋体" w:eastAsia="宋体"/>
          <w:sz w:val="18"/>
          <w:szCs w:val="18"/>
        </w:rPr>
        <w:t>]</w:t>
      </w:r>
      <w:r>
        <w:rPr>
          <w:rFonts w:hint="eastAsia" w:ascii="宋体" w:hAnsi="宋体" w:eastAsia="宋体"/>
          <w:sz w:val="18"/>
          <w:szCs w:val="18"/>
        </w:rPr>
        <w:t xml:space="preserve">  选择采用国际标准，必须填写采标号及采用程度；</w:t>
      </w:r>
    </w:p>
    <w:p w14:paraId="04EE5216">
      <w:pPr>
        <w:snapToGrid w:val="0"/>
        <w:ind w:left="448" w:leftChars="160" w:firstLine="54" w:firstLineChars="30"/>
        <w:rPr>
          <w:sz w:val="18"/>
          <w:szCs w:val="18"/>
        </w:rPr>
      </w:pPr>
      <w:r>
        <w:rPr>
          <w:rFonts w:ascii="宋体" w:hAnsi="宋体" w:eastAsia="宋体"/>
          <w:sz w:val="18"/>
          <w:szCs w:val="18"/>
        </w:rPr>
        <w:t>[</w:t>
      </w:r>
      <w:r>
        <w:rPr>
          <w:rFonts w:hint="eastAsia" w:ascii="宋体" w:hAnsi="宋体" w:eastAsia="宋体"/>
          <w:sz w:val="18"/>
          <w:szCs w:val="18"/>
        </w:rPr>
        <w:t>注3</w:t>
      </w:r>
      <w:r>
        <w:rPr>
          <w:rFonts w:ascii="宋体" w:hAnsi="宋体" w:eastAsia="宋体"/>
          <w:sz w:val="18"/>
          <w:szCs w:val="18"/>
        </w:rPr>
        <w:t>]</w:t>
      </w:r>
      <w:r>
        <w:rPr>
          <w:rFonts w:hint="eastAsia" w:ascii="宋体" w:hAnsi="宋体" w:eastAsia="宋体"/>
          <w:sz w:val="18"/>
          <w:szCs w:val="18"/>
        </w:rPr>
        <w:t xml:space="preserve">  选择采用快速程序，必须填写快速程序代码。</w:t>
      </w:r>
    </w:p>
    <w:p w14:paraId="2D814208">
      <w:pPr>
        <w:snapToGrid w:val="0"/>
        <w:rPr>
          <w:sz w:val="18"/>
          <w:szCs w:val="18"/>
        </w:rPr>
      </w:pPr>
    </w:p>
    <w:p w14:paraId="72733580"/>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2"/>
  </w:compat>
  <w:rsids>
    <w:rsidRoot w:val="00747499"/>
    <w:rsid w:val="00314295"/>
    <w:rsid w:val="00631028"/>
    <w:rsid w:val="00747499"/>
    <w:rsid w:val="00A618D0"/>
    <w:rsid w:val="00E03E1D"/>
    <w:rsid w:val="00F7264B"/>
    <w:rsid w:val="0EBF0057"/>
    <w:rsid w:val="12922940"/>
    <w:rsid w:val="195D67D0"/>
    <w:rsid w:val="1FAD38CA"/>
    <w:rsid w:val="26DC5715"/>
    <w:rsid w:val="2900094D"/>
    <w:rsid w:val="38492F84"/>
    <w:rsid w:val="4E3C60E4"/>
    <w:rsid w:val="554A6079"/>
    <w:rsid w:val="72005F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0" w:semiHidden="0"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仿宋_GB2312" w:cs="Times New Roman"/>
      <w:kern w:val="2"/>
      <w:sz w:val="28"/>
      <w:szCs w:val="20"/>
      <w:lang w:val="en-US" w:eastAsia="zh-CN" w:bidi="ar-SA"/>
    </w:rPr>
  </w:style>
  <w:style w:type="character" w:default="1" w:styleId="6">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8"/>
    <w:semiHidden/>
    <w:unhideWhenUsed/>
    <w:qFormat/>
    <w:uiPriority w:val="99"/>
    <w:pPr>
      <w:tabs>
        <w:tab w:val="center" w:pos="4153"/>
        <w:tab w:val="right" w:pos="8306"/>
      </w:tabs>
      <w:snapToGrid w:val="0"/>
      <w:jc w:val="left"/>
    </w:pPr>
    <w:rPr>
      <w:rFonts w:asciiTheme="minorHAnsi" w:hAnsiTheme="minorHAnsi" w:eastAsiaTheme="minorEastAsia" w:cstheme="minorBidi"/>
      <w:sz w:val="18"/>
      <w:szCs w:val="18"/>
    </w:rPr>
  </w:style>
  <w:style w:type="paragraph" w:styleId="3">
    <w:name w:val="header"/>
    <w:basedOn w:val="1"/>
    <w:link w:val="7"/>
    <w:unhideWhenUsed/>
    <w:qFormat/>
    <w:uiPriority w:val="0"/>
    <w:pPr>
      <w:pBdr>
        <w:bottom w:val="single" w:color="auto" w:sz="6" w:space="1"/>
      </w:pBdr>
      <w:tabs>
        <w:tab w:val="center" w:pos="4153"/>
        <w:tab w:val="right" w:pos="8306"/>
      </w:tabs>
      <w:snapToGrid w:val="0"/>
      <w:jc w:val="center"/>
    </w:pPr>
    <w:rPr>
      <w:rFonts w:asciiTheme="minorHAnsi" w:hAnsiTheme="minorHAnsi" w:eastAsiaTheme="minorEastAsia" w:cstheme="minorBidi"/>
      <w:sz w:val="18"/>
      <w:szCs w:val="18"/>
    </w:rPr>
  </w:style>
  <w:style w:type="paragraph" w:styleId="4">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character" w:customStyle="1" w:styleId="7">
    <w:name w:val="页眉 Char"/>
    <w:basedOn w:val="6"/>
    <w:link w:val="3"/>
    <w:qFormat/>
    <w:uiPriority w:val="0"/>
    <w:rPr>
      <w:sz w:val="18"/>
      <w:szCs w:val="18"/>
    </w:rPr>
  </w:style>
  <w:style w:type="character" w:customStyle="1" w:styleId="8">
    <w:name w:val="页脚 Char"/>
    <w:basedOn w:val="6"/>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4</Pages>
  <Words>2752</Words>
  <Characters>2882</Characters>
  <Lines>4</Lines>
  <Paragraphs>1</Paragraphs>
  <TotalTime>38</TotalTime>
  <ScaleCrop>false</ScaleCrop>
  <LinksUpToDate>false</LinksUpToDate>
  <CharactersWithSpaces>2924</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2018-05-31T09:17:00Z</dcterms:created>
  <dc:creator>bz</dc:creator>
  <cp:lastModifiedBy>毛毛雨</cp:lastModifiedBy>
  <dcterms:modified xsi:type="dcterms:W3CDTF">2026-03-29T10:53:41Z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eyJoZGlkIjoiZTE1NTU3Y2EwZmU0OTAzNGMzZjI2ZWE5NmE3ZTkzMTEiLCJ1c2VySWQiOiI0NTA5NzM2NTMifQ==</vt:lpwstr>
  </property>
  <property fmtid="{D5CDD505-2E9C-101B-9397-08002B2CF9AE}" pid="3" name="KSOProductBuildVer">
    <vt:lpwstr>2052-12.1.0.25225</vt:lpwstr>
  </property>
  <property fmtid="{D5CDD505-2E9C-101B-9397-08002B2CF9AE}" pid="4" name="ICV">
    <vt:lpwstr>06CE2A9249B14B5E9910D06C26CEE1A7_12</vt:lpwstr>
  </property>
</Properties>
</file>