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ABD4C">
      <w:pPr>
        <w:snapToGrid w:val="0"/>
        <w:spacing w:line="360" w:lineRule="auto"/>
        <w:ind w:firstLine="630" w:firstLineChars="196"/>
        <w:rPr>
          <w:rFonts w:hint="eastAsia" w:ascii="宋体" w:hAnsi="宋体" w:eastAsia="宋体"/>
          <w:b/>
          <w:sz w:val="32"/>
          <w:szCs w:val="32"/>
        </w:rPr>
      </w:pPr>
      <w:bookmarkStart w:id="2" w:name="_GoBack"/>
      <w:bookmarkEnd w:id="2"/>
    </w:p>
    <w:p w14:paraId="2B4CCFA2">
      <w:pPr>
        <w:snapToGrid w:val="0"/>
        <w:spacing w:line="360" w:lineRule="auto"/>
        <w:rPr>
          <w:rFonts w:hint="eastAsia" w:ascii="仿宋" w:hAnsi="仿宋" w:eastAsia="仿宋"/>
          <w:b/>
          <w:szCs w:val="28"/>
        </w:rPr>
      </w:pPr>
      <w:r>
        <w:rPr>
          <w:rFonts w:hint="eastAsia" w:ascii="仿宋" w:hAnsi="仿宋" w:eastAsia="仿宋"/>
          <w:b/>
          <w:szCs w:val="28"/>
        </w:rPr>
        <w:t>附表1</w:t>
      </w:r>
    </w:p>
    <w:p w14:paraId="3CC652D5">
      <w:pPr>
        <w:snapToGrid w:val="0"/>
        <w:spacing w:line="360" w:lineRule="auto"/>
        <w:jc w:val="center"/>
        <w:rPr>
          <w:rFonts w:hint="eastAsia" w:ascii="宋体" w:hAnsi="宋体" w:eastAsia="宋体"/>
          <w:b/>
          <w:sz w:val="32"/>
          <w:szCs w:val="32"/>
        </w:rPr>
      </w:pPr>
      <w:r>
        <w:rPr>
          <w:rFonts w:hint="eastAsia" w:ascii="宋体" w:hAnsi="宋体" w:eastAsia="宋体"/>
          <w:b/>
          <w:color w:val="000000" w:themeColor="text1"/>
          <w:sz w:val="32"/>
          <w:szCs w:val="32"/>
          <w14:textFill>
            <w14:solidFill>
              <w14:schemeClr w14:val="tx1"/>
            </w14:solidFill>
          </w14:textFill>
        </w:rPr>
        <w:t>协会</w:t>
      </w:r>
      <w:r>
        <w:rPr>
          <w:rFonts w:hint="eastAsia" w:ascii="宋体" w:hAnsi="宋体" w:eastAsia="宋体"/>
          <w:b/>
          <w:sz w:val="32"/>
          <w:szCs w:val="32"/>
        </w:rPr>
        <w:t>标准项目建议书</w:t>
      </w:r>
    </w:p>
    <w:tbl>
      <w:tblPr>
        <w:tblStyle w:val="5"/>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14:paraId="578C0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14:paraId="1F647BF7">
            <w:pPr>
              <w:snapToGrid w:val="0"/>
              <w:spacing w:line="360" w:lineRule="auto"/>
              <w:jc w:val="center"/>
              <w:rPr>
                <w:rFonts w:hint="eastAsia" w:ascii="宋体" w:hAnsi="宋体" w:eastAsia="宋体"/>
                <w:sz w:val="18"/>
                <w:szCs w:val="18"/>
              </w:rPr>
            </w:pPr>
            <w:r>
              <w:rPr>
                <w:rFonts w:hint="eastAsia" w:ascii="宋体" w:hAnsi="宋体" w:eastAsia="宋体"/>
                <w:sz w:val="18"/>
                <w:szCs w:val="18"/>
              </w:rPr>
              <w:t>建议项目名称</w:t>
            </w:r>
          </w:p>
          <w:p w14:paraId="6CF46A40">
            <w:pPr>
              <w:snapToGrid w:val="0"/>
              <w:spacing w:line="360" w:lineRule="auto"/>
              <w:ind w:left="-5" w:leftChars="-6" w:hanging="12" w:hangingChars="7"/>
              <w:jc w:val="center"/>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14:paraId="779D09F0">
            <w:pPr>
              <w:snapToGrid w:val="0"/>
              <w:spacing w:line="360" w:lineRule="auto"/>
              <w:rPr>
                <w:rFonts w:hint="eastAsia" w:ascii="宋体" w:hAnsi="宋体" w:eastAsia="宋体"/>
                <w:sz w:val="18"/>
                <w:szCs w:val="18"/>
              </w:rPr>
            </w:pPr>
            <w:bookmarkStart w:id="0" w:name="OLE_LINK12"/>
            <w:r>
              <w:rPr>
                <w:rFonts w:hint="eastAsia" w:ascii="宋体" w:hAnsi="宋体" w:eastAsia="宋体"/>
                <w:sz w:val="18"/>
                <w:szCs w:val="18"/>
              </w:rPr>
              <w:t>建筑用防污自洁装饰板</w:t>
            </w:r>
            <w:bookmarkEnd w:id="0"/>
          </w:p>
        </w:tc>
        <w:tc>
          <w:tcPr>
            <w:tcW w:w="1843" w:type="dxa"/>
            <w:gridSpan w:val="2"/>
            <w:vAlign w:val="center"/>
          </w:tcPr>
          <w:p w14:paraId="5E934395">
            <w:pPr>
              <w:snapToGrid w:val="0"/>
              <w:spacing w:line="360" w:lineRule="auto"/>
              <w:jc w:val="center"/>
              <w:rPr>
                <w:rFonts w:hint="eastAsia" w:ascii="宋体" w:hAnsi="宋体" w:eastAsia="宋体"/>
                <w:sz w:val="18"/>
                <w:szCs w:val="18"/>
              </w:rPr>
            </w:pPr>
            <w:r>
              <w:rPr>
                <w:rFonts w:hint="eastAsia" w:ascii="宋体" w:hAnsi="宋体" w:eastAsia="宋体"/>
                <w:sz w:val="18"/>
                <w:szCs w:val="18"/>
              </w:rPr>
              <w:t>建议项目名称</w:t>
            </w:r>
          </w:p>
          <w:p w14:paraId="52948DA9">
            <w:pPr>
              <w:snapToGrid w:val="0"/>
              <w:spacing w:line="360" w:lineRule="auto"/>
              <w:jc w:val="center"/>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14:paraId="280B60C4">
            <w:pPr>
              <w:snapToGrid w:val="0"/>
              <w:spacing w:line="360" w:lineRule="auto"/>
              <w:rPr>
                <w:rFonts w:hint="eastAsia" w:ascii="宋体" w:hAnsi="宋体" w:eastAsia="宋体"/>
                <w:sz w:val="18"/>
                <w:szCs w:val="18"/>
              </w:rPr>
            </w:pPr>
            <w:r>
              <w:rPr>
                <w:rFonts w:ascii="宋体" w:hAnsi="宋体" w:eastAsia="宋体"/>
                <w:sz w:val="18"/>
                <w:szCs w:val="18"/>
              </w:rPr>
              <w:t>Antifouling and Self-cleaning Decorative Panels for Construction</w:t>
            </w:r>
          </w:p>
        </w:tc>
      </w:tr>
      <w:tr w14:paraId="79F3C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14:paraId="31F1EBF7">
            <w:pPr>
              <w:snapToGrid w:val="0"/>
              <w:spacing w:line="360" w:lineRule="auto"/>
              <w:jc w:val="center"/>
              <w:rPr>
                <w:rFonts w:hint="eastAsia"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14:paraId="28F63BF9">
            <w:pPr>
              <w:snapToGrid w:val="0"/>
              <w:spacing w:line="360" w:lineRule="auto"/>
              <w:rPr>
                <w:rFonts w:hint="eastAsia" w:ascii="宋体" w:hAnsi="宋体" w:eastAsia="宋体"/>
                <w:sz w:val="18"/>
                <w:szCs w:val="18"/>
              </w:rPr>
            </w:pPr>
            <w:r>
              <w:rPr>
                <w:rFonts w:ascii="Segoe UI Symbol" w:hAnsi="Segoe UI Symbol" w:eastAsia="宋体" w:cs="Segoe UI Symbol"/>
                <w:sz w:val="18"/>
                <w:szCs w:val="18"/>
              </w:rPr>
              <w:t>☑</w:t>
            </w:r>
            <w:r>
              <w:rPr>
                <w:rFonts w:hint="eastAsia" w:ascii="宋体" w:hAnsi="宋体" w:eastAsia="宋体"/>
                <w:sz w:val="18"/>
                <w:szCs w:val="18"/>
              </w:rPr>
              <w:t xml:space="preserve"> 制定</w:t>
            </w:r>
          </w:p>
        </w:tc>
        <w:tc>
          <w:tcPr>
            <w:tcW w:w="1468" w:type="dxa"/>
            <w:gridSpan w:val="2"/>
            <w:vAlign w:val="center"/>
          </w:tcPr>
          <w:p w14:paraId="09677FC0">
            <w:pPr>
              <w:snapToGrid w:val="0"/>
              <w:spacing w:line="360" w:lineRule="auto"/>
              <w:rPr>
                <w:rFonts w:hint="eastAsia" w:ascii="宋体" w:hAnsi="宋体" w:eastAsia="宋体"/>
                <w:sz w:val="18"/>
                <w:szCs w:val="18"/>
              </w:rPr>
            </w:pPr>
            <w:r>
              <w:rPr>
                <w:rFonts w:hint="eastAsia" w:ascii="宋体" w:hAnsi="宋体" w:eastAsia="宋体"/>
                <w:sz w:val="18"/>
                <w:szCs w:val="18"/>
              </w:rPr>
              <w:t>□ 修订</w:t>
            </w:r>
          </w:p>
        </w:tc>
        <w:tc>
          <w:tcPr>
            <w:tcW w:w="1843" w:type="dxa"/>
            <w:gridSpan w:val="2"/>
            <w:vAlign w:val="center"/>
          </w:tcPr>
          <w:p w14:paraId="629C9661">
            <w:pPr>
              <w:snapToGrid w:val="0"/>
              <w:spacing w:line="360" w:lineRule="auto"/>
              <w:jc w:val="center"/>
              <w:rPr>
                <w:rFonts w:hint="eastAsia"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14:paraId="2C41F8D5">
            <w:pPr>
              <w:snapToGrid w:val="0"/>
              <w:spacing w:line="360" w:lineRule="auto"/>
              <w:rPr>
                <w:rFonts w:hint="eastAsia" w:ascii="宋体" w:hAnsi="宋体" w:eastAsia="宋体"/>
                <w:sz w:val="18"/>
                <w:szCs w:val="18"/>
              </w:rPr>
            </w:pPr>
          </w:p>
        </w:tc>
      </w:tr>
      <w:tr w14:paraId="412B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17D728EC">
            <w:pPr>
              <w:snapToGrid w:val="0"/>
              <w:spacing w:line="360" w:lineRule="auto"/>
              <w:jc w:val="center"/>
              <w:rPr>
                <w:rFonts w:hint="eastAsia" w:ascii="宋体" w:hAnsi="宋体" w:eastAsia="宋体"/>
                <w:sz w:val="18"/>
                <w:szCs w:val="18"/>
              </w:rPr>
            </w:pPr>
            <w:r>
              <w:rPr>
                <w:rFonts w:hint="eastAsia" w:ascii="宋体" w:hAnsi="宋体" w:eastAsia="宋体"/>
                <w:sz w:val="18"/>
                <w:szCs w:val="18"/>
              </w:rPr>
              <w:t>采用程度</w:t>
            </w:r>
          </w:p>
        </w:tc>
        <w:tc>
          <w:tcPr>
            <w:tcW w:w="1078" w:type="dxa"/>
            <w:vAlign w:val="center"/>
          </w:tcPr>
          <w:p w14:paraId="3449916B">
            <w:pPr>
              <w:snapToGrid w:val="0"/>
              <w:spacing w:line="360" w:lineRule="auto"/>
              <w:rPr>
                <w:rFonts w:hint="eastAsia" w:ascii="宋体" w:hAnsi="宋体" w:eastAsia="宋体"/>
                <w:sz w:val="18"/>
                <w:szCs w:val="18"/>
              </w:rPr>
            </w:pPr>
            <w:r>
              <w:rPr>
                <w:rFonts w:hint="eastAsia" w:ascii="宋体" w:hAnsi="宋体" w:eastAsia="宋体"/>
                <w:sz w:val="18"/>
                <w:szCs w:val="18"/>
              </w:rPr>
              <w:t>□ IDT</w:t>
            </w:r>
          </w:p>
        </w:tc>
        <w:tc>
          <w:tcPr>
            <w:tcW w:w="1080" w:type="dxa"/>
            <w:gridSpan w:val="2"/>
            <w:vAlign w:val="center"/>
          </w:tcPr>
          <w:p w14:paraId="055C8BBE">
            <w:pPr>
              <w:snapToGrid w:val="0"/>
              <w:spacing w:line="360" w:lineRule="auto"/>
              <w:rPr>
                <w:rFonts w:hint="eastAsia" w:ascii="宋体" w:hAnsi="宋体" w:eastAsia="宋体"/>
                <w:sz w:val="18"/>
                <w:szCs w:val="18"/>
              </w:rPr>
            </w:pPr>
            <w:r>
              <w:rPr>
                <w:rFonts w:hint="eastAsia" w:ascii="宋体" w:hAnsi="宋体" w:eastAsia="宋体"/>
                <w:sz w:val="18"/>
                <w:szCs w:val="18"/>
              </w:rPr>
              <w:t>□ MOD</w:t>
            </w:r>
          </w:p>
        </w:tc>
        <w:tc>
          <w:tcPr>
            <w:tcW w:w="928" w:type="dxa"/>
            <w:vAlign w:val="center"/>
          </w:tcPr>
          <w:p w14:paraId="4A69B1A5">
            <w:pPr>
              <w:snapToGrid w:val="0"/>
              <w:spacing w:line="360" w:lineRule="auto"/>
              <w:rPr>
                <w:rFonts w:hint="eastAsia" w:ascii="宋体" w:hAnsi="宋体" w:eastAsia="宋体"/>
                <w:sz w:val="18"/>
                <w:szCs w:val="18"/>
              </w:rPr>
            </w:pPr>
            <w:r>
              <w:rPr>
                <w:rFonts w:hint="eastAsia" w:ascii="宋体" w:hAnsi="宋体" w:eastAsia="宋体"/>
                <w:sz w:val="18"/>
                <w:szCs w:val="18"/>
              </w:rPr>
              <w:t>□ NEQ</w:t>
            </w:r>
          </w:p>
        </w:tc>
        <w:tc>
          <w:tcPr>
            <w:tcW w:w="1843" w:type="dxa"/>
            <w:gridSpan w:val="2"/>
            <w:vAlign w:val="center"/>
          </w:tcPr>
          <w:p w14:paraId="53D0D491">
            <w:pPr>
              <w:snapToGrid w:val="0"/>
              <w:spacing w:line="360" w:lineRule="auto"/>
              <w:jc w:val="center"/>
              <w:rPr>
                <w:rFonts w:hint="eastAsia" w:ascii="宋体" w:hAnsi="宋体" w:eastAsia="宋体"/>
                <w:sz w:val="18"/>
                <w:szCs w:val="18"/>
              </w:rPr>
            </w:pPr>
            <w:r>
              <w:rPr>
                <w:rFonts w:hint="eastAsia" w:ascii="宋体" w:hAnsi="宋体" w:eastAsia="宋体"/>
                <w:sz w:val="18"/>
                <w:szCs w:val="18"/>
              </w:rPr>
              <w:t>采标号</w:t>
            </w:r>
          </w:p>
        </w:tc>
        <w:tc>
          <w:tcPr>
            <w:tcW w:w="2644" w:type="dxa"/>
            <w:gridSpan w:val="2"/>
            <w:vAlign w:val="center"/>
          </w:tcPr>
          <w:p w14:paraId="0D779F69">
            <w:pPr>
              <w:snapToGrid w:val="0"/>
              <w:spacing w:line="360" w:lineRule="auto"/>
              <w:rPr>
                <w:rFonts w:hint="eastAsia" w:ascii="宋体" w:hAnsi="宋体" w:eastAsia="宋体"/>
                <w:sz w:val="18"/>
                <w:szCs w:val="18"/>
              </w:rPr>
            </w:pPr>
          </w:p>
        </w:tc>
      </w:tr>
      <w:tr w14:paraId="5075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341ECE75">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国际标准名称（中文）</w:t>
            </w:r>
          </w:p>
        </w:tc>
        <w:tc>
          <w:tcPr>
            <w:tcW w:w="3086" w:type="dxa"/>
            <w:gridSpan w:val="4"/>
            <w:vAlign w:val="center"/>
          </w:tcPr>
          <w:p w14:paraId="1CE328D6">
            <w:pPr>
              <w:snapToGrid w:val="0"/>
              <w:spacing w:line="360" w:lineRule="auto"/>
              <w:rPr>
                <w:rFonts w:hint="eastAsia" w:ascii="宋体" w:hAnsi="宋体" w:eastAsia="宋体"/>
                <w:sz w:val="18"/>
                <w:szCs w:val="18"/>
              </w:rPr>
            </w:pPr>
          </w:p>
        </w:tc>
        <w:tc>
          <w:tcPr>
            <w:tcW w:w="1843" w:type="dxa"/>
            <w:gridSpan w:val="2"/>
            <w:vAlign w:val="center"/>
          </w:tcPr>
          <w:p w14:paraId="51A25469">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14:paraId="5B8D2299">
            <w:pPr>
              <w:snapToGrid w:val="0"/>
              <w:spacing w:line="360" w:lineRule="auto"/>
              <w:rPr>
                <w:rFonts w:hint="eastAsia" w:ascii="宋体" w:hAnsi="宋体" w:eastAsia="宋体"/>
                <w:sz w:val="18"/>
                <w:szCs w:val="18"/>
              </w:rPr>
            </w:pPr>
          </w:p>
        </w:tc>
      </w:tr>
      <w:tr w14:paraId="5BF5A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3C729129">
            <w:pPr>
              <w:snapToGrid w:val="0"/>
              <w:spacing w:line="360" w:lineRule="auto"/>
              <w:jc w:val="center"/>
              <w:rPr>
                <w:rFonts w:hint="eastAsia" w:ascii="宋体" w:hAnsi="宋体" w:eastAsia="宋体"/>
                <w:sz w:val="18"/>
                <w:szCs w:val="18"/>
              </w:rPr>
            </w:pPr>
            <w:bookmarkStart w:id="1" w:name="OLE_LINK5"/>
            <w:r>
              <w:rPr>
                <w:rFonts w:ascii="宋体" w:hAnsi="宋体" w:eastAsia="宋体"/>
                <w:sz w:val="18"/>
                <w:szCs w:val="18"/>
              </w:rPr>
              <w:t>ICS</w:t>
            </w:r>
            <w:r>
              <w:rPr>
                <w:rFonts w:hint="eastAsia" w:ascii="宋体" w:hAnsi="宋体" w:eastAsia="宋体"/>
                <w:sz w:val="18"/>
                <w:szCs w:val="18"/>
              </w:rPr>
              <w:t>分类号</w:t>
            </w:r>
            <w:bookmarkEnd w:id="1"/>
          </w:p>
        </w:tc>
        <w:tc>
          <w:tcPr>
            <w:tcW w:w="3086" w:type="dxa"/>
            <w:gridSpan w:val="4"/>
            <w:vAlign w:val="center"/>
          </w:tcPr>
          <w:p w14:paraId="1237A4D8">
            <w:pPr>
              <w:snapToGrid w:val="0"/>
              <w:spacing w:line="360" w:lineRule="auto"/>
              <w:rPr>
                <w:rFonts w:hint="eastAsia" w:ascii="宋体" w:hAnsi="宋体" w:eastAsia="宋体"/>
                <w:sz w:val="18"/>
                <w:szCs w:val="18"/>
              </w:rPr>
            </w:pPr>
            <w:r>
              <w:rPr>
                <w:rFonts w:ascii="宋体" w:hAnsi="宋体" w:eastAsia="宋体"/>
                <w:sz w:val="18"/>
                <w:szCs w:val="18"/>
              </w:rPr>
              <w:t>91.100.99</w:t>
            </w:r>
          </w:p>
        </w:tc>
        <w:tc>
          <w:tcPr>
            <w:tcW w:w="1843" w:type="dxa"/>
            <w:gridSpan w:val="2"/>
            <w:vAlign w:val="center"/>
          </w:tcPr>
          <w:p w14:paraId="7BBBA8DD">
            <w:pPr>
              <w:snapToGrid w:val="0"/>
              <w:spacing w:line="360" w:lineRule="auto"/>
              <w:jc w:val="center"/>
              <w:rPr>
                <w:rFonts w:hint="eastAsia" w:ascii="宋体" w:hAnsi="宋体" w:eastAsia="宋体"/>
                <w:sz w:val="18"/>
                <w:szCs w:val="18"/>
              </w:rPr>
            </w:pPr>
            <w:r>
              <w:rPr>
                <w:rFonts w:hint="eastAsia" w:ascii="宋体" w:hAnsi="宋体" w:eastAsia="宋体"/>
                <w:sz w:val="18"/>
                <w:szCs w:val="18"/>
              </w:rPr>
              <w:t>中国标准分类号</w:t>
            </w:r>
          </w:p>
        </w:tc>
        <w:tc>
          <w:tcPr>
            <w:tcW w:w="2644" w:type="dxa"/>
            <w:gridSpan w:val="2"/>
            <w:vAlign w:val="center"/>
          </w:tcPr>
          <w:p w14:paraId="694A218A">
            <w:pPr>
              <w:snapToGrid w:val="0"/>
              <w:spacing w:line="360" w:lineRule="auto"/>
              <w:rPr>
                <w:rFonts w:hint="eastAsia" w:ascii="宋体" w:hAnsi="宋体" w:eastAsia="宋体"/>
                <w:sz w:val="18"/>
                <w:szCs w:val="18"/>
              </w:rPr>
            </w:pPr>
            <w:r>
              <w:rPr>
                <w:rFonts w:ascii="宋体" w:hAnsi="宋体" w:eastAsia="宋体"/>
                <w:sz w:val="18"/>
                <w:szCs w:val="18"/>
              </w:rPr>
              <w:t>Q18</w:t>
            </w:r>
          </w:p>
        </w:tc>
      </w:tr>
      <w:tr w14:paraId="499D5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14:paraId="7995A11A">
            <w:pPr>
              <w:snapToGrid w:val="0"/>
              <w:spacing w:line="360" w:lineRule="auto"/>
              <w:jc w:val="center"/>
              <w:rPr>
                <w:rFonts w:hint="eastAsia" w:ascii="宋体" w:hAnsi="宋体" w:eastAsia="宋体"/>
                <w:sz w:val="18"/>
                <w:szCs w:val="18"/>
              </w:rPr>
            </w:pPr>
            <w:r>
              <w:rPr>
                <w:rFonts w:hint="eastAsia" w:ascii="宋体" w:hAnsi="宋体" w:eastAsia="宋体"/>
                <w:sz w:val="18"/>
                <w:szCs w:val="18"/>
              </w:rPr>
              <w:t>标准主要起草单位</w:t>
            </w:r>
          </w:p>
        </w:tc>
        <w:tc>
          <w:tcPr>
            <w:tcW w:w="3086" w:type="dxa"/>
            <w:gridSpan w:val="4"/>
            <w:vAlign w:val="center"/>
          </w:tcPr>
          <w:p w14:paraId="4037A280">
            <w:pPr>
              <w:snapToGrid w:val="0"/>
              <w:spacing w:line="360" w:lineRule="auto"/>
              <w:rPr>
                <w:rFonts w:hint="eastAsia" w:ascii="宋体" w:hAnsi="宋体" w:eastAsia="宋体"/>
                <w:sz w:val="18"/>
                <w:szCs w:val="18"/>
              </w:rPr>
            </w:pPr>
            <w:r>
              <w:rPr>
                <w:rFonts w:hint="eastAsia" w:ascii="宋体" w:hAnsi="宋体" w:eastAsia="宋体"/>
                <w:sz w:val="18"/>
                <w:szCs w:val="18"/>
              </w:rPr>
              <w:t>日照市海洋工程研究院、</w:t>
            </w:r>
          </w:p>
          <w:p w14:paraId="7C52608C">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rPr>
              <w:t>中国建筑材料科学研究总院有限公司、北京国建联信认证中心有限公司</w:t>
            </w:r>
            <w:r>
              <w:rPr>
                <w:rFonts w:hint="eastAsia" w:ascii="宋体" w:hAnsi="宋体" w:eastAsia="宋体"/>
                <w:sz w:val="18"/>
                <w:szCs w:val="18"/>
                <w:lang w:eastAsia="zh-CN"/>
              </w:rPr>
              <w:t>、</w:t>
            </w:r>
            <w:r>
              <w:rPr>
                <w:rFonts w:hint="eastAsia" w:ascii="宋体" w:hAnsi="宋体" w:eastAsia="宋体"/>
                <w:sz w:val="18"/>
                <w:szCs w:val="18"/>
                <w:lang w:val="en-US" w:eastAsia="zh-CN"/>
              </w:rPr>
              <w:t>日照海工研新材料有限公司</w:t>
            </w:r>
          </w:p>
        </w:tc>
        <w:tc>
          <w:tcPr>
            <w:tcW w:w="1843" w:type="dxa"/>
            <w:gridSpan w:val="2"/>
            <w:vAlign w:val="center"/>
          </w:tcPr>
          <w:p w14:paraId="7F4ECFAB">
            <w:pPr>
              <w:snapToGrid w:val="0"/>
              <w:spacing w:line="360" w:lineRule="auto"/>
              <w:jc w:val="center"/>
              <w:rPr>
                <w:rFonts w:hint="eastAsia" w:ascii="宋体" w:hAnsi="宋体" w:eastAsia="宋体"/>
                <w:sz w:val="18"/>
                <w:szCs w:val="18"/>
              </w:rPr>
            </w:pPr>
            <w:r>
              <w:rPr>
                <w:rFonts w:hint="eastAsia" w:ascii="宋体" w:hAnsi="宋体" w:eastAsia="宋体"/>
                <w:sz w:val="18"/>
                <w:szCs w:val="18"/>
              </w:rPr>
              <w:t>计划起止时间</w:t>
            </w:r>
          </w:p>
        </w:tc>
        <w:tc>
          <w:tcPr>
            <w:tcW w:w="2644" w:type="dxa"/>
            <w:gridSpan w:val="2"/>
            <w:vAlign w:val="center"/>
          </w:tcPr>
          <w:p w14:paraId="0D81DA38">
            <w:pPr>
              <w:snapToGrid w:val="0"/>
              <w:spacing w:line="360" w:lineRule="auto"/>
              <w:rPr>
                <w:rFonts w:hint="eastAsia" w:ascii="宋体" w:hAnsi="宋体" w:eastAsia="宋体"/>
                <w:sz w:val="18"/>
                <w:szCs w:val="18"/>
              </w:rPr>
            </w:pPr>
            <w:r>
              <w:rPr>
                <w:rFonts w:hint="eastAsia" w:ascii="宋体" w:hAnsi="宋体" w:eastAsia="宋体"/>
                <w:sz w:val="18"/>
                <w:szCs w:val="18"/>
              </w:rPr>
              <w:t>2026.4-2027.4</w:t>
            </w:r>
          </w:p>
        </w:tc>
      </w:tr>
      <w:tr w14:paraId="6F04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14:paraId="3505ADDB">
            <w:pPr>
              <w:snapToGrid w:val="0"/>
              <w:spacing w:line="360" w:lineRule="auto"/>
              <w:jc w:val="center"/>
              <w:rPr>
                <w:rFonts w:hint="eastAsia"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14:paraId="35EB70C4">
            <w:pPr>
              <w:snapToGrid w:val="0"/>
              <w:spacing w:line="360" w:lineRule="auto"/>
              <w:jc w:val="center"/>
              <w:rPr>
                <w:rFonts w:hint="eastAsia" w:ascii="宋体" w:hAnsi="宋体" w:eastAsia="宋体"/>
                <w:sz w:val="18"/>
                <w:szCs w:val="18"/>
              </w:rPr>
            </w:pPr>
            <w:r>
              <w:rPr>
                <w:rFonts w:hint="eastAsia" w:ascii="宋体" w:hAnsi="宋体" w:eastAsia="宋体"/>
                <w:sz w:val="18"/>
                <w:szCs w:val="18"/>
              </w:rPr>
              <w:t>要性</w:t>
            </w:r>
          </w:p>
        </w:tc>
        <w:tc>
          <w:tcPr>
            <w:tcW w:w="7573" w:type="dxa"/>
            <w:gridSpan w:val="8"/>
            <w:vAlign w:val="center"/>
          </w:tcPr>
          <w:p w14:paraId="76886F9A">
            <w:pPr>
              <w:snapToGrid w:val="0"/>
              <w:spacing w:line="360" w:lineRule="auto"/>
              <w:rPr>
                <w:rFonts w:hint="eastAsia" w:ascii="宋体" w:hAnsi="宋体" w:eastAsia="宋体"/>
                <w:sz w:val="18"/>
                <w:szCs w:val="18"/>
                <w:u w:val="single"/>
              </w:rPr>
            </w:pPr>
            <w:r>
              <w:rPr>
                <w:rFonts w:hint="eastAsia" w:ascii="宋体" w:hAnsi="宋体" w:eastAsia="宋体"/>
                <w:sz w:val="18"/>
                <w:szCs w:val="18"/>
                <w:u w:val="single"/>
              </w:rPr>
              <w:t>指出标准项目涉及的方面，期望解决的问题；</w:t>
            </w:r>
          </w:p>
          <w:p w14:paraId="0D813DDD">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建筑用防污自洁装饰板是一类融合装饰美化与防污自洁双重核心功能的新型高端建筑饰面材料，凭借其多元适配性，被广泛应用于各类建筑场景。其中，外墙领域可适配高层住宅、商业综合体、写字楼等不同建筑形态，尤其适合多雨、多尘及空气污染较重的区域，能有效抵御外界环境侵蚀；内墙方面可用于酒店大堂、医院走廊、地铁候车厅等人员密集且对洁净度要求较高的公共空间，也可应用于家庭客厅、卧室等场景，兼顾美观与实用性；厨卫空间因常年处于潮湿、易沾染油污的环境，该类板材能精准解决清洁难题，成为厨柜台面、卫生间墙面的理想选材；此外，还可用于公交站台、垃圾中转站周边设施、户外广告牌等公共设施表面，耐受高频次污染与自然环境损耗。</w:t>
            </w:r>
          </w:p>
          <w:p w14:paraId="322EF78A">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相较于传统装饰板材，建筑用防污自洁装饰板在核心性能上具有明显代差优势。首先在维护便捷性上，传统建材（如普通乳胶漆墙面、瓷砖、天然石材等）需定期进行人工擦洗、翻新补漆或更换，不仅耗时耗力，还可能因清洁不当造成二次损伤，而防污自洁装饰板无需复杂维护流程，极大提升建筑运维效率；其次在耐久性上，传统建材易受环境影响出现污渍堆积、褪色、开裂、腐蚀等问题，需频繁更换维护，而防污自洁装饰板凭借多重耐候特性，能长期保持性能稳定，减少更换频次与建筑垃圾产生。且日常维护无需使用含化学物质的强效清洁剂，降低对环境的污染，同时减少维护过程中的能源消耗。建筑用防污自洁装饰板精准契合现代建筑“高效、低碳、易维护”的饰面需求，无论是商业建筑追求的长期美观与运维成本控制，还是住宅建筑注重的居住舒适度与环保性，亦或是公共建筑对耐用性与洁净度的严格要求，都能全面适配，成为推动建筑饰面材料升级的重要方向。</w:t>
            </w:r>
          </w:p>
          <w:p w14:paraId="4EDB4212">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随着纳米技术、光催化技术的发展，防污自洁装饰板已从单一自洁功能向防污、防油、防霉等复合功能升级，以满足市场对产品性能日益增长的多元化需求。当前我国建筑用防污自洁装饰板领域存在标准覆盖不全、指标单一等问题，如最小接触角等指标，无法全面验证自洁效果与持久性，限制了新技术应用。同时，国家标准、行业标准层面的空白导致行业缺乏统一指导，产品质量参差不齐，迫切需要制定专项标准填补这一缺口。同时，随着技术发展和市场需求，消费者对建筑外观持久性、环保性、健康性的需求不断提升，标准需同步更新以适配技术迭代与市场变化，避免技术与产品发展脱节。</w:t>
            </w:r>
          </w:p>
          <w:p w14:paraId="6B2E6C77">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本标准的制定可以填补标准体系空白，完善建筑饰面材料标准架构，</w:t>
            </w:r>
            <w:r>
              <w:rPr>
                <w:rFonts w:ascii="宋体" w:hAnsi="宋体" w:eastAsia="宋体"/>
                <w:sz w:val="18"/>
                <w:szCs w:val="18"/>
              </w:rPr>
              <w:t>标准制定能</w:t>
            </w:r>
            <w:r>
              <w:rPr>
                <w:rFonts w:hint="eastAsia" w:ascii="宋体" w:hAnsi="宋体" w:eastAsia="宋体"/>
                <w:sz w:val="18"/>
                <w:szCs w:val="18"/>
              </w:rPr>
              <w:t>通过标准化实现从“行业自律”向“规范引领”的转变，带动相关测试方法、施工规范的配套完善制定。建筑用防污自洁装饰板标准，核心是解决行业发展中的规范缺失、指标模糊、质量参差不齐等痛点，为产业发展、工程应用与质量监管提供统一科学依据，引领行业高质量升级。通过统一标准倒逼企业提升生产工艺与产品品质，淘汰低质低效产能，推动纳米涂层、表面改性等核心技术的创新突破。同时，标准能规范市场竞争秩序，避免恶性价格战，帮助优质企业凭借合规产品拓展市场，带动上下游产业链协同发展，提升我国建筑装饰板材行业的整体竞争力。</w:t>
            </w:r>
          </w:p>
        </w:tc>
      </w:tr>
      <w:tr w14:paraId="7362F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167" w:type="dxa"/>
            <w:vAlign w:val="center"/>
          </w:tcPr>
          <w:p w14:paraId="0851B5C4">
            <w:pPr>
              <w:snapToGrid w:val="0"/>
              <w:spacing w:line="360" w:lineRule="auto"/>
              <w:jc w:val="center"/>
              <w:rPr>
                <w:rFonts w:hint="eastAsia" w:ascii="宋体" w:hAnsi="宋体" w:eastAsia="宋体"/>
                <w:sz w:val="18"/>
                <w:szCs w:val="18"/>
              </w:rPr>
            </w:pPr>
            <w:r>
              <w:rPr>
                <w:rFonts w:hint="eastAsia" w:ascii="宋体" w:hAnsi="宋体" w:eastAsia="宋体"/>
                <w:sz w:val="18"/>
                <w:szCs w:val="18"/>
              </w:rPr>
              <w:t>范围和主要</w:t>
            </w:r>
          </w:p>
          <w:p w14:paraId="41B6E177">
            <w:pPr>
              <w:snapToGrid w:val="0"/>
              <w:spacing w:line="360" w:lineRule="auto"/>
              <w:jc w:val="center"/>
              <w:rPr>
                <w:rFonts w:hint="eastAsia"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14:paraId="1FF47417">
            <w:pPr>
              <w:snapToGrid w:val="0"/>
              <w:spacing w:line="360" w:lineRule="auto"/>
              <w:rPr>
                <w:rFonts w:hint="eastAsia" w:ascii="宋体" w:hAnsi="宋体" w:eastAsia="宋体"/>
                <w:sz w:val="18"/>
                <w:szCs w:val="18"/>
                <w:u w:val="single"/>
              </w:rPr>
            </w:pPr>
            <w:r>
              <w:rPr>
                <w:rFonts w:hint="eastAsia" w:ascii="宋体" w:hAnsi="宋体" w:eastAsia="宋体"/>
                <w:sz w:val="18"/>
                <w:szCs w:val="18"/>
                <w:u w:val="single"/>
              </w:rPr>
              <w:t>标准的技术内容与适用范围；</w:t>
            </w:r>
          </w:p>
          <w:p w14:paraId="2C61406B">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本文件</w:t>
            </w:r>
            <w:r>
              <w:rPr>
                <w:rFonts w:eastAsia="宋体"/>
                <w:sz w:val="18"/>
                <w:szCs w:val="18"/>
              </w:rPr>
              <w:t>规定了</w:t>
            </w:r>
            <w:r>
              <w:rPr>
                <w:rFonts w:hint="eastAsia" w:ascii="宋体" w:hAnsi="宋体" w:eastAsia="宋体"/>
                <w:sz w:val="18"/>
                <w:szCs w:val="18"/>
              </w:rPr>
              <w:t>建筑用防污自洁装饰板的术语和定义，分类和标记、技术要求，试验方法，检验规则，标志、包装、运输和贮存等方面的内容。</w:t>
            </w:r>
          </w:p>
          <w:p w14:paraId="55CAD441">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本文件适用于工业与民用建筑具有防污、自洁功能的建筑用装饰板的制造和检测。</w:t>
            </w:r>
          </w:p>
          <w:p w14:paraId="613DB78C">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本文件将全面覆盖“术语定义—技术要求—测试方法—流程规范—配套管理”五大核心方面，确保标准的系统性与实操性。主要技术内容包括以下方面：</w:t>
            </w:r>
          </w:p>
          <w:p w14:paraId="52BFABF4">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1. 术语和定义</w:t>
            </w:r>
          </w:p>
          <w:p w14:paraId="1E349F36">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本章提出统一关键术语表述，包括“防污自洁装饰板”“自清洁效率”“耐污持久性”“光催化活性衰减率”等，避免行业认知偏差，确保标准执行一致性。</w:t>
            </w:r>
          </w:p>
          <w:p w14:paraId="63CC9FD9">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2. 分类和标记</w:t>
            </w:r>
          </w:p>
          <w:p w14:paraId="75001860">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本章提出建筑用防污自洁装饰板的分类依据和标记规范，其中：</w:t>
            </w:r>
          </w:p>
          <w:p w14:paraId="3C1D41BE">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1）分类依据：按自洁机理（物理型、化学型、复合型）、应用场景（外墙用、室内用）、基材类型（金属基材、非金属基材、塑料板、木质人造板、陶瓷板、石材复合板等）进行分类。</w:t>
            </w:r>
          </w:p>
          <w:p w14:paraId="496FDDCE">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2）标记规范：要求产品标记包含产品类型、自洁等级、基材类型、执行标准号等关键信息，如“防污自洁装饰板-复合型-外墙用-金属基材-JC/T XXX-202X”，方便市场识别与监管核查。</w:t>
            </w:r>
          </w:p>
          <w:p w14:paraId="639D021F">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3. 技术要求</w:t>
            </w:r>
          </w:p>
          <w:p w14:paraId="31A17CEF">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本章明确建筑用防污自洁装饰板的各项技术要求，主要包括基材与常规性能、抗污性能、耐久性、安全与环保性能等指标，其中：</w:t>
            </w:r>
          </w:p>
          <w:p w14:paraId="19675ABF">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1）基材与常规性能：符合其基材物理性能相关标准要求。</w:t>
            </w:r>
          </w:p>
          <w:p w14:paraId="02EE4D33">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2）防污自洁性能：包括自洁效率：规定标准污染物（如硬脂酸、碳黑、染料等）、污染方式、光照/润湿条件、以及效率计算方法。区分光催化分解效率和雨水冲刷自洁效率。抗污性能：评估对常见污渍（酱油、咖啡、笔墨等）的抵抗能力。</w:t>
            </w:r>
          </w:p>
          <w:p w14:paraId="25ED1F9C">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3）耐久性：规定经过氙灯老化/UV老化、耐酸碱性、耐洗刷性、冷热循环、摩擦试验等加速老化试验后，自洁效率的保持率（如≥80%）。</w:t>
            </w:r>
          </w:p>
          <w:p w14:paraId="4AA5DD75">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4）安全与环保性能：有害物质限量：甲醛、VOCs、重金属等符合室内装饰材料强制标准。</w:t>
            </w:r>
          </w:p>
          <w:p w14:paraId="43E33288">
            <w:pPr>
              <w:numPr>
                <w:ilvl w:val="0"/>
                <w:numId w:val="1"/>
              </w:num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试验方法</w:t>
            </w:r>
          </w:p>
          <w:p w14:paraId="07697993">
            <w:pPr>
              <w:numPr>
                <w:ilvl w:val="255"/>
                <w:numId w:val="0"/>
              </w:num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本章对基材要求、常规性能、防污自洁性能、安全环保性能等性能指标提出了实验方法要求。</w:t>
            </w:r>
          </w:p>
          <w:p w14:paraId="06411BF2">
            <w:pPr>
              <w:numPr>
                <w:ilvl w:val="0"/>
                <w:numId w:val="1"/>
              </w:num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检验规则</w:t>
            </w:r>
          </w:p>
          <w:p w14:paraId="50BD8755">
            <w:pPr>
              <w:numPr>
                <w:ilvl w:val="255"/>
                <w:numId w:val="0"/>
              </w:num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本章规定</w:t>
            </w:r>
            <w:r>
              <w:rPr>
                <w:rFonts w:ascii="宋体" w:hAnsi="宋体" w:eastAsia="宋体"/>
                <w:sz w:val="18"/>
                <w:szCs w:val="18"/>
              </w:rPr>
              <w:t>产品检验分为</w:t>
            </w:r>
            <w:r>
              <w:rPr>
                <w:rFonts w:ascii="宋体" w:hAnsi="宋体" w:eastAsia="宋体"/>
                <w:b w:val="0"/>
                <w:bCs w:val="0"/>
                <w:sz w:val="18"/>
                <w:szCs w:val="18"/>
              </w:rPr>
              <w:t>出厂检验</w:t>
            </w:r>
            <w:r>
              <w:rPr>
                <w:rFonts w:ascii="宋体" w:hAnsi="宋体" w:eastAsia="宋体"/>
                <w:sz w:val="18"/>
                <w:szCs w:val="18"/>
              </w:rPr>
              <w:t>与</w:t>
            </w:r>
            <w:r>
              <w:rPr>
                <w:rFonts w:ascii="宋体" w:hAnsi="宋体" w:eastAsia="宋体"/>
                <w:b w:val="0"/>
                <w:bCs w:val="0"/>
                <w:sz w:val="18"/>
                <w:szCs w:val="18"/>
              </w:rPr>
              <w:t>型式检验</w:t>
            </w:r>
            <w:r>
              <w:rPr>
                <w:rFonts w:ascii="宋体" w:hAnsi="宋体" w:eastAsia="宋体"/>
                <w:sz w:val="18"/>
                <w:szCs w:val="18"/>
              </w:rPr>
              <w:t>两类</w:t>
            </w:r>
            <w:r>
              <w:rPr>
                <w:rFonts w:hint="eastAsia" w:ascii="宋体" w:hAnsi="宋体" w:eastAsia="宋体"/>
                <w:sz w:val="18"/>
                <w:szCs w:val="18"/>
              </w:rPr>
              <w:t>，对文件中性能指标提出了检验规则要求。</w:t>
            </w:r>
          </w:p>
          <w:p w14:paraId="0C81FAF0">
            <w:pPr>
              <w:numPr>
                <w:ilvl w:val="0"/>
                <w:numId w:val="1"/>
              </w:num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标志、包装、运输和贮存</w:t>
            </w:r>
          </w:p>
          <w:p w14:paraId="21FB4A1A">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本章对建筑用防污自洁装饰板提出了标志、包装、运输和贮存的具体要求。要求产品包装标注自洁等级、核心性能指标、执行标准号，运输过程中需采取防刮擦、防潮湿措施，贮存环境需干燥通风，避免阳光直射，确保产品性能不受影响。</w:t>
            </w:r>
          </w:p>
          <w:p w14:paraId="1868C03F">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附录A提出防污自洁性能和耐久性的实验方法。</w:t>
            </w:r>
          </w:p>
          <w:p w14:paraId="00165261">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总结而言，本文件的核心价值在于“建立标尺、规范市场、引导创新、保障应用”。通过定义清晰的技术路径、建立量化的性能评价体系和严格的耐久性要求，推动建筑用防污自洁装饰板行业从“营销概念”阶段迈向“高技术、高品质、高可靠性”的可持续发展新阶段，最终服务于建筑的高品质、低维护和可持续发展。</w:t>
            </w:r>
          </w:p>
        </w:tc>
      </w:tr>
      <w:tr w14:paraId="5AE01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jc w:val="center"/>
        </w:trPr>
        <w:tc>
          <w:tcPr>
            <w:tcW w:w="2167" w:type="dxa"/>
            <w:vAlign w:val="center"/>
          </w:tcPr>
          <w:p w14:paraId="361CEDA6">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国内外情况</w:t>
            </w:r>
          </w:p>
          <w:p w14:paraId="0ED5D997">
            <w:pPr>
              <w:snapToGrid w:val="0"/>
              <w:spacing w:line="360" w:lineRule="auto"/>
              <w:jc w:val="center"/>
              <w:rPr>
                <w:rFonts w:hint="eastAsia"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14:paraId="3D0938FE">
            <w:pPr>
              <w:snapToGrid w:val="0"/>
              <w:spacing w:line="360" w:lineRule="auto"/>
              <w:rPr>
                <w:rFonts w:hint="eastAsia" w:ascii="宋体" w:hAnsi="宋体" w:eastAsia="宋体"/>
                <w:sz w:val="18"/>
                <w:szCs w:val="18"/>
              </w:rPr>
            </w:pPr>
            <w:r>
              <w:rPr>
                <w:rFonts w:hint="eastAsia" w:ascii="宋体" w:hAnsi="宋体" w:eastAsia="宋体"/>
                <w:sz w:val="18"/>
                <w:szCs w:val="18"/>
                <w:u w:val="single"/>
              </w:rPr>
              <w:t>1. 国内外对该技术研究情况简要说明：</w:t>
            </w:r>
            <w:r>
              <w:rPr>
                <w:rFonts w:hint="eastAsia" w:ascii="宋体" w:hAnsi="宋体" w:eastAsia="宋体"/>
                <w:sz w:val="18"/>
                <w:szCs w:val="18"/>
              </w:rPr>
              <w:t>国内外对该技术研究情况、进程及未来的发展；该技术是否相对稳定，如果不是的话，预计一下技术未来稳定的时间，提出的标准项目是否可作为未来技术发展的基础；</w:t>
            </w:r>
          </w:p>
          <w:p w14:paraId="3AFE268D">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建筑用防污自洁装饰板优异的自洁性能源于科学的工艺设计，核心是在多样化的板材基材表面进行功能性处理。基材选择需适配不同场景需求，硅酸钙板基材具备防火、隔音、强度高的特性，多用于室内墙面及隐蔽工程；铝板基材质地轻便、耐腐蚀，适合高层建筑外墙及户外设施；复合板基材则可结合不同材料优势，实现隔音、保温与装饰效果的融合，适配多元场景。在基材处理上，主要分为两大技术路径：一是涂覆特殊纳米涂层，这类涂层多采用纳米二氧化钛、纳米硅等材料，可在板材表面形成致密的分子保护膜，改变表面张力，实现疏水疏油双重功效；二是采用疏水、疏油等改性工艺，通过调整板材表面分子结构，降低污染物与板材表面的附着力，从根源上减少污渍残留。</w:t>
            </w:r>
          </w:p>
          <w:p w14:paraId="4319B668">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基于上述工艺，建筑用防污自洁装饰板具备全方位的实用性能。在防污自洁方面，能高效排斥灰尘、泥沙、油烟、水垢、霉斑等各类污染物，其中对于水溶性污渍可通过自然雨水冲刷快速脱落，对于顽固油污仅需用清水搭配软布简单擦拭即可清除，无需使用强效清洁剂，大幅降低人工清洁的频次、人力成本及清洁耗材支出，尤其适合高层外墙等清洁难度大、风险高的区域。同时，其表面经过特殊强化处理，具备多重耐候耐损特性：耐刮擦性能可抵御日常摩擦、轻微撞击造成的痕迹，适配人员密集场所的高频使用；耐紫外线性能可有效抵抗阳光暴晒，避免颜色褪色、涂层老化，保障长期外观一致性；耐酸碱腐蚀、耐盐雾性能则能应对酸雨、工业区域腐蚀性气体、沿海等特殊环境下的侵蚀，防止板材变质、破损。这些特性共同确保板材在长期使用中始终保持整洁美观的外观，显著延长使用寿命，相较于普通装饰板材，使用寿命可提升3-5倍。</w:t>
            </w:r>
          </w:p>
          <w:p w14:paraId="7C5CF9BC">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国际上，自清洁技术研究起步较早，欧美、日本等国聚焦纳米涂层、光催化材料的功能优化为自洁装饰材料应用提供了参考。近年来，国际研究重点向“自洁+节能”复合功能延伸，如被动辐射制冷与自清洁技术融合，已实现实验室向规模化应用的突破。</w:t>
            </w:r>
          </w:p>
          <w:p w14:paraId="4C777CB0">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国内研究紧随国际步伐，依托科研平台与企业协同创新，在核心技术上实现自主突破，如中建西南院研发的“零能耗自清洁被动辐射制冷涂层”，从建筑的长期应用出发，创新开发超双疏自清洁罩面，利用荷叶效应，实现长久自洁免维护。从源头破解建筑降温与减碳难题。在全国22个省市两百余个项目落地应用，经院士团队鉴定整体达到国际领先水平。同时，国内研究更侧重适配本土气候场景，解决高湿、多尘、酸雨等环境下的自洁持久性问题，形成了从材料研发、工艺优化到场景应用的完整技术链条。</w:t>
            </w:r>
          </w:p>
          <w:p w14:paraId="1EF73BAA">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当前建筑用防污自洁核心技术（纳米疏水疏油涂层、光催化自洁技术）已相对稳定，经过大规模工程应用验证，能耐受不同气候条件考验，如上述辐射制冷自洁涂层在拉萨、新疆等极端环境中展现出稳定品质。但复合功能技术（自洁+抗菌防霉、自洁+保温）仍处于迭代优化阶段，预计未来2-3年，随着材料配方优化与工艺成熟，复合功能技术将实现性能稳定，形成标准化应用方案。本标准项目立足现有成熟技术，明确基础指标与测试方法，同时预留复合功能指标调整空间，可作为未来技术发展的基础框架，为新技术迭代提供规范依据，避免技术发展碎片化。</w:t>
            </w:r>
          </w:p>
          <w:p w14:paraId="03F040AC">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未来发展方向来看，国际国内均向低碳化、多功能化、长效化发展，一是融合被动节能、抗菌防霉等复合功能，满足绿色建筑与健康需求；二是优化环保配方，降低VOC与有害物质释放，契合欧盟REACH法规与国内绿色产品标准；三是拓展应用场景，从建筑外墙向工业设施、粮储仓库等领域延伸，形成差异化技术方案。</w:t>
            </w:r>
          </w:p>
          <w:p w14:paraId="25DC3886">
            <w:pPr>
              <w:snapToGrid w:val="0"/>
              <w:spacing w:line="360" w:lineRule="auto"/>
              <w:rPr>
                <w:rFonts w:hint="eastAsia" w:ascii="宋体" w:hAnsi="宋体" w:eastAsia="宋体"/>
                <w:sz w:val="18"/>
                <w:szCs w:val="18"/>
              </w:rPr>
            </w:pPr>
            <w:r>
              <w:rPr>
                <w:rFonts w:hint="eastAsia" w:ascii="宋体" w:hAnsi="宋体" w:eastAsia="宋体"/>
                <w:sz w:val="18"/>
                <w:szCs w:val="18"/>
                <w:u w:val="single"/>
              </w:rPr>
              <w:t>2. 项目与国际标准或国外先进标准采用程度的考虑：</w:t>
            </w:r>
            <w:r>
              <w:rPr>
                <w:rFonts w:hint="eastAsia" w:ascii="宋体" w:hAnsi="宋体" w:eastAsia="宋体"/>
                <w:sz w:val="18"/>
                <w:szCs w:val="18"/>
              </w:rPr>
              <w:t>该标准项目是否有对应的国际标准或国外先进标准，标准制定过程中如何考虑采用的问题；</w:t>
            </w:r>
          </w:p>
          <w:p w14:paraId="490DD044">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对应国际及国外先进标准：目前国际上无专门针对“建筑用防污自洁装饰板”的专项标准，相关要求分散于涂料、建筑材料通用标准中，某些性能的测试方法可为本标准的借鉴，如可参考</w:t>
            </w:r>
            <w:r>
              <w:rPr>
                <w:rFonts w:ascii="宋体" w:hAnsi="宋体" w:eastAsia="宋体"/>
                <w:sz w:val="18"/>
                <w:szCs w:val="18"/>
              </w:rPr>
              <w:t>ASTM D3719-2017 全称为 Standard Test Method for Quantifying Dirt Collection on Coated Exterior Panels（涂层外墙板积尘量量化测试方法），是涂料/涂层耐沾污性的经典自然暴露测试标准</w:t>
            </w:r>
            <w:r>
              <w:rPr>
                <w:rFonts w:hint="eastAsia" w:ascii="宋体" w:hAnsi="宋体" w:eastAsia="宋体"/>
                <w:sz w:val="18"/>
                <w:szCs w:val="18"/>
              </w:rPr>
              <w:t>，可</w:t>
            </w:r>
            <w:r>
              <w:rPr>
                <w:rFonts w:ascii="宋体" w:hAnsi="宋体" w:eastAsia="宋体"/>
                <w:sz w:val="18"/>
                <w:szCs w:val="18"/>
              </w:rPr>
              <w:t>适配装饰板表面涂层的户外耐沾污/自洁性能评价</w:t>
            </w:r>
            <w:r>
              <w:rPr>
                <w:rFonts w:hint="eastAsia" w:ascii="宋体" w:hAnsi="宋体" w:eastAsia="宋体"/>
                <w:sz w:val="18"/>
                <w:szCs w:val="18"/>
              </w:rPr>
              <w:t>，其优势在于</w:t>
            </w:r>
            <w:r>
              <w:rPr>
                <w:rFonts w:ascii="宋体" w:hAnsi="宋体" w:eastAsia="宋体"/>
                <w:sz w:val="18"/>
                <w:szCs w:val="18"/>
              </w:rPr>
              <w:t>自然暴露、数据量化、国际通用，适合标准中 “耐沾污性”指标的测试方法引用</w:t>
            </w:r>
            <w:r>
              <w:rPr>
                <w:rFonts w:hint="eastAsia" w:ascii="宋体" w:hAnsi="宋体" w:eastAsia="宋体"/>
                <w:sz w:val="18"/>
                <w:szCs w:val="18"/>
              </w:rPr>
              <w:t>，但其局限</w:t>
            </w:r>
            <w:r>
              <w:rPr>
                <w:rFonts w:ascii="宋体" w:hAnsi="宋体" w:eastAsia="宋体"/>
                <w:sz w:val="18"/>
                <w:szCs w:val="18"/>
              </w:rPr>
              <w:t>周期长</w:t>
            </w:r>
            <w:r>
              <w:rPr>
                <w:rFonts w:hint="eastAsia" w:ascii="宋体" w:hAnsi="宋体" w:eastAsia="宋体"/>
                <w:sz w:val="18"/>
                <w:szCs w:val="18"/>
              </w:rPr>
              <w:t>（</w:t>
            </w:r>
            <w:r>
              <w:rPr>
                <w:rFonts w:ascii="宋体" w:hAnsi="宋体" w:eastAsia="宋体"/>
                <w:sz w:val="18"/>
                <w:szCs w:val="18"/>
              </w:rPr>
              <w:t>61天</w:t>
            </w:r>
            <w:r>
              <w:rPr>
                <w:rFonts w:hint="eastAsia" w:ascii="宋体" w:hAnsi="宋体" w:eastAsia="宋体"/>
                <w:sz w:val="18"/>
                <w:szCs w:val="18"/>
              </w:rPr>
              <w:t>），</w:t>
            </w:r>
            <w:r>
              <w:rPr>
                <w:rFonts w:ascii="宋体" w:hAnsi="宋体" w:eastAsia="宋体"/>
                <w:sz w:val="18"/>
                <w:szCs w:val="18"/>
              </w:rPr>
              <w:t>如需快速评价，可结合加速耐沾污测试</w:t>
            </w:r>
            <w:r>
              <w:rPr>
                <w:rFonts w:hint="eastAsia" w:ascii="宋体" w:hAnsi="宋体" w:eastAsia="宋体"/>
                <w:sz w:val="18"/>
                <w:szCs w:val="18"/>
              </w:rPr>
              <w:t>。</w:t>
            </w:r>
            <w:r>
              <w:rPr>
                <w:rFonts w:ascii="宋体" w:hAnsi="宋体" w:eastAsia="宋体"/>
                <w:sz w:val="18"/>
                <w:szCs w:val="18"/>
              </w:rPr>
              <w:t>ISO 11998:2006</w:t>
            </w:r>
            <w:r>
              <w:t xml:space="preserve"> </w:t>
            </w:r>
            <w:r>
              <w:rPr>
                <w:rFonts w:ascii="宋体" w:hAnsi="宋体" w:eastAsia="宋体"/>
                <w:sz w:val="18"/>
                <w:szCs w:val="18"/>
              </w:rPr>
              <w:t>Paints and varnishes — Determination of wet</w:t>
            </w:r>
            <w:r>
              <w:rPr>
                <w:rFonts w:ascii="宋体" w:hAnsi="宋体" w:eastAsia="宋体"/>
                <w:sz w:val="18"/>
                <w:szCs w:val="18"/>
              </w:rPr>
              <w:noBreakHyphen/>
            </w:r>
            <w:r>
              <w:rPr>
                <w:rFonts w:ascii="宋体" w:hAnsi="宋体" w:eastAsia="宋体"/>
                <w:sz w:val="18"/>
                <w:szCs w:val="18"/>
              </w:rPr>
              <w:t>scrub resistance and cleanability of coatings（色漆和清漆 — 涂层耐湿擦洗性和可清洁性的测定）</w:t>
            </w:r>
            <w:r>
              <w:rPr>
                <w:rFonts w:hint="eastAsia" w:ascii="宋体" w:hAnsi="宋体" w:eastAsia="宋体"/>
                <w:sz w:val="18"/>
                <w:szCs w:val="18"/>
              </w:rPr>
              <w:t>，其中</w:t>
            </w:r>
            <w:r>
              <w:rPr>
                <w:rFonts w:ascii="宋体" w:hAnsi="宋体" w:eastAsia="宋体"/>
                <w:sz w:val="18"/>
                <w:szCs w:val="18"/>
              </w:rPr>
              <w:t>可清洁性测试（核心流程）</w:t>
            </w:r>
            <w:r>
              <w:rPr>
                <w:rFonts w:hint="eastAsia" w:ascii="宋体" w:hAnsi="宋体" w:eastAsia="宋体"/>
                <w:sz w:val="18"/>
                <w:szCs w:val="18"/>
              </w:rPr>
              <w:t>的测试原理为在涂层表面施加标准污染物（如炭黑糊、氧化铁糊），干燥后用标准湿擦洗循环去除污渍；通过色差仪（ΔE） 或目视评级，评价清洁后颜色恢复程度，可适配装饰板表面涂层的耐湿擦洗、可清洁、自洁去污性能评价。优势在于加速测试、方法标准化、国际通用，适合产品标准与质量控制。局限在于：侧重人工擦洗去污，不直接等同户外自然积尘耐沾污；需结合 GB/T 9780（自然 / 人工积尘）或 ASTM D3719（自然暴露积尘）综合评价。此外借鉴德国DIN EN 1602-1（建筑涂料物理性能）、欧盟REACH法规（有害物质管控）等先进标准，这些标准在自洁材料耐候性分级、环保指标限量、应用区域分类等方面的技术要求，具有重要参考价值。</w:t>
            </w:r>
          </w:p>
          <w:p w14:paraId="781B4BDB">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标准采用原则与方法：制定过程中如发现有新发行的相关标准将遵循“等效采用、适配本土”原则，结合国内生产工艺与应用场景进行本土化调整，避免直接套用国际标准导致的适用性不足。此外，对国际先进测试方法进行验证优化，确保其符合国内检测设备条件，提升标准可操作性。</w:t>
            </w:r>
          </w:p>
          <w:p w14:paraId="0C7134C4">
            <w:pPr>
              <w:snapToGrid w:val="0"/>
              <w:spacing w:line="360" w:lineRule="auto"/>
              <w:rPr>
                <w:rFonts w:hint="eastAsia" w:ascii="宋体" w:hAnsi="宋体" w:eastAsia="宋体"/>
                <w:sz w:val="18"/>
                <w:szCs w:val="18"/>
              </w:rPr>
            </w:pPr>
            <w:r>
              <w:rPr>
                <w:rFonts w:hint="eastAsia" w:ascii="宋体" w:hAnsi="宋体" w:eastAsia="宋体"/>
                <w:sz w:val="18"/>
                <w:szCs w:val="18"/>
                <w:u w:val="single"/>
              </w:rPr>
              <w:t>3. 与国内相关标准间的关系：</w:t>
            </w:r>
            <w:r>
              <w:rPr>
                <w:rFonts w:hint="eastAsia" w:ascii="宋体" w:hAnsi="宋体" w:eastAsia="宋体"/>
                <w:sz w:val="18"/>
                <w:szCs w:val="18"/>
              </w:rPr>
              <w:t>该标准项目是否有相关的国家或行业标准，该标准项目与这些标准是什么关系，该标准项目在标准体系中的位置；</w:t>
            </w:r>
          </w:p>
          <w:p w14:paraId="71B2834B">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目前国内相关标准包括GB/T 30191-2025《外墙光催化自洁涂覆材料》、GB/T 31815-2015《建筑外表面用自清洁涂料》、GB/T 9755-2014《合成树脂乳液外墙涂料》、JG/T 172-2014《弹性建筑涂料》、JG/T 287-2013《保温装饰板外墙外保温系统材料》、T/CECS 10352-2023《建筑外墙装饰板自清洁性能技术要求》及绿色产品评价相关标准等。</w:t>
            </w:r>
          </w:p>
          <w:p w14:paraId="2131AF1E">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标准间关系：本标准与现有标准为“互补衔接、细化延伸”关系。如：一是与GB/T 30191-2025互补，后者聚焦外墙光催化涂覆材料，本标准覆盖全场景、全基材防污自洁装饰板，填补非光催化类型产品与室内场景的标准空白；二是延伸T/CECS 10352-2023团体标准，将其技术要求上升为行业/国家标准，完善测试方法与全流程规范，解决团体标准约束力不足的问题；三是衔接GB/T 9755-2014等基础标准，在环保、耐候指标上保持一致性，同时细化自洁专项性能要求，体系定位：本标准属于建筑饰面材料领域的专项功能标准，位于“基础通用标准—专项功能标准—应用规范”三级体系的中间层，上承建筑装饰材料通用质量标准，下接具体施工验收应用规范，为上下游标准提供自洁功能专项技术支撑，完善绿色建筑材料标准体系架构形成完整技术指标链。</w:t>
            </w:r>
          </w:p>
          <w:p w14:paraId="663A8D23">
            <w:pPr>
              <w:snapToGrid w:val="0"/>
              <w:spacing w:line="360" w:lineRule="auto"/>
              <w:rPr>
                <w:rFonts w:hint="eastAsia" w:ascii="宋体" w:hAnsi="宋体" w:eastAsia="宋体"/>
                <w:sz w:val="18"/>
                <w:szCs w:val="18"/>
                <w:u w:val="single"/>
              </w:rPr>
            </w:pPr>
            <w:r>
              <w:rPr>
                <w:rFonts w:hint="eastAsia" w:ascii="宋体" w:hAnsi="宋体" w:eastAsia="宋体"/>
                <w:sz w:val="18"/>
                <w:szCs w:val="18"/>
                <w:u w:val="single"/>
              </w:rPr>
              <w:t>4. 指出是否发现有知识产权的问题。</w:t>
            </w:r>
          </w:p>
          <w:p w14:paraId="6F456269">
            <w:pPr>
              <w:snapToGrid w:val="0"/>
              <w:spacing w:line="360" w:lineRule="auto"/>
              <w:ind w:firstLine="360" w:firstLineChars="200"/>
              <w:rPr>
                <w:rFonts w:hint="eastAsia" w:ascii="宋体" w:hAnsi="宋体" w:eastAsia="宋体"/>
                <w:sz w:val="18"/>
                <w:szCs w:val="18"/>
              </w:rPr>
            </w:pPr>
            <w:r>
              <w:rPr>
                <w:rFonts w:ascii="宋体" w:hAnsi="宋体" w:eastAsia="宋体"/>
                <w:sz w:val="18"/>
                <w:szCs w:val="18"/>
              </w:rPr>
              <w:t>梳理现有技术与专利信息，目前</w:t>
            </w:r>
            <w:r>
              <w:rPr>
                <w:rFonts w:hint="eastAsia" w:ascii="宋体" w:hAnsi="宋体" w:eastAsia="宋体"/>
                <w:sz w:val="18"/>
                <w:szCs w:val="18"/>
              </w:rPr>
              <w:t>未发现重大知识产权冲突。</w:t>
            </w:r>
          </w:p>
          <w:p w14:paraId="6E01ECA3">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相关技术</w:t>
            </w:r>
            <w:r>
              <w:rPr>
                <w:rFonts w:ascii="宋体" w:hAnsi="宋体" w:eastAsia="宋体"/>
                <w:sz w:val="18"/>
                <w:szCs w:val="18"/>
              </w:rPr>
              <w:t>主要集中在自主研发的纳米涂层配方、光催化材料制备工艺及复合功能整合技术领域，如中建西南院的零能耗自清洁被动辐射制冷涂层技术已获得6项发明专利，属于全自主产权技术。在标准制定过程中，</w:t>
            </w:r>
            <w:r>
              <w:rPr>
                <w:rFonts w:hint="eastAsia" w:ascii="宋体" w:hAnsi="宋体" w:eastAsia="宋体"/>
                <w:sz w:val="18"/>
                <w:szCs w:val="18"/>
              </w:rPr>
              <w:t>应对</w:t>
            </w:r>
            <w:r>
              <w:rPr>
                <w:rFonts w:ascii="宋体" w:hAnsi="宋体" w:eastAsia="宋体"/>
                <w:sz w:val="18"/>
                <w:szCs w:val="18"/>
              </w:rPr>
              <w:t>知识产权风险，采取三项应对措施：一是排查核心技术专利归属，梳理专利持有人、权利范围及许可方式，避免标准条款纳入受专利限制的技术内容；二是优先采用公知公用技术，对涉及专利的技术方案，明确标注专利信息及许可使用要求，保障标准实施的合法性；三是建立知识产权沟通机制，邀请专利持有人参与标准制定，协商专利实施许可模式，确保标准推广过程中无知识产权侵权风险。</w:t>
            </w:r>
          </w:p>
        </w:tc>
      </w:tr>
      <w:tr w14:paraId="2478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14:paraId="61744424">
            <w:pPr>
              <w:pStyle w:val="4"/>
              <w:tabs>
                <w:tab w:val="clear" w:pos="4153"/>
                <w:tab w:val="clear" w:pos="8306"/>
              </w:tabs>
              <w:spacing w:line="360" w:lineRule="auto"/>
              <w:rPr>
                <w:rFonts w:hint="eastAsia" w:ascii="宋体" w:hAnsi="宋体" w:eastAsia="宋体"/>
              </w:rPr>
            </w:pPr>
            <w:r>
              <w:rPr>
                <w:rFonts w:hint="eastAsia" w:ascii="宋体" w:hAnsi="宋体" w:eastAsia="宋体"/>
              </w:rPr>
              <w:t>牵头单位</w:t>
            </w:r>
          </w:p>
        </w:tc>
        <w:tc>
          <w:tcPr>
            <w:tcW w:w="3972" w:type="dxa"/>
            <w:gridSpan w:val="5"/>
            <w:vAlign w:val="center"/>
          </w:tcPr>
          <w:p w14:paraId="446701D4">
            <w:pPr>
              <w:snapToGrid w:val="0"/>
              <w:spacing w:line="360" w:lineRule="auto"/>
              <w:jc w:val="center"/>
              <w:rPr>
                <w:rFonts w:hint="eastAsia" w:ascii="宋体" w:hAnsi="宋体" w:eastAsia="宋体"/>
                <w:sz w:val="18"/>
                <w:szCs w:val="18"/>
              </w:rPr>
            </w:pPr>
            <w:r>
              <w:rPr>
                <w:rFonts w:hint="eastAsia" w:ascii="宋体" w:hAnsi="宋体" w:eastAsia="宋体"/>
                <w:sz w:val="18"/>
                <w:szCs w:val="18"/>
              </w:rPr>
              <w:t>日照市海洋工程研究院</w:t>
            </w:r>
          </w:p>
          <w:p w14:paraId="3EBDF94F">
            <w:pPr>
              <w:snapToGrid w:val="0"/>
              <w:spacing w:line="360" w:lineRule="auto"/>
              <w:jc w:val="center"/>
              <w:rPr>
                <w:rFonts w:hint="eastAsia"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14:paraId="191216A1">
            <w:pPr>
              <w:snapToGrid w:val="0"/>
              <w:spacing w:line="360" w:lineRule="auto"/>
              <w:jc w:val="center"/>
              <w:rPr>
                <w:rFonts w:hint="eastAsia" w:ascii="宋体" w:hAnsi="宋体" w:eastAsia="宋体"/>
                <w:sz w:val="18"/>
                <w:szCs w:val="18"/>
              </w:rPr>
            </w:pPr>
            <w:r>
              <w:rPr>
                <w:rFonts w:hint="eastAsia" w:ascii="宋体" w:hAnsi="宋体" w:eastAsia="宋体"/>
                <w:sz w:val="18"/>
                <w:szCs w:val="18"/>
              </w:rPr>
              <w:t>归口管理部门</w:t>
            </w:r>
          </w:p>
        </w:tc>
        <w:tc>
          <w:tcPr>
            <w:tcW w:w="1900" w:type="dxa"/>
            <w:vAlign w:val="center"/>
          </w:tcPr>
          <w:p w14:paraId="65FAEA8A">
            <w:pPr>
              <w:snapToGrid w:val="0"/>
              <w:spacing w:line="360" w:lineRule="auto"/>
              <w:rPr>
                <w:rFonts w:hint="eastAsia" w:ascii="宋体" w:hAnsi="宋体" w:eastAsia="宋体"/>
                <w:sz w:val="18"/>
                <w:szCs w:val="18"/>
              </w:rPr>
            </w:pPr>
          </w:p>
          <w:p w14:paraId="660497FB">
            <w:pPr>
              <w:snapToGrid w:val="0"/>
              <w:rPr>
                <w:rFonts w:hint="eastAsia" w:ascii="宋体" w:hAnsi="宋体" w:eastAsia="宋体"/>
                <w:sz w:val="18"/>
                <w:szCs w:val="18"/>
              </w:rPr>
            </w:pPr>
            <w:r>
              <w:rPr>
                <w:rFonts w:hint="eastAsia" w:ascii="宋体" w:hAnsi="宋体" w:eastAsia="宋体"/>
                <w:sz w:val="18"/>
                <w:szCs w:val="18"/>
              </w:rPr>
              <w:t>（签字、盖公章）</w:t>
            </w:r>
          </w:p>
          <w:p w14:paraId="59476EF2">
            <w:pPr>
              <w:snapToGrid w:val="0"/>
              <w:rPr>
                <w:rFonts w:hint="eastAsia" w:ascii="宋体" w:hAnsi="宋体" w:eastAsia="宋体"/>
                <w:sz w:val="18"/>
                <w:szCs w:val="18"/>
              </w:rPr>
            </w:pPr>
            <w:r>
              <w:rPr>
                <w:rFonts w:hint="eastAsia" w:ascii="宋体" w:hAnsi="宋体" w:eastAsia="宋体"/>
                <w:sz w:val="18"/>
                <w:szCs w:val="18"/>
              </w:rPr>
              <w:t xml:space="preserve">    月     日</w:t>
            </w:r>
          </w:p>
        </w:tc>
      </w:tr>
    </w:tbl>
    <w:p w14:paraId="2D080B62">
      <w:pPr>
        <w:snapToGrid w:val="0"/>
        <w:spacing w:before="156" w:beforeLines="5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14:paraId="28A973FD">
      <w:pPr>
        <w:snapToGrid w:val="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14:paraId="07D36C08">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14:paraId="54E42E72">
      <w:pPr>
        <w:snapToGrid w:val="0"/>
        <w:rPr>
          <w:sz w:val="18"/>
          <w:szCs w:val="18"/>
        </w:rPr>
      </w:pPr>
    </w:p>
    <w:p w14:paraId="50D6A6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C5D314"/>
    <w:multiLevelType w:val="singleLevel"/>
    <w:tmpl w:val="9FC5D314"/>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499"/>
    <w:rsid w:val="00015F3C"/>
    <w:rsid w:val="00050C1C"/>
    <w:rsid w:val="000E54DF"/>
    <w:rsid w:val="000F4147"/>
    <w:rsid w:val="001856BA"/>
    <w:rsid w:val="0024133B"/>
    <w:rsid w:val="002F56E0"/>
    <w:rsid w:val="00314295"/>
    <w:rsid w:val="003B64D6"/>
    <w:rsid w:val="00406BFB"/>
    <w:rsid w:val="00542E17"/>
    <w:rsid w:val="00631028"/>
    <w:rsid w:val="00747499"/>
    <w:rsid w:val="0077089D"/>
    <w:rsid w:val="0077319E"/>
    <w:rsid w:val="007E2499"/>
    <w:rsid w:val="00974F98"/>
    <w:rsid w:val="00A3045F"/>
    <w:rsid w:val="00A47A75"/>
    <w:rsid w:val="00A618D0"/>
    <w:rsid w:val="00AA4AD1"/>
    <w:rsid w:val="00DD46A0"/>
    <w:rsid w:val="00E03E1D"/>
    <w:rsid w:val="00E2709B"/>
    <w:rsid w:val="00E93729"/>
    <w:rsid w:val="00EB467C"/>
    <w:rsid w:val="00F7264B"/>
    <w:rsid w:val="00FA3402"/>
    <w:rsid w:val="00FE042F"/>
    <w:rsid w:val="11A004BB"/>
    <w:rsid w:val="2B2F6981"/>
    <w:rsid w:val="427E2307"/>
    <w:rsid w:val="499248EA"/>
    <w:rsid w:val="528D7CC4"/>
    <w:rsid w:val="52C803C3"/>
    <w:rsid w:val="5C33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lang w:val="en-US" w:eastAsia="zh-CN" w:bidi="ar-SA"/>
    </w:rPr>
  </w:style>
  <w:style w:type="character" w:default="1" w:styleId="6">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annotation reference"/>
    <w:basedOn w:val="6"/>
    <w:semiHidden/>
    <w:unhideWhenUsed/>
    <w:uiPriority w:val="99"/>
    <w:rPr>
      <w:sz w:val="21"/>
      <w:szCs w:val="21"/>
    </w:rPr>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paragraph" w:customStyle="1" w:styleId="10">
    <w:name w:val="Revision"/>
    <w:hidden/>
    <w:unhideWhenUsed/>
    <w:qFormat/>
    <w:uiPriority w:val="99"/>
    <w:rPr>
      <w:rFonts w:ascii="Times New Roman" w:hAnsi="Times New Roman" w:eastAsia="仿宋_GB2312" w:cs="Times New Roman"/>
      <w:kern w:val="2"/>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5625</Words>
  <Characters>6024</Characters>
  <Lines>119</Lines>
  <Paragraphs>87</Paragraphs>
  <TotalTime>10</TotalTime>
  <ScaleCrop>false</ScaleCrop>
  <LinksUpToDate>false</LinksUpToDate>
  <CharactersWithSpaces>6090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2018-05-31T09:17:00Z</dcterms:created>
  <dc:creator>bz</dc:creator>
  <cp:lastModifiedBy>刘庆祎</cp:lastModifiedBy>
  <dcterms:modified xsi:type="dcterms:W3CDTF">2026-03-29T11:10:26Z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eyJoZGlkIjoiYzRhMmNjNzQyNzY1NzZmNTk0MmM5MzE2NWRiZWEwOWUiLCJ1c2VySWQiOiI2MTQwNTI1NjEifQ==</vt:lpwstr>
  </property>
  <property fmtid="{D5CDD505-2E9C-101B-9397-08002B2CF9AE}" pid="3" name="KSOProductBuildVer">
    <vt:lpwstr>2052-12.1.0.25222</vt:lpwstr>
  </property>
  <property fmtid="{D5CDD505-2E9C-101B-9397-08002B2CF9AE}" pid="4" name="ICV">
    <vt:lpwstr>7FDBF4E4BA5A44AEA996DD394C42A60E_13</vt:lpwstr>
  </property>
</Properties>
</file>