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9BC14">
      <w:pPr>
        <w:snapToGrid w:val="0"/>
        <w:spacing w:line="360" w:lineRule="auto"/>
        <w:rPr>
          <w:rFonts w:ascii="仿宋" w:hAnsi="仿宋" w:eastAsia="仿宋"/>
          <w:b/>
          <w:szCs w:val="28"/>
        </w:rPr>
      </w:pPr>
      <w:r>
        <w:rPr>
          <w:rFonts w:hint="eastAsia" w:ascii="仿宋" w:hAnsi="仿宋" w:eastAsia="仿宋"/>
          <w:b/>
          <w:szCs w:val="28"/>
        </w:rPr>
        <w:t>附表1</w:t>
      </w:r>
    </w:p>
    <w:p w14:paraId="71610CFA">
      <w:pPr>
        <w:snapToGrid w:val="0"/>
        <w:spacing w:line="360" w:lineRule="auto"/>
        <w:jc w:val="center"/>
        <w:rPr>
          <w:rFonts w:ascii="宋体" w:hAnsi="宋体" w:eastAsia="宋体"/>
          <w:b/>
          <w:color w:val="000000" w:themeColor="text1"/>
          <w:sz w:val="32"/>
          <w:szCs w:val="32"/>
        </w:rPr>
      </w:pPr>
      <w:r>
        <w:rPr>
          <w:rFonts w:hint="eastAsia" w:ascii="宋体" w:hAnsi="宋体" w:eastAsia="宋体"/>
          <w:b/>
          <w:color w:val="000000" w:themeColor="text1"/>
          <w:sz w:val="32"/>
          <w:szCs w:val="32"/>
        </w:rPr>
        <w:t>协会标准项目建议书</w:t>
      </w:r>
    </w:p>
    <w:tbl>
      <w:tblPr>
        <w:tblStyle w:val="4"/>
        <w:tblW w:w="9740" w:type="dxa"/>
        <w:jc w:val="center"/>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14:paraId="18240C62">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14:paraId="333BB820">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14:paraId="15136D48">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086" w:type="dxa"/>
            <w:gridSpan w:val="4"/>
            <w:vAlign w:val="center"/>
          </w:tcPr>
          <w:p w14:paraId="25542BD7">
            <w:pPr>
              <w:snapToGrid w:val="0"/>
              <w:spacing w:line="360" w:lineRule="auto"/>
              <w:rPr>
                <w:rFonts w:ascii="宋体" w:hAnsi="宋体" w:eastAsia="宋体"/>
                <w:sz w:val="18"/>
                <w:szCs w:val="18"/>
              </w:rPr>
            </w:pPr>
            <w:r>
              <w:rPr>
                <w:rFonts w:hint="eastAsia" w:ascii="宋体" w:hAnsi="宋体" w:eastAsia="宋体"/>
                <w:sz w:val="18"/>
                <w:szCs w:val="18"/>
              </w:rPr>
              <w:t>结构工程用铁铝酸盐水泥</w:t>
            </w:r>
          </w:p>
        </w:tc>
        <w:tc>
          <w:tcPr>
            <w:tcW w:w="1843" w:type="dxa"/>
            <w:gridSpan w:val="2"/>
            <w:vAlign w:val="center"/>
          </w:tcPr>
          <w:p w14:paraId="292291ED">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14:paraId="2E44FB21">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14:paraId="2762E626">
            <w:pPr>
              <w:snapToGrid w:val="0"/>
              <w:spacing w:line="360" w:lineRule="auto"/>
              <w:rPr>
                <w:rFonts w:ascii="宋体" w:hAnsi="宋体" w:eastAsia="宋体"/>
                <w:sz w:val="18"/>
                <w:szCs w:val="18"/>
              </w:rPr>
            </w:pPr>
            <w:r>
              <w:rPr>
                <w:sz w:val="18"/>
                <w:szCs w:val="18"/>
              </w:rPr>
              <w:t>Ferroaluminate cement for structural engineering</w:t>
            </w:r>
          </w:p>
        </w:tc>
      </w:tr>
      <w:tr w14:paraId="118FBE06">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tcBorders>
              <w:bottom w:val="single" w:color="auto" w:sz="2" w:space="0"/>
            </w:tcBorders>
            <w:vAlign w:val="center"/>
          </w:tcPr>
          <w:p w14:paraId="39FBD781">
            <w:pPr>
              <w:snapToGrid w:val="0"/>
              <w:spacing w:line="360" w:lineRule="auto"/>
              <w:jc w:val="center"/>
              <w:rPr>
                <w:rFonts w:ascii="宋体" w:hAnsi="宋体" w:eastAsia="宋体"/>
                <w:sz w:val="18"/>
                <w:szCs w:val="18"/>
              </w:rPr>
            </w:pPr>
            <w:r>
              <w:rPr>
                <w:rFonts w:hint="eastAsia" w:ascii="宋体" w:hAnsi="宋体" w:eastAsia="宋体"/>
                <w:sz w:val="18"/>
                <w:szCs w:val="18"/>
              </w:rPr>
              <w:t>制定或修订</w:t>
            </w:r>
          </w:p>
        </w:tc>
        <w:tc>
          <w:tcPr>
            <w:tcW w:w="1618" w:type="dxa"/>
            <w:gridSpan w:val="2"/>
            <w:tcBorders>
              <w:bottom w:val="single" w:color="auto" w:sz="2" w:space="0"/>
            </w:tcBorders>
            <w:vAlign w:val="center"/>
          </w:tcPr>
          <w:p w14:paraId="0D8749C8">
            <w:pPr>
              <w:snapToGrid w:val="0"/>
              <w:spacing w:line="360" w:lineRule="auto"/>
              <w:rPr>
                <w:rFonts w:ascii="宋体" w:hAnsi="宋体" w:eastAsia="宋体"/>
                <w:sz w:val="18"/>
                <w:szCs w:val="18"/>
              </w:rPr>
            </w:pPr>
            <w:r>
              <w:rPr>
                <w:rFonts w:ascii="Segoe UI Symbol" w:hAnsi="Segoe UI Symbol" w:eastAsia="宋体" w:cs="Segoe UI Symbol"/>
                <w:sz w:val="18"/>
                <w:szCs w:val="18"/>
              </w:rPr>
              <w:t>☑</w:t>
            </w:r>
            <w:r>
              <w:rPr>
                <w:rFonts w:hint="eastAsia" w:ascii="宋体" w:hAnsi="宋体" w:eastAsia="宋体"/>
                <w:sz w:val="18"/>
                <w:szCs w:val="18"/>
              </w:rPr>
              <w:t xml:space="preserve"> 制定</w:t>
            </w:r>
          </w:p>
        </w:tc>
        <w:tc>
          <w:tcPr>
            <w:tcW w:w="1468" w:type="dxa"/>
            <w:gridSpan w:val="2"/>
            <w:tcBorders>
              <w:bottom w:val="single" w:color="auto" w:sz="2" w:space="0"/>
            </w:tcBorders>
            <w:vAlign w:val="center"/>
          </w:tcPr>
          <w:p w14:paraId="1A262FF0">
            <w:pPr>
              <w:snapToGrid w:val="0"/>
              <w:spacing w:line="360" w:lineRule="auto"/>
              <w:rPr>
                <w:rFonts w:ascii="宋体" w:hAnsi="宋体" w:eastAsia="宋体"/>
                <w:sz w:val="18"/>
                <w:szCs w:val="18"/>
              </w:rPr>
            </w:pPr>
            <w:r>
              <w:rPr>
                <w:rFonts w:hint="eastAsia" w:ascii="宋体" w:hAnsi="宋体" w:eastAsia="宋体"/>
                <w:sz w:val="18"/>
                <w:szCs w:val="18"/>
              </w:rPr>
              <w:t>□ 修订</w:t>
            </w:r>
          </w:p>
        </w:tc>
        <w:tc>
          <w:tcPr>
            <w:tcW w:w="1843" w:type="dxa"/>
            <w:gridSpan w:val="2"/>
            <w:tcBorders>
              <w:bottom w:val="single" w:color="auto" w:sz="2" w:space="0"/>
            </w:tcBorders>
            <w:vAlign w:val="center"/>
          </w:tcPr>
          <w:p w14:paraId="4609B918">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tcBorders>
              <w:bottom w:val="single" w:color="auto" w:sz="2" w:space="0"/>
            </w:tcBorders>
            <w:vAlign w:val="center"/>
          </w:tcPr>
          <w:p w14:paraId="7E0E9C51">
            <w:pPr>
              <w:snapToGrid w:val="0"/>
              <w:spacing w:line="360" w:lineRule="auto"/>
              <w:rPr>
                <w:rFonts w:ascii="宋体" w:hAnsi="宋体" w:eastAsia="宋体"/>
                <w:sz w:val="18"/>
                <w:szCs w:val="18"/>
              </w:rPr>
            </w:pPr>
          </w:p>
        </w:tc>
      </w:tr>
      <w:tr w14:paraId="5DEB27AF">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tcBorders>
              <w:top w:val="single" w:color="auto" w:sz="2" w:space="0"/>
              <w:left w:val="single" w:color="auto" w:sz="2" w:space="0"/>
              <w:bottom w:val="single" w:color="auto" w:sz="2" w:space="0"/>
            </w:tcBorders>
            <w:vAlign w:val="center"/>
          </w:tcPr>
          <w:p w14:paraId="5279A38D">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078" w:type="dxa"/>
            <w:tcBorders>
              <w:top w:val="single" w:color="auto" w:sz="2" w:space="0"/>
              <w:bottom w:val="single" w:color="auto" w:sz="2" w:space="0"/>
            </w:tcBorders>
            <w:vAlign w:val="center"/>
          </w:tcPr>
          <w:p w14:paraId="1F843AFB">
            <w:pPr>
              <w:snapToGrid w:val="0"/>
              <w:spacing w:line="360" w:lineRule="auto"/>
              <w:rPr>
                <w:rFonts w:ascii="宋体" w:hAnsi="宋体" w:eastAsia="宋体"/>
                <w:sz w:val="18"/>
                <w:szCs w:val="18"/>
              </w:rPr>
            </w:pPr>
            <w:r>
              <w:rPr>
                <w:rFonts w:hint="eastAsia" w:ascii="宋体" w:hAnsi="宋体" w:eastAsia="宋体"/>
                <w:sz w:val="18"/>
                <w:szCs w:val="18"/>
              </w:rPr>
              <w:t>□ IDT</w:t>
            </w:r>
          </w:p>
        </w:tc>
        <w:tc>
          <w:tcPr>
            <w:tcW w:w="1080" w:type="dxa"/>
            <w:gridSpan w:val="2"/>
            <w:tcBorders>
              <w:top w:val="single" w:color="auto" w:sz="2" w:space="0"/>
              <w:bottom w:val="single" w:color="auto" w:sz="2" w:space="0"/>
            </w:tcBorders>
            <w:vAlign w:val="center"/>
          </w:tcPr>
          <w:p w14:paraId="2ED77219">
            <w:pPr>
              <w:snapToGrid w:val="0"/>
              <w:spacing w:line="360" w:lineRule="auto"/>
              <w:rPr>
                <w:rFonts w:ascii="宋体" w:hAnsi="宋体" w:eastAsia="宋体"/>
                <w:sz w:val="18"/>
                <w:szCs w:val="18"/>
              </w:rPr>
            </w:pPr>
            <w:r>
              <w:rPr>
                <w:rFonts w:hint="eastAsia" w:ascii="宋体" w:hAnsi="宋体" w:eastAsia="宋体"/>
                <w:sz w:val="18"/>
                <w:szCs w:val="18"/>
              </w:rPr>
              <w:t>□ MOD</w:t>
            </w:r>
          </w:p>
        </w:tc>
        <w:tc>
          <w:tcPr>
            <w:tcW w:w="928" w:type="dxa"/>
            <w:tcBorders>
              <w:top w:val="single" w:color="auto" w:sz="2" w:space="0"/>
              <w:bottom w:val="single" w:color="auto" w:sz="2" w:space="0"/>
            </w:tcBorders>
            <w:vAlign w:val="center"/>
          </w:tcPr>
          <w:p w14:paraId="1A40E46E">
            <w:pPr>
              <w:snapToGrid w:val="0"/>
              <w:spacing w:line="360" w:lineRule="auto"/>
              <w:rPr>
                <w:rFonts w:ascii="宋体" w:hAnsi="宋体" w:eastAsia="宋体"/>
                <w:sz w:val="18"/>
                <w:szCs w:val="18"/>
              </w:rPr>
            </w:pPr>
            <w:r>
              <w:rPr>
                <w:rFonts w:hint="eastAsia" w:ascii="宋体" w:hAnsi="宋体" w:eastAsia="宋体"/>
                <w:sz w:val="18"/>
                <w:szCs w:val="18"/>
              </w:rPr>
              <w:t>□ NEQ</w:t>
            </w:r>
          </w:p>
        </w:tc>
        <w:tc>
          <w:tcPr>
            <w:tcW w:w="1843" w:type="dxa"/>
            <w:gridSpan w:val="2"/>
            <w:tcBorders>
              <w:top w:val="single" w:color="auto" w:sz="2" w:space="0"/>
              <w:bottom w:val="single" w:color="auto" w:sz="2" w:space="0"/>
            </w:tcBorders>
            <w:vAlign w:val="center"/>
          </w:tcPr>
          <w:p w14:paraId="4687FE0B">
            <w:pPr>
              <w:snapToGrid w:val="0"/>
              <w:spacing w:line="360" w:lineRule="auto"/>
              <w:jc w:val="center"/>
              <w:rPr>
                <w:rFonts w:ascii="宋体" w:hAnsi="宋体" w:eastAsia="宋体"/>
                <w:sz w:val="18"/>
                <w:szCs w:val="18"/>
              </w:rPr>
            </w:pPr>
            <w:r>
              <w:rPr>
                <w:rFonts w:hint="eastAsia" w:ascii="宋体" w:hAnsi="宋体" w:eastAsia="宋体"/>
                <w:sz w:val="18"/>
                <w:szCs w:val="18"/>
              </w:rPr>
              <w:t>采标号</w:t>
            </w:r>
          </w:p>
        </w:tc>
        <w:tc>
          <w:tcPr>
            <w:tcW w:w="2644" w:type="dxa"/>
            <w:gridSpan w:val="2"/>
            <w:tcBorders>
              <w:top w:val="single" w:color="auto" w:sz="2" w:space="0"/>
              <w:bottom w:val="single" w:color="auto" w:sz="2" w:space="0"/>
              <w:right w:val="single" w:color="auto" w:sz="2" w:space="0"/>
            </w:tcBorders>
            <w:vAlign w:val="center"/>
          </w:tcPr>
          <w:p w14:paraId="6A29BAAB">
            <w:pPr>
              <w:snapToGrid w:val="0"/>
              <w:spacing w:line="360" w:lineRule="auto"/>
              <w:rPr>
                <w:rFonts w:ascii="宋体" w:hAnsi="宋体" w:eastAsia="宋体"/>
                <w:sz w:val="18"/>
                <w:szCs w:val="18"/>
              </w:rPr>
            </w:pPr>
          </w:p>
        </w:tc>
      </w:tr>
      <w:tr w14:paraId="27BF6335">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tcBorders>
              <w:top w:val="single" w:color="auto" w:sz="2" w:space="0"/>
              <w:left w:val="single" w:color="auto" w:sz="2" w:space="0"/>
              <w:bottom w:val="single" w:color="auto" w:sz="2" w:space="0"/>
            </w:tcBorders>
            <w:vAlign w:val="center"/>
          </w:tcPr>
          <w:p w14:paraId="215E3E31">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国际标准名称（中文）</w:t>
            </w:r>
          </w:p>
        </w:tc>
        <w:tc>
          <w:tcPr>
            <w:tcW w:w="3086" w:type="dxa"/>
            <w:gridSpan w:val="4"/>
            <w:tcBorders>
              <w:top w:val="single" w:color="auto" w:sz="2" w:space="0"/>
              <w:bottom w:val="single" w:color="auto" w:sz="2" w:space="0"/>
            </w:tcBorders>
            <w:vAlign w:val="center"/>
          </w:tcPr>
          <w:p w14:paraId="37849A92">
            <w:pPr>
              <w:snapToGrid w:val="0"/>
              <w:spacing w:line="360" w:lineRule="auto"/>
              <w:rPr>
                <w:rFonts w:ascii="宋体" w:hAnsi="宋体" w:eastAsia="宋体"/>
                <w:sz w:val="18"/>
                <w:szCs w:val="18"/>
              </w:rPr>
            </w:pPr>
          </w:p>
        </w:tc>
        <w:tc>
          <w:tcPr>
            <w:tcW w:w="1843" w:type="dxa"/>
            <w:gridSpan w:val="2"/>
            <w:tcBorders>
              <w:top w:val="single" w:color="auto" w:sz="2" w:space="0"/>
              <w:bottom w:val="single" w:color="auto" w:sz="2" w:space="0"/>
            </w:tcBorders>
            <w:vAlign w:val="center"/>
          </w:tcPr>
          <w:p w14:paraId="752A926D">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国际标准名称（英文）</w:t>
            </w:r>
          </w:p>
        </w:tc>
        <w:tc>
          <w:tcPr>
            <w:tcW w:w="2644" w:type="dxa"/>
            <w:gridSpan w:val="2"/>
            <w:tcBorders>
              <w:top w:val="single" w:color="auto" w:sz="2" w:space="0"/>
              <w:bottom w:val="single" w:color="auto" w:sz="2" w:space="0"/>
              <w:right w:val="single" w:color="auto" w:sz="2" w:space="0"/>
            </w:tcBorders>
            <w:vAlign w:val="center"/>
          </w:tcPr>
          <w:p w14:paraId="7D40530F">
            <w:pPr>
              <w:snapToGrid w:val="0"/>
              <w:spacing w:line="360" w:lineRule="auto"/>
              <w:rPr>
                <w:rFonts w:ascii="宋体" w:hAnsi="宋体" w:eastAsia="宋体"/>
                <w:sz w:val="18"/>
                <w:szCs w:val="18"/>
              </w:rPr>
            </w:pPr>
          </w:p>
        </w:tc>
      </w:tr>
      <w:tr w14:paraId="69B3736E">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tcBorders>
              <w:top w:val="single" w:color="auto" w:sz="2" w:space="0"/>
              <w:left w:val="single" w:color="auto" w:sz="2" w:space="0"/>
              <w:bottom w:val="single" w:color="auto" w:sz="2" w:space="0"/>
            </w:tcBorders>
            <w:vAlign w:val="center"/>
          </w:tcPr>
          <w:p w14:paraId="744DAC5C">
            <w:pPr>
              <w:snapToGrid w:val="0"/>
              <w:spacing w:line="360" w:lineRule="auto"/>
              <w:jc w:val="center"/>
              <w:rPr>
                <w:rFonts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086" w:type="dxa"/>
            <w:gridSpan w:val="4"/>
            <w:tcBorders>
              <w:top w:val="single" w:color="auto" w:sz="2" w:space="0"/>
              <w:bottom w:val="single" w:color="auto" w:sz="2" w:space="0"/>
            </w:tcBorders>
            <w:vAlign w:val="center"/>
          </w:tcPr>
          <w:p w14:paraId="62DA49E5">
            <w:pPr>
              <w:snapToGrid w:val="0"/>
              <w:spacing w:line="360" w:lineRule="auto"/>
              <w:rPr>
                <w:rFonts w:ascii="宋体" w:hAnsi="宋体" w:eastAsia="宋体"/>
                <w:sz w:val="18"/>
                <w:szCs w:val="18"/>
              </w:rPr>
            </w:pPr>
            <w:r>
              <w:rPr>
                <w:rFonts w:hint="eastAsia"/>
                <w:sz w:val="18"/>
              </w:rPr>
              <w:t>9</w:t>
            </w:r>
            <w:r>
              <w:rPr>
                <w:sz w:val="18"/>
              </w:rPr>
              <w:t>1.100.01</w:t>
            </w:r>
          </w:p>
        </w:tc>
        <w:tc>
          <w:tcPr>
            <w:tcW w:w="1843" w:type="dxa"/>
            <w:gridSpan w:val="2"/>
            <w:tcBorders>
              <w:top w:val="single" w:color="auto" w:sz="2" w:space="0"/>
              <w:bottom w:val="single" w:color="auto" w:sz="2" w:space="0"/>
            </w:tcBorders>
            <w:vAlign w:val="center"/>
          </w:tcPr>
          <w:p w14:paraId="6B51B56C">
            <w:pPr>
              <w:snapToGrid w:val="0"/>
              <w:spacing w:line="360" w:lineRule="auto"/>
              <w:jc w:val="center"/>
              <w:rPr>
                <w:rFonts w:ascii="宋体" w:hAnsi="宋体" w:eastAsia="宋体"/>
                <w:sz w:val="18"/>
                <w:szCs w:val="18"/>
              </w:rPr>
            </w:pPr>
            <w:r>
              <w:rPr>
                <w:rFonts w:hint="eastAsia" w:ascii="宋体" w:hAnsi="宋体" w:eastAsia="宋体"/>
                <w:sz w:val="18"/>
                <w:szCs w:val="18"/>
              </w:rPr>
              <w:t>中国标准分类号</w:t>
            </w:r>
          </w:p>
        </w:tc>
        <w:tc>
          <w:tcPr>
            <w:tcW w:w="2644" w:type="dxa"/>
            <w:gridSpan w:val="2"/>
            <w:tcBorders>
              <w:top w:val="single" w:color="auto" w:sz="2" w:space="0"/>
              <w:bottom w:val="single" w:color="auto" w:sz="2" w:space="0"/>
              <w:right w:val="single" w:color="auto" w:sz="2" w:space="0"/>
            </w:tcBorders>
            <w:vAlign w:val="center"/>
          </w:tcPr>
          <w:p w14:paraId="38A9EB44">
            <w:pPr>
              <w:snapToGrid w:val="0"/>
              <w:spacing w:line="360" w:lineRule="auto"/>
              <w:rPr>
                <w:rFonts w:ascii="宋体" w:hAnsi="宋体" w:eastAsia="宋体"/>
                <w:sz w:val="18"/>
                <w:szCs w:val="18"/>
              </w:rPr>
            </w:pPr>
            <w:r>
              <w:rPr>
                <w:sz w:val="18"/>
              </w:rPr>
              <w:t>Q11</w:t>
            </w:r>
          </w:p>
        </w:tc>
      </w:tr>
      <w:tr w14:paraId="562B3E56">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tcBorders>
              <w:top w:val="single" w:color="auto" w:sz="2" w:space="0"/>
              <w:left w:val="single" w:color="auto" w:sz="2" w:space="0"/>
              <w:bottom w:val="single" w:color="auto" w:sz="2" w:space="0"/>
            </w:tcBorders>
            <w:vAlign w:val="center"/>
          </w:tcPr>
          <w:p w14:paraId="24603A19">
            <w:pPr>
              <w:snapToGrid w:val="0"/>
              <w:spacing w:line="360" w:lineRule="auto"/>
              <w:jc w:val="center"/>
              <w:rPr>
                <w:rFonts w:ascii="宋体" w:hAnsi="宋体" w:eastAsia="宋体"/>
                <w:sz w:val="18"/>
                <w:szCs w:val="18"/>
              </w:rPr>
            </w:pPr>
            <w:r>
              <w:rPr>
                <w:rFonts w:hint="eastAsia" w:ascii="宋体" w:hAnsi="宋体" w:eastAsia="宋体"/>
                <w:sz w:val="18"/>
                <w:szCs w:val="18"/>
              </w:rPr>
              <w:t>标准主要起草单位</w:t>
            </w:r>
          </w:p>
        </w:tc>
        <w:tc>
          <w:tcPr>
            <w:tcW w:w="3086" w:type="dxa"/>
            <w:gridSpan w:val="4"/>
            <w:tcBorders>
              <w:top w:val="single" w:color="auto" w:sz="2" w:space="0"/>
              <w:bottom w:val="single" w:color="auto" w:sz="2" w:space="0"/>
            </w:tcBorders>
            <w:vAlign w:val="center"/>
          </w:tcPr>
          <w:p w14:paraId="6258CB82">
            <w:pPr>
              <w:snapToGrid w:val="0"/>
              <w:jc w:val="center"/>
              <w:rPr>
                <w:rFonts w:ascii="宋体" w:hAnsi="宋体" w:eastAsia="宋体"/>
                <w:sz w:val="18"/>
                <w:szCs w:val="18"/>
              </w:rPr>
            </w:pPr>
            <w:r>
              <w:rPr>
                <w:rFonts w:hint="eastAsia" w:ascii="宋体" w:hAnsi="宋体" w:eastAsia="宋体"/>
                <w:sz w:val="18"/>
                <w:szCs w:val="18"/>
              </w:rPr>
              <w:t>建筑材料工业技术监督研究中心</w:t>
            </w:r>
          </w:p>
          <w:p w14:paraId="78286322">
            <w:pPr>
              <w:snapToGrid w:val="0"/>
              <w:jc w:val="center"/>
              <w:rPr>
                <w:rFonts w:ascii="宋体" w:hAnsi="宋体" w:eastAsia="宋体"/>
                <w:sz w:val="18"/>
                <w:szCs w:val="18"/>
              </w:rPr>
            </w:pPr>
            <w:r>
              <w:rPr>
                <w:rFonts w:hint="eastAsia" w:ascii="宋体" w:hAnsi="宋体" w:eastAsia="宋体"/>
                <w:sz w:val="18"/>
                <w:szCs w:val="18"/>
              </w:rPr>
              <w:t>中核国电漳州能源有限公司</w:t>
            </w:r>
          </w:p>
          <w:p w14:paraId="24A75CA1">
            <w:pPr>
              <w:snapToGrid w:val="0"/>
              <w:jc w:val="center"/>
              <w:rPr>
                <w:rFonts w:ascii="宋体" w:hAnsi="宋体" w:eastAsia="宋体"/>
                <w:sz w:val="18"/>
                <w:szCs w:val="18"/>
              </w:rPr>
            </w:pPr>
            <w:r>
              <w:rPr>
                <w:rFonts w:hint="eastAsia" w:ascii="宋体" w:hAnsi="宋体" w:eastAsia="宋体"/>
                <w:sz w:val="18"/>
                <w:szCs w:val="18"/>
              </w:rPr>
              <w:t>建筑材料工业技术情报研究所</w:t>
            </w:r>
          </w:p>
          <w:p w14:paraId="43995B03">
            <w:pPr>
              <w:snapToGrid w:val="0"/>
              <w:jc w:val="center"/>
              <w:rPr>
                <w:rFonts w:ascii="宋体" w:hAnsi="宋体" w:eastAsia="宋体"/>
                <w:sz w:val="18"/>
                <w:szCs w:val="18"/>
              </w:rPr>
            </w:pPr>
            <w:r>
              <w:rPr>
                <w:rFonts w:hint="eastAsia" w:ascii="宋体" w:hAnsi="宋体" w:eastAsia="宋体"/>
                <w:sz w:val="18"/>
                <w:szCs w:val="18"/>
              </w:rPr>
              <w:t>广西云燕特种水泥建材有限公司</w:t>
            </w:r>
          </w:p>
          <w:p w14:paraId="1AA1A395">
            <w:pPr>
              <w:snapToGrid w:val="0"/>
              <w:jc w:val="center"/>
              <w:rPr>
                <w:rFonts w:ascii="宋体" w:hAnsi="宋体" w:eastAsia="宋体"/>
                <w:sz w:val="18"/>
                <w:szCs w:val="18"/>
              </w:rPr>
            </w:pPr>
            <w:r>
              <w:rPr>
                <w:rFonts w:hint="eastAsia" w:ascii="宋体" w:hAnsi="宋体" w:eastAsia="宋体"/>
                <w:sz w:val="18"/>
                <w:szCs w:val="18"/>
              </w:rPr>
              <w:t>宜城安达特种水泥有限公司</w:t>
            </w:r>
          </w:p>
        </w:tc>
        <w:tc>
          <w:tcPr>
            <w:tcW w:w="1843" w:type="dxa"/>
            <w:gridSpan w:val="2"/>
            <w:tcBorders>
              <w:top w:val="single" w:color="auto" w:sz="2" w:space="0"/>
              <w:bottom w:val="single" w:color="auto" w:sz="2" w:space="0"/>
            </w:tcBorders>
            <w:vAlign w:val="center"/>
          </w:tcPr>
          <w:p w14:paraId="460D3E15">
            <w:pPr>
              <w:snapToGrid w:val="0"/>
              <w:spacing w:line="360" w:lineRule="auto"/>
              <w:jc w:val="center"/>
              <w:rPr>
                <w:rFonts w:ascii="宋体" w:hAnsi="宋体" w:eastAsia="宋体"/>
                <w:sz w:val="18"/>
                <w:szCs w:val="18"/>
              </w:rPr>
            </w:pPr>
            <w:r>
              <w:rPr>
                <w:rFonts w:hint="eastAsia" w:ascii="宋体" w:hAnsi="宋体" w:eastAsia="宋体"/>
                <w:sz w:val="18"/>
                <w:szCs w:val="18"/>
              </w:rPr>
              <w:t>计划起止时间</w:t>
            </w:r>
          </w:p>
        </w:tc>
        <w:tc>
          <w:tcPr>
            <w:tcW w:w="2644" w:type="dxa"/>
            <w:gridSpan w:val="2"/>
            <w:tcBorders>
              <w:top w:val="single" w:color="auto" w:sz="2" w:space="0"/>
              <w:bottom w:val="single" w:color="auto" w:sz="2" w:space="0"/>
              <w:right w:val="single" w:color="auto" w:sz="2" w:space="0"/>
            </w:tcBorders>
            <w:vAlign w:val="center"/>
          </w:tcPr>
          <w:p w14:paraId="051372E4">
            <w:pPr>
              <w:snapToGrid w:val="0"/>
              <w:spacing w:line="360" w:lineRule="auto"/>
              <w:jc w:val="center"/>
              <w:rPr>
                <w:rFonts w:eastAsia="宋体"/>
                <w:sz w:val="18"/>
                <w:szCs w:val="18"/>
              </w:rPr>
            </w:pPr>
            <w:r>
              <w:rPr>
                <w:rFonts w:eastAsia="宋体"/>
                <w:sz w:val="18"/>
                <w:szCs w:val="18"/>
              </w:rPr>
              <w:t>2026.4-2027.12</w:t>
            </w:r>
          </w:p>
        </w:tc>
      </w:tr>
      <w:tr w14:paraId="078AA366">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2167" w:type="dxa"/>
            <w:tcBorders>
              <w:top w:val="single" w:color="auto" w:sz="2" w:space="0"/>
              <w:left w:val="single" w:color="auto" w:sz="2" w:space="0"/>
              <w:bottom w:val="single" w:color="auto" w:sz="2" w:space="0"/>
            </w:tcBorders>
            <w:vAlign w:val="center"/>
          </w:tcPr>
          <w:p w14:paraId="54035B35">
            <w:pPr>
              <w:snapToGrid w:val="0"/>
              <w:spacing w:line="360" w:lineRule="auto"/>
              <w:jc w:val="center"/>
              <w:rPr>
                <w:rFonts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14:paraId="1FCEE4A9">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tcBorders>
              <w:top w:val="single" w:color="auto" w:sz="2" w:space="0"/>
              <w:bottom w:val="single" w:color="auto" w:sz="2" w:space="0"/>
              <w:right w:val="single" w:color="auto" w:sz="2" w:space="0"/>
            </w:tcBorders>
            <w:vAlign w:val="center"/>
          </w:tcPr>
          <w:p w14:paraId="72F1D44C">
            <w:pPr>
              <w:snapToGrid w:val="0"/>
              <w:spacing w:line="360" w:lineRule="auto"/>
              <w:rPr>
                <w:rFonts w:ascii="宋体" w:hAnsi="宋体" w:eastAsia="宋体"/>
                <w:sz w:val="18"/>
                <w:szCs w:val="18"/>
                <w:u w:val="single"/>
              </w:rPr>
            </w:pPr>
            <w:r>
              <w:rPr>
                <w:rFonts w:hint="eastAsia" w:ascii="宋体" w:hAnsi="宋体" w:eastAsia="宋体"/>
                <w:sz w:val="18"/>
                <w:szCs w:val="18"/>
                <w:u w:val="single"/>
              </w:rPr>
              <w:t>指出标准项目涉及的方面，期望解决的问题；</w:t>
            </w:r>
          </w:p>
          <w:p w14:paraId="7E06B093">
            <w:pPr>
              <w:ind w:firstLine="360" w:firstLineChars="200"/>
              <w:rPr>
                <w:rFonts w:eastAsia="宋体"/>
                <w:sz w:val="18"/>
                <w:szCs w:val="18"/>
              </w:rPr>
            </w:pPr>
            <w:r>
              <w:rPr>
                <w:rFonts w:hint="eastAsia" w:eastAsia="宋体"/>
                <w:sz w:val="18"/>
                <w:szCs w:val="18"/>
              </w:rPr>
              <w:t>铁铝酸盐水泥也称高铁硫铝酸盐水泥，是20世纪80年代我国自主发明、拥有完全自主知识产权且首先实现工业化生产和工程应用的水泥系列品种。铁铝酸盐水泥与同样是我国自主发明的硫铝酸盐水泥合称为硫铁铝酸盐水泥（也叫第三系列水泥），是继硅酸盐水泥和铝酸盐水泥后第三个为全世界所公认水泥系列。与传统硅酸盐水泥相比，硫铁酸盐水泥生产过程中具有显著地低能耗低排放特征，同等生产工艺条件下水泥熟料生产过程中能耗和CO</w:t>
            </w:r>
            <w:r>
              <w:rPr>
                <w:rFonts w:hint="eastAsia" w:eastAsia="宋体"/>
                <w:sz w:val="18"/>
                <w:szCs w:val="18"/>
                <w:vertAlign w:val="subscript"/>
              </w:rPr>
              <w:t>2</w:t>
            </w:r>
            <w:r>
              <w:rPr>
                <w:rFonts w:hint="eastAsia" w:eastAsia="宋体"/>
                <w:sz w:val="18"/>
                <w:szCs w:val="18"/>
              </w:rPr>
              <w:t>排放分别降低约30%和40%。在全球能源紧张以及碳减排的背景下，硫铁酸盐水泥成为全球水泥行业重点关注和研究的热点。硫铁铝酸盐系列水泥在我国已经率先形成规模化的生产和应用，年生产和应用量为120万～150万吨。国外的大型水泥集团如拉法基豪瑞水泥集团、海德堡水泥集团等也正在推进硫铁铝酸盐水泥的研究和工业化。</w:t>
            </w:r>
          </w:p>
          <w:p w14:paraId="61B0F129">
            <w:pPr>
              <w:ind w:firstLine="360" w:firstLineChars="200"/>
              <w:rPr>
                <w:rFonts w:eastAsia="宋体"/>
                <w:sz w:val="18"/>
                <w:szCs w:val="18"/>
              </w:rPr>
            </w:pPr>
            <w:r>
              <w:rPr>
                <w:rFonts w:hint="eastAsia" w:eastAsia="宋体"/>
                <w:sz w:val="18"/>
                <w:szCs w:val="18"/>
              </w:rPr>
              <w:t>铁铝酸盐水泥混凝土具有独特的性能，主要表现在早强、抗冻、耐腐蚀、低收缩、抗渗、耐冲磨等方面具有优异的性能，使其不仅在常规建设领域可以替代部分普通水泥，更重要的是在海洋工程等耐腐蚀环境工程、冬季施工等低温工程、抢修抢建等快速施工工程等特殊工程领域有着较多的应用和巨大的发展潜力。因此，发展和推广铁铝酸盐水泥对于提升我国在海洋工程、西部盐碱环境建设工程、国防工程等建设能力和工程质量有着十分重要的作用。</w:t>
            </w:r>
          </w:p>
          <w:p w14:paraId="5C20922D">
            <w:pPr>
              <w:ind w:firstLine="360" w:firstLineChars="200"/>
              <w:rPr>
                <w:rFonts w:eastAsia="宋体"/>
                <w:sz w:val="18"/>
                <w:szCs w:val="18"/>
              </w:rPr>
            </w:pPr>
            <w:r>
              <w:rPr>
                <w:rFonts w:hint="eastAsia" w:eastAsia="宋体"/>
                <w:sz w:val="18"/>
                <w:szCs w:val="18"/>
              </w:rPr>
              <w:t>目前，铁铝酸盐水泥方面已有国标GB/T 45920 《铁铝酸盐水泥》、行标</w:t>
            </w:r>
            <w:r>
              <w:rPr>
                <w:rFonts w:eastAsia="宋体"/>
                <w:sz w:val="18"/>
                <w:szCs w:val="18"/>
              </w:rPr>
              <w:t>JC/T 933</w:t>
            </w:r>
            <w:r>
              <w:rPr>
                <w:rFonts w:hint="eastAsia" w:eastAsia="宋体"/>
                <w:sz w:val="18"/>
                <w:szCs w:val="18"/>
              </w:rPr>
              <w:t>《快硬高铁硫铝酸盐水泥》和</w:t>
            </w:r>
            <w:r>
              <w:rPr>
                <w:rFonts w:eastAsia="宋体"/>
                <w:sz w:val="18"/>
                <w:szCs w:val="18"/>
              </w:rPr>
              <w:t>JC/T 437</w:t>
            </w:r>
            <w:r>
              <w:rPr>
                <w:rFonts w:hint="eastAsia" w:eastAsia="宋体"/>
                <w:sz w:val="18"/>
                <w:szCs w:val="18"/>
              </w:rPr>
              <w:t>《自应力铁铝酸盐水泥》三项产品标准，但这三项标准主要是针对用于小规模抢修抢建等快速施工工程和用于自应力水泥制品的铁铝酸盐水泥。对于更大规模工程如海洋工程、军事工程等以现浇为主的混凝土工程来说，上述标准规定的产品都无法满足工程需求，这一问题已经在我们目前正在实施的国家发展改革委重大应用示范等工程中已经凸显出来。因此，亟需制定规范针对较大型的现浇混凝土施工的结构工程用铁铝酸盐水泥产品标准，规范和指导铁铝酸盐水泥产品的生产和应用。</w:t>
            </w:r>
          </w:p>
          <w:p w14:paraId="426A6AA9">
            <w:pPr>
              <w:ind w:firstLine="360" w:firstLineChars="200"/>
              <w:rPr>
                <w:rFonts w:ascii="宋体" w:hAnsi="宋体" w:eastAsia="宋体"/>
                <w:sz w:val="18"/>
                <w:szCs w:val="18"/>
              </w:rPr>
            </w:pPr>
            <w:r>
              <w:rPr>
                <w:rFonts w:hint="eastAsia" w:eastAsia="宋体"/>
                <w:sz w:val="18"/>
                <w:szCs w:val="18"/>
              </w:rPr>
              <w:t>在国家有关部委的支持下，我国加大了对我国具有自主知识产权的铁铝酸盐水泥推广和应用的支持力度。开展结构工程用铁铝酸盐水泥标准研制，发展铁铝酸盐水泥对于加强我国在工程建设用重要原材料，服务于海洋工程、盐碱环境工程、国防工程等重点工程，为我国工程建设体系的完善和自主化发展，推荐低碳水泥发展，促进水泥工业转型升级和实现碳中和具有重要现实意义。</w:t>
            </w:r>
          </w:p>
        </w:tc>
      </w:tr>
      <w:tr w14:paraId="47643E18">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tcBorders>
              <w:top w:val="single" w:color="auto" w:sz="2" w:space="0"/>
              <w:left w:val="single" w:color="auto" w:sz="2" w:space="0"/>
              <w:bottom w:val="single" w:color="auto" w:sz="2" w:space="0"/>
            </w:tcBorders>
            <w:vAlign w:val="center"/>
          </w:tcPr>
          <w:p w14:paraId="6CAB36E6">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14:paraId="7F661441">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tcBorders>
              <w:top w:val="single" w:color="auto" w:sz="2" w:space="0"/>
              <w:bottom w:val="single" w:color="auto" w:sz="2" w:space="0"/>
              <w:right w:val="single" w:color="auto" w:sz="2" w:space="0"/>
            </w:tcBorders>
            <w:vAlign w:val="center"/>
          </w:tcPr>
          <w:p w14:paraId="0A2407D0">
            <w:pPr>
              <w:snapToGrid w:val="0"/>
              <w:spacing w:line="360" w:lineRule="auto"/>
              <w:rPr>
                <w:rFonts w:ascii="宋体" w:hAnsi="宋体" w:eastAsia="宋体"/>
                <w:sz w:val="18"/>
                <w:szCs w:val="18"/>
                <w:u w:val="single"/>
              </w:rPr>
            </w:pPr>
            <w:r>
              <w:rPr>
                <w:rFonts w:hint="eastAsia" w:ascii="宋体" w:hAnsi="宋体" w:eastAsia="宋体"/>
                <w:sz w:val="18"/>
                <w:szCs w:val="18"/>
                <w:u w:val="single"/>
              </w:rPr>
              <w:t>标准的技术内容与适用范围；</w:t>
            </w:r>
          </w:p>
          <w:p w14:paraId="4FA67108">
            <w:pPr>
              <w:snapToGrid w:val="0"/>
              <w:spacing w:line="360" w:lineRule="auto"/>
              <w:rPr>
                <w:rFonts w:ascii="宋体" w:hAnsi="宋体" w:eastAsia="宋体"/>
                <w:sz w:val="18"/>
                <w:szCs w:val="18"/>
                <w:u w:val="single"/>
              </w:rPr>
            </w:pPr>
            <w:r>
              <w:rPr>
                <w:rFonts w:hint="eastAsia" w:ascii="宋体" w:hAnsi="宋体" w:eastAsia="宋体"/>
                <w:sz w:val="18"/>
                <w:szCs w:val="18"/>
                <w:u w:val="single"/>
              </w:rPr>
              <w:t>项目建议性质为强制性，需指出强制内容；</w:t>
            </w:r>
          </w:p>
          <w:p w14:paraId="7516CD45">
            <w:pPr>
              <w:snapToGrid w:val="0"/>
              <w:spacing w:line="360" w:lineRule="auto"/>
              <w:ind w:firstLine="360" w:firstLineChars="200"/>
              <w:rPr>
                <w:rFonts w:eastAsia="宋体"/>
                <w:sz w:val="18"/>
                <w:szCs w:val="18"/>
              </w:rPr>
            </w:pPr>
            <w:r>
              <w:rPr>
                <w:rFonts w:hint="eastAsia" w:eastAsia="宋体"/>
                <w:sz w:val="18"/>
                <w:szCs w:val="18"/>
              </w:rPr>
              <w:t>本标准适用范围为用于现浇混凝土结构施工的铁铝酸盐水泥。</w:t>
            </w:r>
          </w:p>
          <w:p w14:paraId="234C7654">
            <w:pPr>
              <w:snapToGrid w:val="0"/>
              <w:spacing w:line="360" w:lineRule="auto"/>
              <w:ind w:firstLine="360" w:firstLineChars="200"/>
              <w:rPr>
                <w:rFonts w:ascii="宋体" w:hAnsi="宋体" w:eastAsia="宋体"/>
                <w:sz w:val="18"/>
                <w:szCs w:val="18"/>
              </w:rPr>
            </w:pPr>
            <w:r>
              <w:rPr>
                <w:rFonts w:hint="eastAsia" w:eastAsia="宋体"/>
                <w:sz w:val="18"/>
                <w:szCs w:val="18"/>
              </w:rPr>
              <w:t>标准的主要技术内容包括范围、规范性引用文件、术语和定义、</w:t>
            </w:r>
            <w:bookmarkStart w:id="0" w:name="_Hlk103236674"/>
            <w:r>
              <w:rPr>
                <w:rFonts w:hint="eastAsia" w:eastAsia="宋体"/>
                <w:sz w:val="18"/>
                <w:szCs w:val="18"/>
              </w:rPr>
              <w:t>组成材料、类别、技术要求、试验方法、检验规则、包装/标志/运输/贮存</w:t>
            </w:r>
            <w:bookmarkEnd w:id="0"/>
            <w:r>
              <w:rPr>
                <w:rFonts w:hint="eastAsia" w:eastAsia="宋体"/>
                <w:sz w:val="18"/>
                <w:szCs w:val="18"/>
              </w:rPr>
              <w:t>。</w:t>
            </w:r>
          </w:p>
        </w:tc>
      </w:tr>
      <w:tr w14:paraId="498F1B8F">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jc w:val="center"/>
        </w:trPr>
        <w:tc>
          <w:tcPr>
            <w:tcW w:w="2167" w:type="dxa"/>
            <w:tcBorders>
              <w:top w:val="single" w:color="auto" w:sz="2" w:space="0"/>
              <w:left w:val="single" w:color="auto" w:sz="2" w:space="0"/>
              <w:bottom w:val="single" w:color="auto" w:sz="2" w:space="0"/>
            </w:tcBorders>
            <w:vAlign w:val="center"/>
          </w:tcPr>
          <w:p w14:paraId="6BAF06CB">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14:paraId="34A47F0D">
            <w:pPr>
              <w:snapToGrid w:val="0"/>
              <w:spacing w:line="360" w:lineRule="auto"/>
              <w:jc w:val="center"/>
              <w:rPr>
                <w:rFonts w:ascii="宋体" w:hAnsi="宋体" w:eastAsia="宋体"/>
                <w:sz w:val="18"/>
                <w:szCs w:val="18"/>
              </w:rPr>
            </w:pPr>
            <w:r>
              <w:rPr>
                <w:rFonts w:hint="eastAsia" w:ascii="宋体" w:hAnsi="宋体" w:eastAsia="宋体"/>
                <w:sz w:val="18"/>
                <w:szCs w:val="18"/>
              </w:rPr>
              <w:t>简要说明</w:t>
            </w:r>
          </w:p>
        </w:tc>
        <w:tc>
          <w:tcPr>
            <w:tcW w:w="7573" w:type="dxa"/>
            <w:gridSpan w:val="8"/>
            <w:tcBorders>
              <w:top w:val="single" w:color="auto" w:sz="2" w:space="0"/>
              <w:bottom w:val="single" w:color="auto" w:sz="2" w:space="0"/>
              <w:right w:val="single" w:color="auto" w:sz="2" w:space="0"/>
            </w:tcBorders>
            <w:vAlign w:val="center"/>
          </w:tcPr>
          <w:p w14:paraId="25AADF61">
            <w:pPr>
              <w:snapToGrid w:val="0"/>
              <w:spacing w:line="360" w:lineRule="auto"/>
              <w:rPr>
                <w:rFonts w:ascii="宋体" w:hAnsi="宋体" w:eastAsia="宋体"/>
                <w:sz w:val="18"/>
                <w:szCs w:val="18"/>
              </w:rPr>
            </w:pPr>
            <w:r>
              <w:rPr>
                <w:rFonts w:hint="eastAsia" w:ascii="宋体" w:hAnsi="宋体" w:eastAsia="宋体"/>
                <w:sz w:val="18"/>
                <w:szCs w:val="18"/>
                <w:u w:val="single"/>
              </w:rPr>
              <w:t>1. 国内外对该技术研究情况简要说明：</w:t>
            </w:r>
          </w:p>
          <w:p w14:paraId="5DDB094B">
            <w:pPr>
              <w:snapToGrid w:val="0"/>
              <w:spacing w:line="360" w:lineRule="auto"/>
              <w:ind w:firstLine="360" w:firstLineChars="200"/>
              <w:rPr>
                <w:rFonts w:eastAsia="宋体"/>
                <w:sz w:val="18"/>
                <w:szCs w:val="24"/>
              </w:rPr>
            </w:pPr>
            <w:r>
              <w:rPr>
                <w:rFonts w:hint="eastAsia" w:eastAsia="宋体"/>
                <w:sz w:val="18"/>
                <w:szCs w:val="24"/>
              </w:rPr>
              <w:t>硫铁铝酸盐水泥由于其生产过程中的低碳排放和优异的使用性能受到国内外广泛关注，成为水泥界研究的持续热点。我国作为硫铝酸盐水泥和铁铝酸盐水泥的发明国家，在其工业化生产和工程应用方面走在了世界前面。近4</w:t>
            </w:r>
            <w:r>
              <w:rPr>
                <w:rFonts w:eastAsia="宋体"/>
                <w:sz w:val="18"/>
                <w:szCs w:val="24"/>
              </w:rPr>
              <w:t>0</w:t>
            </w:r>
            <w:r>
              <w:rPr>
                <w:rFonts w:hint="eastAsia" w:eastAsia="宋体"/>
                <w:sz w:val="18"/>
                <w:szCs w:val="24"/>
              </w:rPr>
              <w:t>年的铁铝酸盐应用工程案例表明，其在海洋等腐蚀环境、低温冻融环境以及常规服役环境下均具有非常优异的长期耐久性能，尤其是在腐蚀、低温等特殊环境下耐久性能优势显著。近年来，随着我国经济的发展，我国的基础设施建设向着海洋、高原、极地等特殊环境领域拓展。铁铝酸盐水泥特点决定着其在这些特殊环境领域工程建设中有着巨大的优势和潜力，受到了国家和行业的关注与支持。目前，铁铝酸盐水泥正在海洋工程、滨海构建筑物等建设领域大力推广应用，预计未来应用范围和应用领域将持续快速增加。制定结构工程用铁铝酸盐水泥标准，对于铁铝酸盐</w:t>
            </w:r>
            <w:bookmarkStart w:id="1" w:name="_GoBack"/>
            <w:bookmarkEnd w:id="1"/>
            <w:r>
              <w:rPr>
                <w:rFonts w:hint="eastAsia" w:eastAsia="宋体"/>
                <w:sz w:val="18"/>
                <w:szCs w:val="24"/>
              </w:rPr>
              <w:t xml:space="preserve">水泥在海洋工程等领域的推广应用有着极大的促进作用，不仅能够简化部分工程程序，还能为保障工程质量提供指导和依据。 </w:t>
            </w:r>
          </w:p>
          <w:p w14:paraId="274854EC">
            <w:pPr>
              <w:snapToGrid w:val="0"/>
              <w:spacing w:line="360" w:lineRule="auto"/>
              <w:rPr>
                <w:rFonts w:ascii="宋体" w:hAnsi="宋体" w:eastAsia="宋体"/>
                <w:sz w:val="18"/>
                <w:szCs w:val="18"/>
              </w:rPr>
            </w:pPr>
            <w:r>
              <w:rPr>
                <w:rFonts w:hint="eastAsia" w:ascii="宋体" w:hAnsi="宋体" w:eastAsia="宋体"/>
                <w:sz w:val="18"/>
                <w:szCs w:val="18"/>
                <w:u w:val="single"/>
              </w:rPr>
              <w:t>2. 项目与国际标准或国外先进标准采用程度的考虑：</w:t>
            </w:r>
            <w:r>
              <w:rPr>
                <w:rFonts w:hint="eastAsia" w:ascii="宋体" w:hAnsi="宋体" w:eastAsia="宋体"/>
                <w:sz w:val="18"/>
                <w:szCs w:val="18"/>
              </w:rPr>
              <w:t>该标准项目是否有对应的国际标准或国外先进标准，标准制定过程中如何考虑采用的问题；</w:t>
            </w:r>
          </w:p>
          <w:p w14:paraId="4FE58D0A">
            <w:pPr>
              <w:snapToGrid w:val="0"/>
              <w:spacing w:line="360" w:lineRule="auto"/>
              <w:ind w:firstLine="360" w:firstLineChars="200"/>
              <w:rPr>
                <w:rFonts w:eastAsia="宋体"/>
                <w:sz w:val="18"/>
                <w:szCs w:val="24"/>
              </w:rPr>
            </w:pPr>
            <w:r>
              <w:rPr>
                <w:rFonts w:hint="eastAsia" w:eastAsia="宋体"/>
                <w:sz w:val="18"/>
                <w:szCs w:val="24"/>
              </w:rPr>
              <w:t>国外铁铝酸盐水泥的产业化以及工程应用方面均处于研究试验阶段，尚未形成规模化生产和应用，未见国外有关铁铝酸盐水泥的标准规范。</w:t>
            </w:r>
          </w:p>
          <w:p w14:paraId="1CEE9C8E">
            <w:pPr>
              <w:snapToGrid w:val="0"/>
              <w:spacing w:line="360" w:lineRule="auto"/>
              <w:rPr>
                <w:rFonts w:ascii="宋体" w:hAnsi="宋体" w:eastAsia="宋体"/>
                <w:color w:val="000000" w:themeColor="text1"/>
                <w:sz w:val="18"/>
                <w:szCs w:val="18"/>
              </w:rPr>
            </w:pPr>
            <w:r>
              <w:rPr>
                <w:rFonts w:hint="eastAsia" w:ascii="宋体" w:hAnsi="宋体" w:eastAsia="宋体"/>
                <w:color w:val="000000" w:themeColor="text1"/>
                <w:sz w:val="18"/>
                <w:szCs w:val="18"/>
                <w:u w:val="single"/>
              </w:rPr>
              <w:t>3. 与国内相关标准间的关系：</w:t>
            </w:r>
            <w:r>
              <w:rPr>
                <w:rFonts w:hint="eastAsia" w:ascii="宋体" w:hAnsi="宋体" w:eastAsia="宋体"/>
                <w:color w:val="000000" w:themeColor="text1"/>
                <w:sz w:val="18"/>
                <w:szCs w:val="18"/>
              </w:rPr>
              <w:t>该标准项目是否有相关的国家或行业标准，该标准项目与这些标准是什么关系，该标准项目在标准体系中的位置；</w:t>
            </w:r>
          </w:p>
          <w:p w14:paraId="60C86A41">
            <w:pPr>
              <w:snapToGrid w:val="0"/>
              <w:spacing w:line="360" w:lineRule="auto"/>
              <w:ind w:firstLine="360" w:firstLineChars="200"/>
              <w:rPr>
                <w:rFonts w:eastAsia="宋体"/>
                <w:sz w:val="18"/>
                <w:szCs w:val="24"/>
              </w:rPr>
            </w:pPr>
            <w:r>
              <w:rPr>
                <w:rFonts w:hint="eastAsia" w:eastAsia="宋体"/>
                <w:sz w:val="18"/>
                <w:szCs w:val="24"/>
              </w:rPr>
              <w:t>目前与铁铝酸盐水泥有关的标准主要有GB/T 45920-</w:t>
            </w:r>
            <w:r>
              <w:rPr>
                <w:rFonts w:eastAsia="宋体"/>
                <w:sz w:val="18"/>
                <w:szCs w:val="24"/>
              </w:rPr>
              <w:t>2025</w:t>
            </w:r>
            <w:r>
              <w:rPr>
                <w:rFonts w:hint="eastAsia" w:eastAsia="宋体"/>
                <w:sz w:val="18"/>
                <w:szCs w:val="24"/>
              </w:rPr>
              <w:t xml:space="preserve"> 《铁铝酸盐水泥》、JC/T 933-2019《 快硬高铁硫铝酸盐水泥》和JC/T 437-2010 《自应力铁铝酸盐水泥》，这些标准均是针对规范针对特殊用途的铁铝酸盐水泥品种，重点在于满足对快硬、耐蚀、自应力等性能的规定。本标准主要规范大型现浇混凝土工程用的铁铝酸盐水泥，技术指标主要侧重于保证应用过程中的施工时间、强度等性能以及与使用环境有关的性能如耐腐蚀性能等。本标准与现有标准共同构成铁铝酸盐水泥技术标准体系。</w:t>
            </w:r>
          </w:p>
          <w:p w14:paraId="13A02073">
            <w:pPr>
              <w:snapToGrid w:val="0"/>
              <w:spacing w:line="360" w:lineRule="auto"/>
              <w:rPr>
                <w:rFonts w:ascii="宋体" w:hAnsi="宋体" w:eastAsia="宋体"/>
                <w:sz w:val="18"/>
                <w:szCs w:val="18"/>
                <w:u w:val="single"/>
              </w:rPr>
            </w:pPr>
            <w:r>
              <w:rPr>
                <w:rFonts w:hint="eastAsia" w:ascii="宋体" w:hAnsi="宋体" w:eastAsia="宋体"/>
                <w:sz w:val="18"/>
                <w:szCs w:val="18"/>
                <w:u w:val="single"/>
              </w:rPr>
              <w:t>4. 指出是否发现有知识产权的问题。</w:t>
            </w:r>
          </w:p>
          <w:p w14:paraId="08F8BD9E">
            <w:pPr>
              <w:spacing w:line="264" w:lineRule="auto"/>
              <w:ind w:firstLine="360" w:firstLineChars="200"/>
              <w:rPr>
                <w:rFonts w:ascii="宋体" w:hAnsi="宋体" w:eastAsia="宋体"/>
                <w:sz w:val="18"/>
                <w:szCs w:val="18"/>
              </w:rPr>
            </w:pPr>
            <w:r>
              <w:rPr>
                <w:rFonts w:hint="eastAsia" w:ascii="宋体" w:hAnsi="宋体" w:eastAsia="宋体"/>
                <w:sz w:val="18"/>
                <w:szCs w:val="18"/>
              </w:rPr>
              <w:t>无。</w:t>
            </w:r>
          </w:p>
        </w:tc>
      </w:tr>
      <w:tr w14:paraId="65D8D296">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tcBorders>
              <w:top w:val="single" w:color="auto" w:sz="2" w:space="0"/>
              <w:left w:val="single" w:color="auto" w:sz="2" w:space="0"/>
              <w:bottom w:val="single" w:color="auto" w:sz="2" w:space="0"/>
            </w:tcBorders>
            <w:vAlign w:val="center"/>
          </w:tcPr>
          <w:p w14:paraId="12210987">
            <w:pPr>
              <w:pStyle w:val="3"/>
              <w:tabs>
                <w:tab w:val="clear" w:pos="4153"/>
                <w:tab w:val="clear" w:pos="8306"/>
              </w:tabs>
              <w:spacing w:line="360" w:lineRule="auto"/>
              <w:rPr>
                <w:rFonts w:ascii="宋体" w:hAnsi="宋体" w:eastAsia="宋体"/>
              </w:rPr>
            </w:pPr>
            <w:r>
              <w:rPr>
                <w:rFonts w:hint="eastAsia" w:ascii="宋体" w:hAnsi="宋体" w:eastAsia="宋体"/>
              </w:rPr>
              <w:t>牵头单位</w:t>
            </w:r>
          </w:p>
        </w:tc>
        <w:tc>
          <w:tcPr>
            <w:tcW w:w="3972" w:type="dxa"/>
            <w:gridSpan w:val="5"/>
            <w:tcBorders>
              <w:top w:val="single" w:color="auto" w:sz="2" w:space="0"/>
              <w:bottom w:val="single" w:color="auto" w:sz="2" w:space="0"/>
            </w:tcBorders>
            <w:vAlign w:val="center"/>
          </w:tcPr>
          <w:p w14:paraId="18774BF3">
            <w:pPr>
              <w:snapToGrid w:val="0"/>
              <w:spacing w:line="360" w:lineRule="auto"/>
              <w:jc w:val="center"/>
              <w:rPr>
                <w:rFonts w:ascii="宋体" w:hAnsi="宋体" w:eastAsia="宋体"/>
                <w:sz w:val="18"/>
                <w:szCs w:val="18"/>
              </w:rPr>
            </w:pPr>
          </w:p>
          <w:p w14:paraId="33A95CD4">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tcBorders>
              <w:top w:val="single" w:color="auto" w:sz="2" w:space="0"/>
              <w:bottom w:val="single" w:color="auto" w:sz="2" w:space="0"/>
            </w:tcBorders>
            <w:vAlign w:val="center"/>
          </w:tcPr>
          <w:p w14:paraId="035B09A9">
            <w:pPr>
              <w:snapToGrid w:val="0"/>
              <w:spacing w:line="360" w:lineRule="auto"/>
              <w:jc w:val="center"/>
              <w:rPr>
                <w:rFonts w:ascii="宋体" w:hAnsi="宋体" w:eastAsia="宋体"/>
                <w:sz w:val="18"/>
                <w:szCs w:val="18"/>
              </w:rPr>
            </w:pPr>
            <w:r>
              <w:rPr>
                <w:rFonts w:hint="eastAsia" w:ascii="宋体" w:hAnsi="宋体" w:eastAsia="宋体"/>
                <w:sz w:val="18"/>
                <w:szCs w:val="18"/>
              </w:rPr>
              <w:t>归口管理部门</w:t>
            </w:r>
          </w:p>
        </w:tc>
        <w:tc>
          <w:tcPr>
            <w:tcW w:w="1900" w:type="dxa"/>
            <w:tcBorders>
              <w:top w:val="single" w:color="auto" w:sz="2" w:space="0"/>
              <w:bottom w:val="single" w:color="auto" w:sz="2" w:space="0"/>
              <w:right w:val="single" w:color="auto" w:sz="2" w:space="0"/>
            </w:tcBorders>
            <w:vAlign w:val="center"/>
          </w:tcPr>
          <w:p w14:paraId="568E474C">
            <w:pPr>
              <w:snapToGrid w:val="0"/>
              <w:spacing w:line="360" w:lineRule="auto"/>
              <w:rPr>
                <w:rFonts w:ascii="宋体" w:hAnsi="宋体" w:eastAsia="宋体"/>
                <w:sz w:val="18"/>
                <w:szCs w:val="18"/>
              </w:rPr>
            </w:pPr>
          </w:p>
          <w:p w14:paraId="2B522393">
            <w:pPr>
              <w:snapToGrid w:val="0"/>
              <w:rPr>
                <w:rFonts w:ascii="宋体" w:hAnsi="宋体" w:eastAsia="宋体"/>
                <w:sz w:val="18"/>
                <w:szCs w:val="18"/>
              </w:rPr>
            </w:pPr>
            <w:r>
              <w:rPr>
                <w:rFonts w:hint="eastAsia" w:ascii="宋体" w:hAnsi="宋体" w:eastAsia="宋体"/>
                <w:sz w:val="18"/>
                <w:szCs w:val="18"/>
              </w:rPr>
              <w:t>（签字、盖公章）</w:t>
            </w:r>
          </w:p>
          <w:p w14:paraId="092B86A3">
            <w:pPr>
              <w:snapToGrid w:val="0"/>
              <w:rPr>
                <w:rFonts w:ascii="宋体" w:hAnsi="宋体" w:eastAsia="宋体"/>
                <w:sz w:val="18"/>
                <w:szCs w:val="18"/>
              </w:rPr>
            </w:pPr>
            <w:r>
              <w:rPr>
                <w:rFonts w:hint="eastAsia" w:ascii="宋体" w:hAnsi="宋体" w:eastAsia="宋体"/>
                <w:sz w:val="18"/>
                <w:szCs w:val="18"/>
              </w:rPr>
              <w:t xml:space="preserve">    月     日</w:t>
            </w:r>
          </w:p>
        </w:tc>
      </w:tr>
    </w:tbl>
    <w:p w14:paraId="4A13A73F">
      <w:pPr>
        <w:snapToGrid w:val="0"/>
        <w:spacing w:before="156"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14:paraId="6F040529">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14:paraId="0846D79B">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14:paraId="20CA0364">
      <w:pPr>
        <w:snapToGrid w:val="0"/>
        <w:rPr>
          <w:sz w:val="18"/>
          <w:szCs w:val="18"/>
        </w:rPr>
      </w:pPr>
    </w:p>
    <w:p w14:paraId="00F0E20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47499"/>
    <w:rsid w:val="001666A4"/>
    <w:rsid w:val="00166993"/>
    <w:rsid w:val="001C2C8D"/>
    <w:rsid w:val="00314295"/>
    <w:rsid w:val="003643F9"/>
    <w:rsid w:val="00537726"/>
    <w:rsid w:val="00631028"/>
    <w:rsid w:val="00747499"/>
    <w:rsid w:val="009119CF"/>
    <w:rsid w:val="00A618D0"/>
    <w:rsid w:val="00B22F3E"/>
    <w:rsid w:val="00C04795"/>
    <w:rsid w:val="00D94854"/>
    <w:rsid w:val="00E02D99"/>
    <w:rsid w:val="00E03E1D"/>
    <w:rsid w:val="00F7264B"/>
    <w:rsid w:val="275B723E"/>
    <w:rsid w:val="352E37B9"/>
    <w:rsid w:val="51777121"/>
    <w:rsid w:val="7F9E6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0"/>
    <w:rPr>
      <w:sz w:val="18"/>
      <w:szCs w:val="18"/>
    </w:rPr>
  </w:style>
  <w:style w:type="character" w:customStyle="1" w:styleId="7">
    <w:name w:val="页脚 字符"/>
    <w:basedOn w:val="5"/>
    <w:link w:val="2"/>
    <w:qFormat/>
    <w:uiPriority w:val="99"/>
    <w:rPr>
      <w:sz w:val="18"/>
      <w:szCs w:val="18"/>
    </w:rPr>
  </w:style>
  <w:style w:type="paragraph" w:customStyle="1" w:styleId="8">
    <w:name w:val="Revision"/>
    <w:hidden/>
    <w:semiHidden/>
    <w:qFormat/>
    <w:uiPriority w:val="99"/>
    <w:rPr>
      <w:rFonts w:ascii="Times New Roman" w:hAnsi="Times New Roman" w:eastAsia="仿宋_GB2312" w:cs="Times New Roman"/>
      <w:kern w:val="2"/>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09cf0530-cebd-43c1-ae86-f0fd078cb2dc</errorID>
      <errorWord>(</errorWord>
      <group>L1_Format</group>
      <groupName>格式问题</groupName>
      <ability>L2_HalfPunc</ability>
      <abilityName>全半角检查</abilityName>
      <candidateList>
        <item>（</item>
      </candidateList>
      <explain>文本全半角错误。</explain>
      <paraID>15136D48</paraID>
      <start>0</start>
      <end>1</end>
      <status>unmodified</status>
      <modifiedWord/>
      <trackRevisions>false</trackRevisions>
    </reviewItem>
    <reviewItem>
      <errorID>9e4c60ae-e8de-437d-b7ab-6acd37f3759e</errorID>
      <errorWord>)</errorWord>
      <group>L1_Format</group>
      <groupName>格式问题</groupName>
      <ability>L2_HalfPunc</ability>
      <abilityName>全半角检查</abilityName>
      <candidateList>
        <item>）</item>
      </candidateList>
      <explain>文本全半角错误。</explain>
      <paraID>15136D48</paraID>
      <start>3</start>
      <end>4</end>
      <status>unmodified</status>
      <modifiedWord/>
      <trackRevisions>false</trackRevisions>
    </reviewItem>
    <reviewItem>
      <errorID>ba11bf99-fbbb-47a6-bcdd-5b15bd3d6603</errorID>
      <errorWord>(</errorWord>
      <group>L1_Format</group>
      <groupName>格式问题</groupName>
      <ability>L2_HalfPunc</ability>
      <abilityName>全半角检查</abilityName>
      <candidateList>
        <item>（</item>
      </candidateList>
      <explain>文本全半角错误。</explain>
      <paraID>2E44FB21</paraID>
      <start>0</start>
      <end>1</end>
      <status>unmodified</status>
      <modifiedWord/>
      <trackRevisions>false</trackRevisions>
    </reviewItem>
    <reviewItem>
      <errorID>a741f93b-8d28-4cce-87a9-b7203b9cd635</errorID>
      <errorWord>)</errorWord>
      <group>L1_Format</group>
      <groupName>格式问题</groupName>
      <ability>L2_HalfPunc</ability>
      <abilityName>全半角检查</abilityName>
      <candidateList>
        <item>）</item>
      </candidateList>
      <explain>文本全半角错误。</explain>
      <paraID>2E44FB21</paraID>
      <start>3</start>
      <end>4</end>
      <status>unmodified</status>
      <modifiedWord/>
      <trackRevisions>false</trackRevisions>
    </reviewItem>
    <reviewItem>
      <errorID>c257ed4b-9c98-4d6e-bf46-0b6188cd7117</errorID>
      <errorWord>上世纪八十年代</errorWord>
      <group>L1_Word</group>
      <groupName>字词问题</groupName>
      <ability>L2_Typo</ability>
      <abilityName>字词错误</abilityName>
      <candidateList>
        <item>20世纪80年代</item>
      </candidateList>
      <explain/>
      <paraID>7E06B093</paraID>
      <start>18</start>
      <end>33</end>
      <status>modified</status>
      <modifiedWord>20世纪80年代</modifiedWord>
      <trackRevisions>true</trackRevisions>
    </reviewItem>
    <reviewItem>
      <errorID>21872321-4dca-4351-b85a-77ed609cf150</errorID>
      <errorWord>热点领域</errorWord>
      <group>L1_Grammar</group>
      <groupName>语法问题</groupName>
      <ability>L2_Collocation</ability>
      <abilityName>搭配不当</abilityName>
      <candidateList>
        <item>热点</item>
      </candidateList>
      <explain>句子中可能存在主谓、动宾、定语中心语、状语中心语、补语中心语、关联词搭配不当等问题。</explain>
      <paraID>7E06B093</paraID>
      <start>260</start>
      <end>266</end>
      <status>modified</status>
      <modifiedWord>热点</modifiedWord>
      <trackRevisions>true</trackRevisions>
    </reviewItem>
    <reviewItem>
      <errorID>abe5fab1-505b-4d40-ba28-2e824c2e7ef8</errorID>
      <errorWord>120~150万</errorWord>
      <group>L1_Knowledge</group>
      <groupName>知识性问题</groupName>
      <ability>L2_Knowledge</ability>
      <abilityName>其他知识</abilityName>
      <candidateList>
        <item>120万～150万</item>
      </candidateList>
      <explain>1. “120~150万”中的单位“万”仅出现在后一个数字上，容易引起歧义；根据《现代汉语标点符号数字用法规范手册》，数字表示范围两边需要使用统一的格式。2.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7E06B093</paraID>
      <start>303</start>
      <end>320</end>
      <status>modified</status>
      <modifiedWord>120万～150万</modifiedWord>
      <trackRevisions>true</trackRevisions>
    </reviewItem>
    <reviewItem>
      <errorID>af4ded06-fc4f-44a9-b491-6ee9a3276436</errorID>
      <errorWord>国家发改委</errorWord>
      <group>L1_Knowledge</group>
      <groupName>知识性问题</groupName>
      <ability>L2_Knowledge</ability>
      <abilityName>其他知识</abilityName>
      <candidateList>
        <item>国家发展改革委</item>
      </candidateList>
      <explain/>
      <paraID>5C20922D</paraID>
      <start>159</start>
      <end>171</end>
      <status>modified</status>
      <modifiedWord>国家发展改革委</modifiedWord>
      <trackRevisions>true</trackRevisions>
    </reviewItem>
    <reviewItem>
      <errorID>a98eb63a-cee9-4db4-86d0-3438291436e7</errorID>
      <errorWord>急需</errorWord>
      <group>L1_Word</group>
      <groupName>字词问题</groupName>
      <ability>L2_Typo</ability>
      <abilityName>字词错误</abilityName>
      <candidateList>
        <item>亟需</item>
      </candidateList>
      <explain>存在发音相同字词的误用。</explain>
      <paraID>5C20922D</paraID>
      <start>186</start>
      <end>190</end>
      <status>modified</status>
      <modifiedWord>亟需</modifiedWord>
      <trackRevisions>true</trackRevisions>
    </reviewItem>
    <reviewItem>
      <errorID>59df272b-726a-4137-a9ab-31f34a425f6f</errorID>
      <errorWord>目标的</errorWord>
      <group>L1_Grammar</group>
      <groupName>语法问题</groupName>
      <ability>L2_Order</ability>
      <abilityName>语序不当</abilityName>
      <candidateList>
        <item>目标</item>
      </candidateList>
      <explain>句子可能没有遵循时空、逻辑顺序，或者介词、关联词等位置不当。</explain>
      <paraID>426A6AA9</paraID>
      <start>250</start>
      <end>253</end>
      <status>unmodified</status>
      <modifiedWord/>
      <trackRevisions>false</trackRevisions>
    </reviewItem>
    <reviewItem>
      <errorID>d371eb24-14fe-4685-b84f-3ff57dcd7bf2</errorID>
      <errorWord>收到</errorWord>
      <group>L1_Word</group>
      <groupName>字词问题</groupName>
      <ability>L2_Typo</ability>
      <abilityName>字词错误</abilityName>
      <candidateList>
        <item>受到</item>
      </candidateList>
      <explain/>
      <paraID>5DDB094B</paraID>
      <start>28</start>
      <end>32</end>
      <status>modified</status>
      <modifiedWord>受到</modifiedWord>
      <trackRevisions>true</trackRevisions>
    </reviewItem>
    <reviewItem>
      <errorID>0eb30205-40cb-4eca-90c9-db3f0300f2d9</errorID>
      <errorWord>增加</errorWord>
      <group>L1_Grammar</group>
      <groupName>语法问题</groupName>
      <ability>L2_Collocation</ability>
      <abilityName>搭配不当</abilityName>
      <candidateList>
        <item>扩大</item>
      </candidateList>
      <explain>句子中可能存在主谓、动宾、定语中心语、状语中心语、补语中心语、关联词搭配不当等问题。</explain>
      <paraID>5DDB094B</paraID>
      <start>327</start>
      <end>329</end>
      <status>unmodified</status>
      <modifiedWord/>
      <trackRevisions>false</trackRevisions>
    </reviewItem>
    <reviewItem>
      <errorID>06bae767-796b-48da-8730-05cfbdbfa2c1</errorID>
      <errorWord>，</errorWord>
      <group>L1_Word</group>
      <groupName>字词问题</groupName>
      <ability>L2_Typo</ability>
      <abilityName>字词错误</abilityName>
      <candidateList>
        <item>，在</item>
      </candidateList>
      <explain/>
      <paraID>274854EC</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4036D308-60F7-4F90-BD31-9185B6B25966}">
  <ds:schemaRefs/>
</ds:datastoreItem>
</file>

<file path=docProps/app.xml><?xml version="1.0" encoding="utf-8"?>
<Properties xmlns="http://schemas.openxmlformats.org/officeDocument/2006/extended-properties" xmlns:vt="http://schemas.openxmlformats.org/officeDocument/2006/docPropsVTypes">
  <Template>Normal</Template>
  <Pages>2</Pages>
  <Words>2270</Words>
  <Characters>2409</Characters>
  <Lines>17</Lines>
  <Paragraphs>5</Paragraphs>
  <TotalTime>24</TotalTime>
  <ScaleCrop>false</ScaleCrop>
  <LinksUpToDate>false</LinksUpToDate>
  <CharactersWithSpaces>2453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2018-05-31T09:17:00Z</dcterms:created>
  <dc:creator>bz</dc:creator>
  <cp:lastModifiedBy>毛毛雨</cp:lastModifiedBy>
  <dcterms:modified xsi:type="dcterms:W3CDTF">2026-03-30T03:27:49Z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eyJoZGlkIjoiZTE1NTU3Y2EwZmU0OTAzNGMzZjI2ZWE5NmE3ZTkzMTEiLCJ1c2VySWQiOiI0NTA5NzM2NTMifQ==</vt:lpwstr>
  </property>
  <property fmtid="{D5CDD505-2E9C-101B-9397-08002B2CF9AE}" pid="3" name="KSOProductBuildVer">
    <vt:lpwstr>2052-12.1.0.25225</vt:lpwstr>
  </property>
  <property fmtid="{D5CDD505-2E9C-101B-9397-08002B2CF9AE}" pid="4" name="ICV">
    <vt:lpwstr>4A83F952F991454C8A530F5B0F6773BE_12</vt:lpwstr>
  </property>
</Properties>
</file>