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D5C06" w14:textId="77777777" w:rsidR="00A201E0" w:rsidRDefault="00000000">
      <w:pPr>
        <w:snapToGrid w:val="0"/>
        <w:spacing w:line="360" w:lineRule="auto"/>
        <w:rPr>
          <w:rFonts w:eastAsia="仿宋"/>
          <w:b/>
          <w:szCs w:val="28"/>
        </w:rPr>
      </w:pPr>
      <w:r>
        <w:rPr>
          <w:rFonts w:eastAsia="仿宋"/>
          <w:b/>
          <w:szCs w:val="28"/>
        </w:rPr>
        <w:t>附表</w:t>
      </w:r>
      <w:r>
        <w:rPr>
          <w:rFonts w:eastAsia="仿宋"/>
          <w:b/>
          <w:szCs w:val="28"/>
        </w:rPr>
        <w:t>1</w:t>
      </w:r>
    </w:p>
    <w:p w14:paraId="36D03BD4" w14:textId="77777777" w:rsidR="00A201E0" w:rsidRDefault="00000000">
      <w:pPr>
        <w:snapToGrid w:val="0"/>
        <w:spacing w:line="360" w:lineRule="auto"/>
        <w:jc w:val="center"/>
        <w:rPr>
          <w:rFonts w:eastAsia="宋体"/>
          <w:b/>
          <w:sz w:val="32"/>
          <w:szCs w:val="32"/>
        </w:rPr>
      </w:pPr>
      <w:r>
        <w:rPr>
          <w:rFonts w:eastAsia="宋体"/>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1057"/>
        <w:gridCol w:w="757"/>
        <w:gridCol w:w="957"/>
        <w:gridCol w:w="744"/>
        <w:gridCol w:w="1900"/>
      </w:tblGrid>
      <w:tr w:rsidR="00A201E0" w14:paraId="4404DB97" w14:textId="77777777">
        <w:trPr>
          <w:trHeight w:val="845"/>
          <w:jc w:val="center"/>
        </w:trPr>
        <w:tc>
          <w:tcPr>
            <w:tcW w:w="2167" w:type="dxa"/>
            <w:vAlign w:val="center"/>
          </w:tcPr>
          <w:p w14:paraId="6D941233" w14:textId="77777777" w:rsidR="00A201E0" w:rsidRDefault="00000000">
            <w:pPr>
              <w:snapToGrid w:val="0"/>
              <w:spacing w:line="360" w:lineRule="auto"/>
              <w:jc w:val="center"/>
              <w:rPr>
                <w:rFonts w:eastAsia="宋体"/>
                <w:sz w:val="18"/>
                <w:szCs w:val="18"/>
              </w:rPr>
            </w:pPr>
            <w:r>
              <w:rPr>
                <w:rFonts w:eastAsia="宋体"/>
                <w:sz w:val="18"/>
                <w:szCs w:val="18"/>
              </w:rPr>
              <w:t>建议项目名称</w:t>
            </w:r>
          </w:p>
          <w:p w14:paraId="648B14BA" w14:textId="77777777" w:rsidR="00A201E0" w:rsidRDefault="00000000">
            <w:pPr>
              <w:snapToGrid w:val="0"/>
              <w:spacing w:line="360" w:lineRule="auto"/>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215" w:type="dxa"/>
            <w:gridSpan w:val="4"/>
            <w:vAlign w:val="center"/>
          </w:tcPr>
          <w:p w14:paraId="46A71A7B" w14:textId="77777777" w:rsidR="00A201E0" w:rsidRDefault="00000000">
            <w:pPr>
              <w:snapToGrid w:val="0"/>
              <w:spacing w:line="360" w:lineRule="auto"/>
              <w:rPr>
                <w:rFonts w:eastAsia="宋体"/>
                <w:sz w:val="18"/>
                <w:szCs w:val="18"/>
              </w:rPr>
            </w:pPr>
            <w:r>
              <w:rPr>
                <w:rFonts w:eastAsia="宋体"/>
                <w:sz w:val="18"/>
                <w:szCs w:val="18"/>
              </w:rPr>
              <w:t>铁铝酸盐水泥混凝土配合比设计规范</w:t>
            </w:r>
          </w:p>
        </w:tc>
        <w:tc>
          <w:tcPr>
            <w:tcW w:w="1714" w:type="dxa"/>
            <w:gridSpan w:val="2"/>
            <w:vAlign w:val="center"/>
          </w:tcPr>
          <w:p w14:paraId="13AFC4A4" w14:textId="77777777" w:rsidR="00A201E0" w:rsidRDefault="00000000">
            <w:pPr>
              <w:snapToGrid w:val="0"/>
              <w:spacing w:line="360" w:lineRule="auto"/>
              <w:jc w:val="center"/>
              <w:rPr>
                <w:rFonts w:eastAsia="宋体"/>
                <w:sz w:val="18"/>
                <w:szCs w:val="18"/>
              </w:rPr>
            </w:pPr>
            <w:r>
              <w:rPr>
                <w:rFonts w:eastAsia="宋体"/>
                <w:sz w:val="18"/>
                <w:szCs w:val="18"/>
              </w:rPr>
              <w:t>建议项目名称</w:t>
            </w:r>
          </w:p>
          <w:p w14:paraId="591786E4" w14:textId="77777777" w:rsidR="00A201E0" w:rsidRDefault="00000000">
            <w:pPr>
              <w:snapToGrid w:val="0"/>
              <w:spacing w:line="360" w:lineRule="auto"/>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14:paraId="769EC552" w14:textId="77777777" w:rsidR="00A201E0" w:rsidRDefault="00000000">
            <w:pPr>
              <w:snapToGrid w:val="0"/>
              <w:spacing w:line="360" w:lineRule="auto"/>
              <w:rPr>
                <w:rFonts w:eastAsia="宋体"/>
                <w:sz w:val="18"/>
                <w:szCs w:val="18"/>
              </w:rPr>
            </w:pPr>
            <w:r>
              <w:rPr>
                <w:rFonts w:eastAsia="宋体"/>
                <w:sz w:val="18"/>
                <w:szCs w:val="18"/>
              </w:rPr>
              <w:t xml:space="preserve">Specification for mix proportion design of </w:t>
            </w:r>
            <w:proofErr w:type="spellStart"/>
            <w:r>
              <w:rPr>
                <w:rFonts w:eastAsia="宋体"/>
                <w:sz w:val="18"/>
                <w:szCs w:val="18"/>
              </w:rPr>
              <w:t>ferroaluminate</w:t>
            </w:r>
            <w:proofErr w:type="spellEnd"/>
            <w:r>
              <w:rPr>
                <w:rFonts w:eastAsia="宋体"/>
                <w:sz w:val="18"/>
                <w:szCs w:val="18"/>
              </w:rPr>
              <w:t xml:space="preserve"> cement concrete</w:t>
            </w:r>
          </w:p>
        </w:tc>
      </w:tr>
      <w:tr w:rsidR="00A201E0" w14:paraId="113D0F32" w14:textId="77777777">
        <w:trPr>
          <w:cantSplit/>
          <w:trHeight w:val="435"/>
          <w:jc w:val="center"/>
        </w:trPr>
        <w:tc>
          <w:tcPr>
            <w:tcW w:w="2167" w:type="dxa"/>
            <w:vAlign w:val="center"/>
          </w:tcPr>
          <w:p w14:paraId="096912FD" w14:textId="77777777" w:rsidR="00A201E0" w:rsidRDefault="00000000">
            <w:pPr>
              <w:snapToGrid w:val="0"/>
              <w:spacing w:line="360" w:lineRule="auto"/>
              <w:jc w:val="center"/>
              <w:rPr>
                <w:rFonts w:eastAsia="宋体"/>
                <w:sz w:val="18"/>
                <w:szCs w:val="18"/>
              </w:rPr>
            </w:pPr>
            <w:r>
              <w:rPr>
                <w:rFonts w:eastAsia="宋体"/>
                <w:sz w:val="18"/>
                <w:szCs w:val="18"/>
              </w:rPr>
              <w:t>制定或修订</w:t>
            </w:r>
          </w:p>
        </w:tc>
        <w:tc>
          <w:tcPr>
            <w:tcW w:w="1618" w:type="dxa"/>
            <w:gridSpan w:val="2"/>
            <w:vAlign w:val="center"/>
          </w:tcPr>
          <w:p w14:paraId="1F0A334D" w14:textId="1D03A36C" w:rsidR="00A201E0" w:rsidRDefault="00816853">
            <w:pPr>
              <w:snapToGrid w:val="0"/>
              <w:spacing w:line="360" w:lineRule="auto"/>
              <w:rPr>
                <w:rFonts w:eastAsia="宋体"/>
                <w:sz w:val="18"/>
                <w:szCs w:val="18"/>
              </w:rPr>
            </w:pPr>
            <w:r>
              <w:rPr>
                <w:rFonts w:eastAsia="宋体"/>
                <w:sz w:val="18"/>
                <w:szCs w:val="18"/>
              </w:rPr>
              <w:sym w:font="Wingdings 2" w:char="F052"/>
            </w:r>
            <w:r w:rsidR="00000000">
              <w:rPr>
                <w:rFonts w:eastAsia="宋体"/>
                <w:sz w:val="18"/>
                <w:szCs w:val="18"/>
              </w:rPr>
              <w:t xml:space="preserve"> </w:t>
            </w:r>
            <w:r w:rsidR="00000000">
              <w:rPr>
                <w:rFonts w:eastAsia="宋体"/>
                <w:sz w:val="18"/>
                <w:szCs w:val="18"/>
              </w:rPr>
              <w:t>制定</w:t>
            </w:r>
          </w:p>
        </w:tc>
        <w:tc>
          <w:tcPr>
            <w:tcW w:w="1597" w:type="dxa"/>
            <w:gridSpan w:val="2"/>
            <w:vAlign w:val="center"/>
          </w:tcPr>
          <w:p w14:paraId="655EDE12" w14:textId="77777777" w:rsidR="00A201E0" w:rsidRDefault="00000000">
            <w:pPr>
              <w:snapToGrid w:val="0"/>
              <w:spacing w:line="360" w:lineRule="auto"/>
              <w:rPr>
                <w:rFonts w:eastAsia="宋体"/>
                <w:sz w:val="18"/>
                <w:szCs w:val="18"/>
              </w:rPr>
            </w:pPr>
            <w:r>
              <w:rPr>
                <w:rFonts w:eastAsia="宋体"/>
                <w:sz w:val="18"/>
                <w:szCs w:val="18"/>
              </w:rPr>
              <w:t xml:space="preserve">□ </w:t>
            </w:r>
            <w:r>
              <w:rPr>
                <w:rFonts w:eastAsia="宋体"/>
                <w:sz w:val="18"/>
                <w:szCs w:val="18"/>
              </w:rPr>
              <w:t>修订</w:t>
            </w:r>
          </w:p>
        </w:tc>
        <w:tc>
          <w:tcPr>
            <w:tcW w:w="1714" w:type="dxa"/>
            <w:gridSpan w:val="2"/>
            <w:vAlign w:val="center"/>
          </w:tcPr>
          <w:p w14:paraId="037A5539" w14:textId="77777777" w:rsidR="00A201E0" w:rsidRDefault="00000000">
            <w:pPr>
              <w:snapToGrid w:val="0"/>
              <w:spacing w:line="360" w:lineRule="auto"/>
              <w:jc w:val="center"/>
              <w:rPr>
                <w:rFonts w:eastAsia="宋体"/>
                <w:sz w:val="18"/>
                <w:szCs w:val="18"/>
              </w:rPr>
            </w:pPr>
            <w:r>
              <w:rPr>
                <w:rFonts w:eastAsia="宋体"/>
                <w:sz w:val="18"/>
                <w:szCs w:val="18"/>
              </w:rPr>
              <w:t>被修订标准号</w:t>
            </w:r>
          </w:p>
        </w:tc>
        <w:tc>
          <w:tcPr>
            <w:tcW w:w="2644" w:type="dxa"/>
            <w:gridSpan w:val="2"/>
            <w:vAlign w:val="center"/>
          </w:tcPr>
          <w:p w14:paraId="072428C7" w14:textId="77777777" w:rsidR="00A201E0" w:rsidRDefault="00A201E0">
            <w:pPr>
              <w:snapToGrid w:val="0"/>
              <w:spacing w:line="360" w:lineRule="auto"/>
              <w:rPr>
                <w:rFonts w:eastAsia="宋体"/>
                <w:sz w:val="18"/>
                <w:szCs w:val="18"/>
              </w:rPr>
            </w:pPr>
          </w:p>
        </w:tc>
      </w:tr>
      <w:tr w:rsidR="00A201E0" w14:paraId="1CDBEF1C" w14:textId="77777777">
        <w:trPr>
          <w:cantSplit/>
          <w:trHeight w:val="439"/>
          <w:jc w:val="center"/>
        </w:trPr>
        <w:tc>
          <w:tcPr>
            <w:tcW w:w="2167" w:type="dxa"/>
            <w:vAlign w:val="center"/>
          </w:tcPr>
          <w:p w14:paraId="6E7CADC7" w14:textId="77777777" w:rsidR="00A201E0" w:rsidRDefault="00000000">
            <w:pPr>
              <w:snapToGrid w:val="0"/>
              <w:spacing w:line="360" w:lineRule="auto"/>
              <w:jc w:val="center"/>
              <w:rPr>
                <w:rFonts w:eastAsia="宋体"/>
                <w:sz w:val="18"/>
                <w:szCs w:val="18"/>
              </w:rPr>
            </w:pPr>
            <w:r>
              <w:rPr>
                <w:rFonts w:eastAsia="宋体"/>
                <w:sz w:val="18"/>
                <w:szCs w:val="18"/>
              </w:rPr>
              <w:t>采用程度</w:t>
            </w:r>
          </w:p>
        </w:tc>
        <w:tc>
          <w:tcPr>
            <w:tcW w:w="1078" w:type="dxa"/>
            <w:vAlign w:val="center"/>
          </w:tcPr>
          <w:p w14:paraId="4023A979" w14:textId="77777777" w:rsidR="00A201E0" w:rsidRDefault="00000000">
            <w:pPr>
              <w:snapToGrid w:val="0"/>
              <w:spacing w:line="360" w:lineRule="auto"/>
              <w:rPr>
                <w:rFonts w:eastAsia="宋体"/>
                <w:sz w:val="18"/>
                <w:szCs w:val="18"/>
              </w:rPr>
            </w:pPr>
            <w:r>
              <w:rPr>
                <w:rFonts w:eastAsia="宋体"/>
                <w:sz w:val="18"/>
                <w:szCs w:val="18"/>
              </w:rPr>
              <w:t>□ IDT</w:t>
            </w:r>
          </w:p>
        </w:tc>
        <w:tc>
          <w:tcPr>
            <w:tcW w:w="1080" w:type="dxa"/>
            <w:gridSpan w:val="2"/>
            <w:vAlign w:val="center"/>
          </w:tcPr>
          <w:p w14:paraId="33295C4D" w14:textId="77777777" w:rsidR="00A201E0" w:rsidRDefault="00000000">
            <w:pPr>
              <w:snapToGrid w:val="0"/>
              <w:spacing w:line="360" w:lineRule="auto"/>
              <w:rPr>
                <w:rFonts w:eastAsia="宋体"/>
                <w:sz w:val="18"/>
                <w:szCs w:val="18"/>
              </w:rPr>
            </w:pPr>
            <w:r>
              <w:rPr>
                <w:rFonts w:eastAsia="宋体"/>
                <w:sz w:val="18"/>
                <w:szCs w:val="18"/>
              </w:rPr>
              <w:t>□ MOD</w:t>
            </w:r>
          </w:p>
        </w:tc>
        <w:tc>
          <w:tcPr>
            <w:tcW w:w="1057" w:type="dxa"/>
            <w:vAlign w:val="center"/>
          </w:tcPr>
          <w:p w14:paraId="54C6CB8A" w14:textId="77777777" w:rsidR="00A201E0" w:rsidRDefault="00000000">
            <w:pPr>
              <w:snapToGrid w:val="0"/>
              <w:spacing w:line="360" w:lineRule="auto"/>
              <w:rPr>
                <w:rFonts w:eastAsia="宋体"/>
                <w:sz w:val="18"/>
                <w:szCs w:val="18"/>
              </w:rPr>
            </w:pPr>
            <w:r>
              <w:rPr>
                <w:rFonts w:eastAsia="宋体"/>
                <w:sz w:val="18"/>
                <w:szCs w:val="18"/>
              </w:rPr>
              <w:t>□ NEQ</w:t>
            </w:r>
          </w:p>
        </w:tc>
        <w:tc>
          <w:tcPr>
            <w:tcW w:w="1714" w:type="dxa"/>
            <w:gridSpan w:val="2"/>
            <w:vAlign w:val="center"/>
          </w:tcPr>
          <w:p w14:paraId="697B579B" w14:textId="77777777" w:rsidR="00A201E0" w:rsidRDefault="00000000">
            <w:pPr>
              <w:snapToGrid w:val="0"/>
              <w:spacing w:line="360" w:lineRule="auto"/>
              <w:jc w:val="center"/>
              <w:rPr>
                <w:rFonts w:eastAsia="宋体"/>
                <w:sz w:val="18"/>
                <w:szCs w:val="18"/>
              </w:rPr>
            </w:pPr>
            <w:r>
              <w:rPr>
                <w:rFonts w:eastAsia="宋体"/>
                <w:sz w:val="18"/>
                <w:szCs w:val="18"/>
              </w:rPr>
              <w:t>采标号</w:t>
            </w:r>
          </w:p>
        </w:tc>
        <w:tc>
          <w:tcPr>
            <w:tcW w:w="2644" w:type="dxa"/>
            <w:gridSpan w:val="2"/>
            <w:vAlign w:val="center"/>
          </w:tcPr>
          <w:p w14:paraId="3BDCB36B" w14:textId="77777777" w:rsidR="00A201E0" w:rsidRDefault="00A201E0">
            <w:pPr>
              <w:snapToGrid w:val="0"/>
              <w:spacing w:line="360" w:lineRule="auto"/>
              <w:rPr>
                <w:rFonts w:eastAsia="宋体"/>
                <w:sz w:val="18"/>
                <w:szCs w:val="18"/>
              </w:rPr>
            </w:pPr>
          </w:p>
        </w:tc>
      </w:tr>
      <w:tr w:rsidR="00A201E0" w14:paraId="010BCBC4" w14:textId="77777777">
        <w:trPr>
          <w:cantSplit/>
          <w:trHeight w:val="439"/>
          <w:jc w:val="center"/>
        </w:trPr>
        <w:tc>
          <w:tcPr>
            <w:tcW w:w="2167" w:type="dxa"/>
            <w:vAlign w:val="center"/>
          </w:tcPr>
          <w:p w14:paraId="3C70B37A" w14:textId="77777777" w:rsidR="00A201E0" w:rsidRDefault="00000000">
            <w:pPr>
              <w:snapToGrid w:val="0"/>
              <w:spacing w:line="360" w:lineRule="auto"/>
              <w:jc w:val="center"/>
              <w:rPr>
                <w:rFonts w:eastAsia="宋体"/>
                <w:sz w:val="18"/>
                <w:szCs w:val="18"/>
              </w:rPr>
            </w:pPr>
            <w:r>
              <w:rPr>
                <w:rFonts w:eastAsia="宋体"/>
                <w:sz w:val="18"/>
                <w:szCs w:val="18"/>
              </w:rPr>
              <w:t>国际标准名称（中文）</w:t>
            </w:r>
          </w:p>
        </w:tc>
        <w:tc>
          <w:tcPr>
            <w:tcW w:w="3215" w:type="dxa"/>
            <w:gridSpan w:val="4"/>
            <w:vAlign w:val="center"/>
          </w:tcPr>
          <w:p w14:paraId="4AA232E6" w14:textId="77777777" w:rsidR="00A201E0" w:rsidRDefault="00000000">
            <w:pPr>
              <w:snapToGrid w:val="0"/>
              <w:spacing w:line="360" w:lineRule="auto"/>
              <w:rPr>
                <w:rFonts w:eastAsia="宋体"/>
                <w:sz w:val="18"/>
                <w:szCs w:val="18"/>
              </w:rPr>
            </w:pPr>
            <w:r>
              <w:rPr>
                <w:rFonts w:eastAsia="宋体"/>
                <w:sz w:val="18"/>
                <w:szCs w:val="18"/>
              </w:rPr>
              <w:t>无</w:t>
            </w:r>
          </w:p>
        </w:tc>
        <w:tc>
          <w:tcPr>
            <w:tcW w:w="1714" w:type="dxa"/>
            <w:gridSpan w:val="2"/>
            <w:vAlign w:val="center"/>
          </w:tcPr>
          <w:p w14:paraId="4B878AC1" w14:textId="77777777" w:rsidR="00A201E0" w:rsidRDefault="00000000">
            <w:pPr>
              <w:snapToGrid w:val="0"/>
              <w:spacing w:line="360" w:lineRule="auto"/>
              <w:jc w:val="center"/>
              <w:rPr>
                <w:rFonts w:eastAsia="宋体"/>
                <w:sz w:val="18"/>
                <w:szCs w:val="18"/>
              </w:rPr>
            </w:pPr>
            <w:r>
              <w:rPr>
                <w:rFonts w:eastAsia="宋体"/>
                <w:sz w:val="18"/>
                <w:szCs w:val="18"/>
              </w:rPr>
              <w:t>国际标准名称（英文）</w:t>
            </w:r>
          </w:p>
        </w:tc>
        <w:tc>
          <w:tcPr>
            <w:tcW w:w="2644" w:type="dxa"/>
            <w:gridSpan w:val="2"/>
            <w:vAlign w:val="center"/>
          </w:tcPr>
          <w:p w14:paraId="29E2E8DA" w14:textId="77777777" w:rsidR="00A201E0" w:rsidRDefault="00000000">
            <w:pPr>
              <w:snapToGrid w:val="0"/>
              <w:spacing w:line="360" w:lineRule="auto"/>
              <w:rPr>
                <w:rFonts w:eastAsia="宋体"/>
                <w:sz w:val="18"/>
                <w:szCs w:val="18"/>
              </w:rPr>
            </w:pPr>
            <w:r>
              <w:rPr>
                <w:rFonts w:eastAsia="宋体"/>
                <w:sz w:val="18"/>
                <w:szCs w:val="18"/>
              </w:rPr>
              <w:t>无</w:t>
            </w:r>
          </w:p>
        </w:tc>
      </w:tr>
      <w:tr w:rsidR="00A201E0" w14:paraId="3E443A33" w14:textId="77777777">
        <w:trPr>
          <w:cantSplit/>
          <w:trHeight w:val="439"/>
          <w:jc w:val="center"/>
        </w:trPr>
        <w:tc>
          <w:tcPr>
            <w:tcW w:w="2167" w:type="dxa"/>
            <w:vAlign w:val="center"/>
          </w:tcPr>
          <w:p w14:paraId="3C94C624" w14:textId="77777777" w:rsidR="00A201E0" w:rsidRDefault="00000000">
            <w:pPr>
              <w:snapToGrid w:val="0"/>
              <w:spacing w:line="360" w:lineRule="auto"/>
              <w:jc w:val="center"/>
              <w:rPr>
                <w:rFonts w:eastAsia="宋体"/>
                <w:sz w:val="18"/>
                <w:szCs w:val="18"/>
              </w:rPr>
            </w:pPr>
            <w:r>
              <w:rPr>
                <w:rFonts w:eastAsia="宋体"/>
                <w:sz w:val="18"/>
                <w:szCs w:val="18"/>
              </w:rPr>
              <w:t>ICS</w:t>
            </w:r>
            <w:r>
              <w:rPr>
                <w:rFonts w:eastAsia="宋体"/>
                <w:sz w:val="18"/>
                <w:szCs w:val="18"/>
              </w:rPr>
              <w:t>分类号</w:t>
            </w:r>
          </w:p>
        </w:tc>
        <w:tc>
          <w:tcPr>
            <w:tcW w:w="3215" w:type="dxa"/>
            <w:gridSpan w:val="4"/>
            <w:vAlign w:val="center"/>
          </w:tcPr>
          <w:p w14:paraId="328225CD" w14:textId="1FEB8B82" w:rsidR="00A201E0" w:rsidRDefault="00000000">
            <w:pPr>
              <w:snapToGrid w:val="0"/>
              <w:spacing w:line="360" w:lineRule="auto"/>
              <w:rPr>
                <w:rFonts w:eastAsia="宋体"/>
                <w:sz w:val="18"/>
                <w:szCs w:val="18"/>
              </w:rPr>
            </w:pPr>
            <w:r>
              <w:rPr>
                <w:rFonts w:eastAsia="宋体"/>
                <w:sz w:val="18"/>
                <w:szCs w:val="18"/>
              </w:rPr>
              <w:t>91.100.30</w:t>
            </w:r>
          </w:p>
        </w:tc>
        <w:tc>
          <w:tcPr>
            <w:tcW w:w="1714" w:type="dxa"/>
            <w:gridSpan w:val="2"/>
            <w:vAlign w:val="center"/>
          </w:tcPr>
          <w:p w14:paraId="45F0FCCB" w14:textId="77777777" w:rsidR="00A201E0" w:rsidRDefault="00000000">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14:paraId="491ED0FC" w14:textId="75BD340A" w:rsidR="00A201E0" w:rsidRDefault="00000000">
            <w:pPr>
              <w:snapToGrid w:val="0"/>
              <w:spacing w:line="360" w:lineRule="auto"/>
              <w:rPr>
                <w:rFonts w:eastAsia="宋体"/>
                <w:sz w:val="18"/>
                <w:szCs w:val="18"/>
              </w:rPr>
            </w:pPr>
            <w:r>
              <w:rPr>
                <w:rFonts w:eastAsia="宋体"/>
                <w:sz w:val="18"/>
                <w:szCs w:val="18"/>
              </w:rPr>
              <w:t>Q13</w:t>
            </w:r>
          </w:p>
        </w:tc>
      </w:tr>
      <w:tr w:rsidR="00A201E0" w14:paraId="6C675EA8" w14:textId="77777777">
        <w:trPr>
          <w:cantSplit/>
          <w:trHeight w:val="496"/>
          <w:jc w:val="center"/>
        </w:trPr>
        <w:tc>
          <w:tcPr>
            <w:tcW w:w="2167" w:type="dxa"/>
            <w:vAlign w:val="center"/>
          </w:tcPr>
          <w:p w14:paraId="5A798A85" w14:textId="77777777" w:rsidR="00A201E0" w:rsidRDefault="00000000">
            <w:pPr>
              <w:snapToGrid w:val="0"/>
              <w:spacing w:line="360" w:lineRule="auto"/>
              <w:jc w:val="center"/>
              <w:rPr>
                <w:rFonts w:eastAsia="宋体"/>
                <w:sz w:val="18"/>
                <w:szCs w:val="18"/>
              </w:rPr>
            </w:pPr>
            <w:r>
              <w:rPr>
                <w:rFonts w:eastAsia="宋体"/>
                <w:sz w:val="18"/>
                <w:szCs w:val="18"/>
              </w:rPr>
              <w:t>标准主要起草单位</w:t>
            </w:r>
          </w:p>
        </w:tc>
        <w:tc>
          <w:tcPr>
            <w:tcW w:w="3215" w:type="dxa"/>
            <w:gridSpan w:val="4"/>
            <w:vAlign w:val="center"/>
          </w:tcPr>
          <w:p w14:paraId="03C401E9" w14:textId="13E9C94A" w:rsidR="00A201E0" w:rsidRDefault="00000000">
            <w:pPr>
              <w:snapToGrid w:val="0"/>
              <w:spacing w:line="360" w:lineRule="auto"/>
              <w:rPr>
                <w:rFonts w:eastAsia="宋体" w:hint="eastAsia"/>
                <w:sz w:val="18"/>
                <w:szCs w:val="18"/>
              </w:rPr>
            </w:pPr>
            <w:r>
              <w:rPr>
                <w:rFonts w:eastAsia="宋体"/>
                <w:sz w:val="18"/>
                <w:szCs w:val="18"/>
              </w:rPr>
              <w:t>建筑材料工业技术监督研究中心</w:t>
            </w:r>
            <w:r w:rsidR="00816853">
              <w:rPr>
                <w:rFonts w:eastAsia="宋体" w:hint="eastAsia"/>
                <w:sz w:val="18"/>
                <w:szCs w:val="18"/>
              </w:rPr>
              <w:t>、中核国电漳州能源有限公司、武汉三源特种建材有限责任公司、中核混凝土股份有限公司，等。</w:t>
            </w:r>
          </w:p>
        </w:tc>
        <w:tc>
          <w:tcPr>
            <w:tcW w:w="1714" w:type="dxa"/>
            <w:gridSpan w:val="2"/>
            <w:vAlign w:val="center"/>
          </w:tcPr>
          <w:p w14:paraId="118A0936" w14:textId="77777777" w:rsidR="00A201E0" w:rsidRDefault="00000000">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14:paraId="77900D9E" w14:textId="77777777" w:rsidR="00A201E0" w:rsidRDefault="00000000">
            <w:pPr>
              <w:snapToGrid w:val="0"/>
              <w:spacing w:line="360" w:lineRule="auto"/>
              <w:rPr>
                <w:rFonts w:eastAsia="宋体"/>
                <w:sz w:val="18"/>
                <w:szCs w:val="18"/>
              </w:rPr>
            </w:pPr>
            <w:r>
              <w:rPr>
                <w:rFonts w:eastAsia="宋体" w:hint="eastAsia"/>
                <w:sz w:val="18"/>
                <w:szCs w:val="18"/>
              </w:rPr>
              <w:t>2026</w:t>
            </w:r>
            <w:r>
              <w:rPr>
                <w:rFonts w:eastAsia="宋体" w:hint="eastAsia"/>
                <w:sz w:val="18"/>
                <w:szCs w:val="18"/>
              </w:rPr>
              <w:t>年</w:t>
            </w:r>
            <w:r>
              <w:rPr>
                <w:rFonts w:eastAsia="宋体" w:hint="eastAsia"/>
                <w:sz w:val="18"/>
                <w:szCs w:val="18"/>
              </w:rPr>
              <w:t>7</w:t>
            </w:r>
            <w:r>
              <w:rPr>
                <w:rFonts w:eastAsia="宋体" w:hint="eastAsia"/>
                <w:sz w:val="18"/>
                <w:szCs w:val="18"/>
              </w:rPr>
              <w:t>月—</w:t>
            </w:r>
            <w:r>
              <w:rPr>
                <w:rFonts w:eastAsia="宋体" w:hint="eastAsia"/>
                <w:sz w:val="18"/>
                <w:szCs w:val="18"/>
              </w:rPr>
              <w:t>2027</w:t>
            </w:r>
            <w:r>
              <w:rPr>
                <w:rFonts w:eastAsia="宋体" w:hint="eastAsia"/>
                <w:sz w:val="18"/>
                <w:szCs w:val="18"/>
              </w:rPr>
              <w:t>年</w:t>
            </w:r>
            <w:r>
              <w:rPr>
                <w:rFonts w:eastAsia="宋体" w:hint="eastAsia"/>
                <w:sz w:val="18"/>
                <w:szCs w:val="18"/>
              </w:rPr>
              <w:t>6</w:t>
            </w:r>
            <w:r>
              <w:rPr>
                <w:rFonts w:eastAsia="宋体" w:hint="eastAsia"/>
                <w:sz w:val="18"/>
                <w:szCs w:val="18"/>
              </w:rPr>
              <w:t>月</w:t>
            </w:r>
          </w:p>
        </w:tc>
      </w:tr>
      <w:tr w:rsidR="00A201E0" w14:paraId="23BAB757" w14:textId="77777777">
        <w:trPr>
          <w:trHeight w:val="1005"/>
          <w:jc w:val="center"/>
        </w:trPr>
        <w:tc>
          <w:tcPr>
            <w:tcW w:w="2167" w:type="dxa"/>
            <w:vAlign w:val="center"/>
          </w:tcPr>
          <w:p w14:paraId="54A74166" w14:textId="77777777" w:rsidR="00A201E0" w:rsidRDefault="00000000">
            <w:pPr>
              <w:snapToGrid w:val="0"/>
              <w:spacing w:line="360" w:lineRule="auto"/>
              <w:jc w:val="center"/>
              <w:rPr>
                <w:rFonts w:eastAsia="宋体"/>
                <w:sz w:val="18"/>
                <w:szCs w:val="18"/>
              </w:rPr>
            </w:pPr>
            <w:r>
              <w:rPr>
                <w:rFonts w:eastAsia="宋体"/>
                <w:sz w:val="18"/>
                <w:szCs w:val="18"/>
              </w:rPr>
              <w:t>目的</w:t>
            </w:r>
            <w:r>
              <w:rPr>
                <w:rFonts w:eastAsia="宋体" w:hint="eastAsia"/>
                <w:sz w:val="18"/>
                <w:szCs w:val="18"/>
              </w:rPr>
              <w:t>、</w:t>
            </w:r>
            <w:r>
              <w:rPr>
                <w:rFonts w:eastAsia="宋体"/>
                <w:sz w:val="18"/>
                <w:szCs w:val="18"/>
              </w:rPr>
              <w:t>意义或必</w:t>
            </w:r>
          </w:p>
          <w:p w14:paraId="2F84D553" w14:textId="77777777" w:rsidR="00A201E0"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14:paraId="7E409567" w14:textId="77777777" w:rsidR="00A201E0" w:rsidRDefault="00000000">
            <w:pPr>
              <w:snapToGrid w:val="0"/>
              <w:spacing w:line="360" w:lineRule="auto"/>
              <w:rPr>
                <w:rFonts w:eastAsia="宋体"/>
                <w:sz w:val="18"/>
                <w:szCs w:val="18"/>
                <w:u w:val="single"/>
              </w:rPr>
            </w:pPr>
            <w:r>
              <w:rPr>
                <w:rFonts w:eastAsia="宋体"/>
                <w:sz w:val="18"/>
                <w:szCs w:val="18"/>
                <w:u w:val="single"/>
              </w:rPr>
              <w:t>指出标准项目涉及的方面，期望解决的问题；</w:t>
            </w:r>
          </w:p>
          <w:p w14:paraId="7811DFBC" w14:textId="77777777" w:rsidR="00A201E0" w:rsidRDefault="00000000">
            <w:pPr>
              <w:snapToGrid w:val="0"/>
              <w:spacing w:line="360" w:lineRule="auto"/>
              <w:ind w:firstLineChars="200" w:firstLine="360"/>
              <w:rPr>
                <w:rFonts w:eastAsia="宋体"/>
                <w:sz w:val="18"/>
                <w:szCs w:val="18"/>
              </w:rPr>
            </w:pPr>
            <w:r>
              <w:rPr>
                <w:rFonts w:eastAsia="宋体"/>
                <w:sz w:val="18"/>
                <w:szCs w:val="18"/>
              </w:rPr>
              <w:t>面向交通强国、海洋强国和现代能源体系建设，国家重大工程对混凝土结构安全可靠、长期耐久和全寿命周期服役能力提出了更高要求。《交通强国建设纲要》《</w:t>
            </w:r>
            <w:r>
              <w:rPr>
                <w:rFonts w:eastAsia="宋体"/>
                <w:sz w:val="18"/>
                <w:szCs w:val="18"/>
              </w:rPr>
              <w:t>“</w:t>
            </w:r>
            <w:r>
              <w:rPr>
                <w:rFonts w:eastAsia="宋体"/>
                <w:sz w:val="18"/>
                <w:szCs w:val="18"/>
              </w:rPr>
              <w:t>十四五</w:t>
            </w:r>
            <w:r>
              <w:rPr>
                <w:rFonts w:eastAsia="宋体"/>
                <w:sz w:val="18"/>
                <w:szCs w:val="18"/>
              </w:rPr>
              <w:t>”</w:t>
            </w:r>
            <w:r>
              <w:rPr>
                <w:rFonts w:eastAsia="宋体"/>
                <w:sz w:val="18"/>
                <w:szCs w:val="18"/>
              </w:rPr>
              <w:t>海洋经济发展规划》《</w:t>
            </w:r>
            <w:r>
              <w:rPr>
                <w:rFonts w:eastAsia="宋体"/>
                <w:sz w:val="18"/>
                <w:szCs w:val="18"/>
              </w:rPr>
              <w:t>“</w:t>
            </w:r>
            <w:r>
              <w:rPr>
                <w:rFonts w:eastAsia="宋体"/>
                <w:sz w:val="18"/>
                <w:szCs w:val="18"/>
              </w:rPr>
              <w:t>十四五</w:t>
            </w:r>
            <w:r>
              <w:rPr>
                <w:rFonts w:eastAsia="宋体"/>
                <w:sz w:val="18"/>
                <w:szCs w:val="18"/>
              </w:rPr>
              <w:t>”</w:t>
            </w:r>
            <w:r>
              <w:rPr>
                <w:rFonts w:eastAsia="宋体"/>
                <w:sz w:val="18"/>
                <w:szCs w:val="18"/>
              </w:rPr>
              <w:t>现代能源体系规划》等政策文件，分别对交通基础设施、海洋工程和核电工程建设提出了高质量、安全可靠、体系化发展要求。海洋工程、核电工程、港口工程、轨道交通、地下空间及盐渍土地区工程等重大工程服役环境复杂，混凝土结构</w:t>
            </w:r>
            <w:proofErr w:type="gramStart"/>
            <w:r>
              <w:rPr>
                <w:rFonts w:eastAsia="宋体"/>
                <w:sz w:val="18"/>
                <w:szCs w:val="18"/>
              </w:rPr>
              <w:t>长期受氯盐</w:t>
            </w:r>
            <w:proofErr w:type="gramEnd"/>
            <w:r>
              <w:rPr>
                <w:rFonts w:eastAsia="宋体"/>
                <w:sz w:val="18"/>
                <w:szCs w:val="18"/>
              </w:rPr>
              <w:t>、硫酸盐、干湿循环、冻融循环、渗透压力、温度作用及复杂荷载耦合作用影响，易发生开裂、渗漏、钢筋锈蚀和抗蚀性能衰减等耐久性劣化问题，影响工程服役寿命和运行安全。提升混凝土材料耐久性，建立适用于高耐久重大工程的配合比设计方法，是保障国家重大工程长期安全服役的重要技术支撑。</w:t>
            </w:r>
          </w:p>
          <w:p w14:paraId="53E24162" w14:textId="77777777" w:rsidR="00A201E0" w:rsidRDefault="00000000">
            <w:pPr>
              <w:snapToGrid w:val="0"/>
              <w:spacing w:line="360" w:lineRule="auto"/>
              <w:ind w:firstLineChars="200" w:firstLine="360"/>
              <w:rPr>
                <w:rFonts w:eastAsia="宋体"/>
                <w:sz w:val="18"/>
                <w:szCs w:val="18"/>
              </w:rPr>
            </w:pPr>
            <w:r>
              <w:rPr>
                <w:rFonts w:eastAsia="宋体"/>
                <w:sz w:val="18"/>
                <w:szCs w:val="18"/>
              </w:rPr>
              <w:t>铁铝酸盐水泥是我国自主研发的第三系列水泥，具有早强、高强、抗渗、抗裂、耐蚀和适应复杂服役环境等特点，在提升混凝土结构耐久性方面具有突出优势，可用于地下空间、海洋工程、盐渍土地区工程、水工结构、轨道交通、市政基础设施及应急修复等对耐久性和服役可靠性要求较高的工程。与普通硅酸盐水泥相比，铁铝酸盐水泥熟料矿物组成、水化反应、水化产物、强度发展、体积稳定性及外加剂适应性均存在明显差异，若简单套用普通水泥混凝土配合比设计方法，难以充分体现铁铝酸盐水泥的材料特性，甚至可能造成工作性能、力学性能、抗渗抗蚀性能和长期耐久性不匹配，影响工程应用效果。</w:t>
            </w:r>
          </w:p>
          <w:p w14:paraId="4EF80EA8" w14:textId="77777777" w:rsidR="00A201E0" w:rsidRDefault="00000000">
            <w:pPr>
              <w:snapToGrid w:val="0"/>
              <w:spacing w:line="360" w:lineRule="auto"/>
              <w:ind w:firstLineChars="200" w:firstLine="360"/>
              <w:rPr>
                <w:rFonts w:eastAsia="宋体"/>
                <w:sz w:val="18"/>
                <w:szCs w:val="18"/>
              </w:rPr>
            </w:pPr>
            <w:r>
              <w:rPr>
                <w:rFonts w:eastAsia="宋体"/>
                <w:sz w:val="18"/>
                <w:szCs w:val="18"/>
              </w:rPr>
              <w:t>目前，国家标准</w:t>
            </w:r>
            <w:r>
              <w:rPr>
                <w:rFonts w:eastAsia="宋体"/>
                <w:sz w:val="18"/>
                <w:szCs w:val="18"/>
              </w:rPr>
              <w:t xml:space="preserve"> GB/T 45920—2025</w:t>
            </w:r>
            <w:r>
              <w:rPr>
                <w:rFonts w:eastAsia="宋体"/>
                <w:sz w:val="18"/>
                <w:szCs w:val="18"/>
              </w:rPr>
              <w:t>《铁铝酸盐水泥》已发布</w:t>
            </w:r>
            <w:r>
              <w:rPr>
                <w:rFonts w:eastAsia="宋体" w:hint="eastAsia"/>
                <w:sz w:val="18"/>
                <w:szCs w:val="18"/>
              </w:rPr>
              <w:t>并实施</w:t>
            </w:r>
            <w:r>
              <w:rPr>
                <w:rFonts w:eastAsia="宋体"/>
                <w:sz w:val="18"/>
                <w:szCs w:val="18"/>
              </w:rPr>
              <w:t>，为铁铝酸盐水泥产品质量控制提供了依据；工程建设应用方面，建材行业标准</w:t>
            </w:r>
            <w:r>
              <w:rPr>
                <w:rFonts w:eastAsia="宋体"/>
                <w:sz w:val="18"/>
                <w:szCs w:val="18"/>
              </w:rPr>
              <w:t xml:space="preserve"> JC/T 60037</w:t>
            </w:r>
            <w:r>
              <w:rPr>
                <w:rFonts w:eastAsia="宋体"/>
                <w:sz w:val="18"/>
                <w:szCs w:val="18"/>
              </w:rPr>
              <w:t>《铁铝酸盐水泥混凝土在海洋工程中应用技术规范》已</w:t>
            </w:r>
            <w:r>
              <w:rPr>
                <w:rFonts w:eastAsia="宋体" w:hint="eastAsia"/>
                <w:sz w:val="18"/>
                <w:szCs w:val="18"/>
              </w:rPr>
              <w:t>完成制定，</w:t>
            </w:r>
            <w:r>
              <w:rPr>
                <w:rFonts w:eastAsia="宋体"/>
                <w:sz w:val="18"/>
                <w:szCs w:val="18"/>
              </w:rPr>
              <w:t>对</w:t>
            </w:r>
            <w:r>
              <w:rPr>
                <w:rFonts w:eastAsia="宋体" w:hint="eastAsia"/>
                <w:sz w:val="18"/>
                <w:szCs w:val="18"/>
              </w:rPr>
              <w:t>铁铝酸盐水泥混凝土</w:t>
            </w:r>
            <w:r>
              <w:rPr>
                <w:rFonts w:eastAsia="宋体"/>
                <w:sz w:val="18"/>
                <w:szCs w:val="18"/>
              </w:rPr>
              <w:t>在海洋工程中的应用提出技术要求，表明铁铝酸盐水泥混凝土已具备一定的工程应用基础和标准化条件。但现有标准仍主要集中于水泥产品性能和特定工程场景应用，尚缺乏面向工程建设领域、系统指导铁铝酸盐水泥混凝土配合比设计的专门规范。工程实践中，设计、生产、施工和检测单位对水胶比、胶凝材</w:t>
            </w:r>
            <w:r>
              <w:rPr>
                <w:rFonts w:eastAsia="宋体"/>
                <w:sz w:val="18"/>
                <w:szCs w:val="18"/>
              </w:rPr>
              <w:lastRenderedPageBreak/>
              <w:t>料用量、砂率、外加剂掺量、矿物掺合料适应性、试</w:t>
            </w:r>
            <w:proofErr w:type="gramStart"/>
            <w:r>
              <w:rPr>
                <w:rFonts w:eastAsia="宋体"/>
                <w:sz w:val="18"/>
                <w:szCs w:val="18"/>
              </w:rPr>
              <w:t>配调整</w:t>
            </w:r>
            <w:proofErr w:type="gramEnd"/>
            <w:r>
              <w:rPr>
                <w:rFonts w:eastAsia="宋体"/>
                <w:sz w:val="18"/>
                <w:szCs w:val="18"/>
              </w:rPr>
              <w:t>方法等</w:t>
            </w:r>
            <w:r>
              <w:rPr>
                <w:rFonts w:eastAsia="宋体" w:hint="eastAsia"/>
                <w:sz w:val="18"/>
                <w:szCs w:val="18"/>
              </w:rPr>
              <w:t>关键参数和技术要求</w:t>
            </w:r>
            <w:r>
              <w:rPr>
                <w:rFonts w:eastAsia="宋体"/>
                <w:sz w:val="18"/>
                <w:szCs w:val="18"/>
              </w:rPr>
              <w:t>的确定缺少统一</w:t>
            </w:r>
            <w:r>
              <w:rPr>
                <w:rFonts w:eastAsia="宋体" w:hint="eastAsia"/>
                <w:sz w:val="18"/>
                <w:szCs w:val="18"/>
              </w:rPr>
              <w:t>依据</w:t>
            </w:r>
            <w:r>
              <w:rPr>
                <w:rFonts w:eastAsia="宋体"/>
                <w:sz w:val="18"/>
                <w:szCs w:val="18"/>
              </w:rPr>
              <w:t>，导致配合比设计依赖经验、参数选取难以统一</w:t>
            </w:r>
            <w:r>
              <w:rPr>
                <w:rFonts w:eastAsia="宋体" w:hint="eastAsia"/>
                <w:sz w:val="18"/>
                <w:szCs w:val="18"/>
              </w:rPr>
              <w:t>，</w:t>
            </w:r>
            <w:r>
              <w:rPr>
                <w:rFonts w:eastAsia="宋体"/>
                <w:sz w:val="18"/>
                <w:szCs w:val="18"/>
              </w:rPr>
              <w:t>制约了铁铝酸盐水泥</w:t>
            </w:r>
            <w:r>
              <w:rPr>
                <w:rFonts w:eastAsia="宋体" w:hint="eastAsia"/>
                <w:sz w:val="18"/>
                <w:szCs w:val="18"/>
              </w:rPr>
              <w:t>混凝土</w:t>
            </w:r>
            <w:r>
              <w:rPr>
                <w:rFonts w:eastAsia="宋体"/>
                <w:sz w:val="18"/>
                <w:szCs w:val="18"/>
              </w:rPr>
              <w:t>在高耐久重大工程中的推广应用。</w:t>
            </w:r>
          </w:p>
          <w:p w14:paraId="0EB07D11" w14:textId="77777777" w:rsidR="00A201E0" w:rsidRDefault="00000000">
            <w:pPr>
              <w:snapToGrid w:val="0"/>
              <w:spacing w:line="360" w:lineRule="auto"/>
              <w:ind w:firstLineChars="200" w:firstLine="360"/>
              <w:rPr>
                <w:rFonts w:eastAsia="宋体"/>
                <w:sz w:val="18"/>
                <w:szCs w:val="18"/>
              </w:rPr>
            </w:pPr>
            <w:r>
              <w:rPr>
                <w:rFonts w:eastAsia="宋体"/>
                <w:sz w:val="18"/>
                <w:szCs w:val="18"/>
              </w:rPr>
              <w:t>制定《铁铝酸盐水泥</w:t>
            </w:r>
            <w:r>
              <w:rPr>
                <w:rFonts w:eastAsia="宋体" w:hint="eastAsia"/>
                <w:sz w:val="18"/>
                <w:szCs w:val="18"/>
              </w:rPr>
              <w:t>混凝土</w:t>
            </w:r>
            <w:r>
              <w:rPr>
                <w:rFonts w:eastAsia="宋体"/>
                <w:sz w:val="18"/>
                <w:szCs w:val="18"/>
              </w:rPr>
              <w:t>配合比设计规范》，旨在建立符合铁铝酸盐水泥水化硬化特征和工程应用特点的混凝土配合比设计方法，规范其原材料选择、配制强度确定、水胶比控制、胶凝材料体系设计、用水量与砂率确定、外加剂适应性评价、试配与调整等关键技术内容。标准的制定将有助于解决铁铝酸盐水泥混凝土工程应用中缺少统一设计依据、材料性能优势难以稳定发挥等问题，促进产品标准、设计标准、施工应用和质量控制的有效衔接；对提升混凝土结构耐久性、延长工程服役寿命、保障重大工程长期安全运行、推动铁铝酸盐水泥</w:t>
            </w:r>
            <w:r>
              <w:rPr>
                <w:rFonts w:eastAsia="宋体" w:hint="eastAsia"/>
                <w:sz w:val="18"/>
                <w:szCs w:val="18"/>
              </w:rPr>
              <w:t>混凝土</w:t>
            </w:r>
            <w:r>
              <w:rPr>
                <w:rFonts w:eastAsia="宋体"/>
                <w:sz w:val="18"/>
                <w:szCs w:val="18"/>
              </w:rPr>
              <w:t>工程化应用和完善我国混凝土技术标准体系具有重要意义。</w:t>
            </w:r>
          </w:p>
        </w:tc>
      </w:tr>
      <w:tr w:rsidR="00A201E0" w14:paraId="7BD1F545" w14:textId="77777777">
        <w:trPr>
          <w:trHeight w:val="1051"/>
          <w:jc w:val="center"/>
        </w:trPr>
        <w:tc>
          <w:tcPr>
            <w:tcW w:w="2167" w:type="dxa"/>
            <w:vAlign w:val="center"/>
          </w:tcPr>
          <w:p w14:paraId="4D1846FE" w14:textId="77777777" w:rsidR="00A201E0" w:rsidRDefault="00000000">
            <w:pPr>
              <w:snapToGrid w:val="0"/>
              <w:spacing w:line="360" w:lineRule="auto"/>
              <w:jc w:val="center"/>
              <w:rPr>
                <w:rFonts w:eastAsia="宋体"/>
                <w:sz w:val="18"/>
                <w:szCs w:val="18"/>
              </w:rPr>
            </w:pPr>
            <w:r>
              <w:rPr>
                <w:rFonts w:eastAsia="宋体"/>
                <w:sz w:val="18"/>
                <w:szCs w:val="18"/>
              </w:rPr>
              <w:lastRenderedPageBreak/>
              <w:t>范围和主要</w:t>
            </w:r>
          </w:p>
          <w:p w14:paraId="37685591" w14:textId="77777777" w:rsidR="00A201E0"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14:paraId="38A7669B" w14:textId="77777777" w:rsidR="00A201E0" w:rsidRDefault="00000000">
            <w:pPr>
              <w:snapToGrid w:val="0"/>
              <w:spacing w:line="360" w:lineRule="auto"/>
              <w:rPr>
                <w:rFonts w:eastAsia="宋体"/>
                <w:sz w:val="18"/>
                <w:szCs w:val="18"/>
                <w:u w:val="single"/>
              </w:rPr>
            </w:pPr>
            <w:r>
              <w:rPr>
                <w:rFonts w:eastAsia="宋体"/>
                <w:sz w:val="18"/>
                <w:szCs w:val="18"/>
                <w:u w:val="single"/>
              </w:rPr>
              <w:t>标准的技术内容与适用范围；</w:t>
            </w:r>
          </w:p>
          <w:p w14:paraId="11B960BE" w14:textId="77777777" w:rsidR="00A201E0" w:rsidRDefault="00000000">
            <w:pPr>
              <w:snapToGrid w:val="0"/>
              <w:spacing w:line="360" w:lineRule="auto"/>
              <w:ind w:firstLineChars="200" w:firstLine="360"/>
              <w:rPr>
                <w:rFonts w:eastAsia="宋体"/>
                <w:sz w:val="18"/>
                <w:szCs w:val="18"/>
              </w:rPr>
            </w:pPr>
            <w:r>
              <w:rPr>
                <w:rFonts w:eastAsia="宋体"/>
                <w:sz w:val="18"/>
                <w:szCs w:val="18"/>
              </w:rPr>
              <w:t>本规范适用于工业与民用建筑及构筑物所采用的铁铝酸盐水泥混凝土配合比设计。</w:t>
            </w:r>
          </w:p>
          <w:p w14:paraId="0918145D" w14:textId="77777777" w:rsidR="00A201E0" w:rsidRDefault="00000000">
            <w:pPr>
              <w:snapToGrid w:val="0"/>
              <w:spacing w:line="360" w:lineRule="auto"/>
              <w:ind w:firstLineChars="200" w:firstLine="360"/>
              <w:rPr>
                <w:rFonts w:eastAsia="宋体"/>
                <w:sz w:val="18"/>
                <w:szCs w:val="18"/>
              </w:rPr>
            </w:pPr>
            <w:r>
              <w:rPr>
                <w:rFonts w:eastAsia="宋体"/>
                <w:sz w:val="18"/>
                <w:szCs w:val="18"/>
              </w:rPr>
              <w:t>本规范的主要技术内容包括总则、术语和符号、基本规定、混凝土配制强度的确定、混凝土配合比计算、混凝土配合比的试配、调整与确定。</w:t>
            </w:r>
          </w:p>
        </w:tc>
      </w:tr>
      <w:tr w:rsidR="00A201E0" w14:paraId="41DF666E" w14:textId="77777777">
        <w:trPr>
          <w:trHeight w:val="3533"/>
          <w:jc w:val="center"/>
        </w:trPr>
        <w:tc>
          <w:tcPr>
            <w:tcW w:w="2167" w:type="dxa"/>
            <w:vAlign w:val="center"/>
          </w:tcPr>
          <w:p w14:paraId="40BB4ED4" w14:textId="77777777" w:rsidR="00A201E0" w:rsidRDefault="00000000">
            <w:pPr>
              <w:snapToGrid w:val="0"/>
              <w:spacing w:line="360" w:lineRule="auto"/>
              <w:jc w:val="center"/>
              <w:rPr>
                <w:rFonts w:eastAsia="宋体"/>
                <w:sz w:val="18"/>
                <w:szCs w:val="18"/>
              </w:rPr>
            </w:pPr>
            <w:r>
              <w:rPr>
                <w:rFonts w:eastAsia="宋体"/>
                <w:sz w:val="18"/>
                <w:szCs w:val="18"/>
              </w:rPr>
              <w:t>国内外情况</w:t>
            </w:r>
          </w:p>
          <w:p w14:paraId="6CCBF11B" w14:textId="77777777" w:rsidR="00A201E0"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14:paraId="66ED8DB2" w14:textId="77777777" w:rsidR="00A201E0" w:rsidRDefault="00000000">
            <w:pPr>
              <w:snapToGrid w:val="0"/>
              <w:spacing w:line="360" w:lineRule="auto"/>
              <w:rPr>
                <w:rFonts w:eastAsia="宋体"/>
                <w:sz w:val="18"/>
                <w:szCs w:val="18"/>
              </w:rPr>
            </w:pPr>
            <w:r>
              <w:rPr>
                <w:rFonts w:eastAsia="宋体"/>
                <w:sz w:val="18"/>
                <w:szCs w:val="18"/>
                <w:u w:val="single"/>
              </w:rPr>
              <w:t xml:space="preserve">1. </w:t>
            </w:r>
            <w:r>
              <w:rPr>
                <w:rFonts w:eastAsia="宋体"/>
                <w:sz w:val="18"/>
                <w:szCs w:val="18"/>
                <w:u w:val="single"/>
              </w:rPr>
              <w:t>国内外对该技术研究情况简要说明：</w:t>
            </w:r>
            <w:r>
              <w:rPr>
                <w:rFonts w:eastAsia="宋体"/>
                <w:sz w:val="18"/>
                <w:szCs w:val="18"/>
              </w:rPr>
              <w:t>国内外对该技术研究情况、进程及未来的发展；该技术是否相对稳定，如果不是的话，预计一下技术未来稳定的时间，提出的标准项目是否可作为未来技术发展的基础；</w:t>
            </w:r>
          </w:p>
          <w:p w14:paraId="194020A8" w14:textId="77777777" w:rsidR="00A201E0" w:rsidRDefault="00000000">
            <w:pPr>
              <w:snapToGrid w:val="0"/>
              <w:spacing w:line="360" w:lineRule="auto"/>
              <w:ind w:firstLineChars="200" w:firstLine="360"/>
              <w:rPr>
                <w:rFonts w:eastAsia="宋体"/>
                <w:sz w:val="18"/>
                <w:szCs w:val="18"/>
              </w:rPr>
            </w:pPr>
            <w:r>
              <w:rPr>
                <w:rFonts w:eastAsia="宋体"/>
                <w:sz w:val="18"/>
                <w:szCs w:val="18"/>
              </w:rPr>
              <w:t>铁铝酸盐水泥是我国自主研发的第三系列水泥，国内已形成较为系统的水泥制备、混凝土制备及工程应用技术体系。铁铝酸盐水泥具有早强、高强、抗渗、抗裂、耐腐蚀、耐磨和体积稳定</w:t>
            </w:r>
            <w:r>
              <w:rPr>
                <w:rFonts w:eastAsia="宋体" w:hint="eastAsia"/>
                <w:sz w:val="18"/>
                <w:szCs w:val="18"/>
              </w:rPr>
              <w:t>性好</w:t>
            </w:r>
            <w:r>
              <w:rPr>
                <w:rFonts w:eastAsia="宋体"/>
                <w:sz w:val="18"/>
                <w:szCs w:val="18"/>
              </w:rPr>
              <w:t>等特点，尤其适用于海洋工程、核电工程、隧道工程、盐渍土地区等对混凝土耐久性和长期服役安全要求较高的工程环境。近年来，铁铝酸盐水泥混凝土已在核电工程、海洋工程、隧道工程等国家重大工程中实现应用，并在工程实体浇筑、温控防裂、耐久性提升和施工组织等方面积累了较为成熟的实践经验。</w:t>
            </w:r>
          </w:p>
          <w:p w14:paraId="21DC8FBF" w14:textId="77777777" w:rsidR="00A201E0" w:rsidRDefault="00000000">
            <w:pPr>
              <w:snapToGrid w:val="0"/>
              <w:spacing w:line="360" w:lineRule="auto"/>
              <w:ind w:firstLineChars="200" w:firstLine="360"/>
              <w:rPr>
                <w:rFonts w:eastAsia="宋体"/>
                <w:sz w:val="18"/>
                <w:szCs w:val="18"/>
              </w:rPr>
            </w:pPr>
            <w:r>
              <w:rPr>
                <w:rFonts w:eastAsia="宋体"/>
                <w:sz w:val="18"/>
                <w:szCs w:val="18"/>
              </w:rPr>
              <w:t>国家标准</w:t>
            </w:r>
            <w:r>
              <w:rPr>
                <w:rFonts w:eastAsia="宋体"/>
                <w:sz w:val="18"/>
                <w:szCs w:val="18"/>
              </w:rPr>
              <w:t>GB/T 45920—2025</w:t>
            </w:r>
            <w:r>
              <w:rPr>
                <w:rFonts w:eastAsia="宋体"/>
                <w:sz w:val="18"/>
                <w:szCs w:val="18"/>
              </w:rPr>
              <w:t>《铁铝酸盐水泥》已发布</w:t>
            </w:r>
            <w:r>
              <w:rPr>
                <w:rFonts w:eastAsia="宋体" w:hint="eastAsia"/>
                <w:sz w:val="18"/>
                <w:szCs w:val="18"/>
              </w:rPr>
              <w:t>并</w:t>
            </w:r>
            <w:r>
              <w:rPr>
                <w:rFonts w:eastAsia="宋体"/>
                <w:sz w:val="18"/>
                <w:szCs w:val="18"/>
              </w:rPr>
              <w:t>实施，为铁铝酸盐水泥产品质量控制提供了依据；同时，</w:t>
            </w:r>
            <w:r>
              <w:rPr>
                <w:rFonts w:eastAsia="宋体"/>
                <w:sz w:val="18"/>
                <w:szCs w:val="18"/>
              </w:rPr>
              <w:t>JC/T 60037</w:t>
            </w:r>
            <w:r>
              <w:rPr>
                <w:rFonts w:eastAsia="宋体"/>
                <w:sz w:val="18"/>
                <w:szCs w:val="18"/>
              </w:rPr>
              <w:t>《铁铝酸盐水泥混凝土在海洋工程中应用技术规范》等专项应用标准已</w:t>
            </w:r>
            <w:r>
              <w:rPr>
                <w:rFonts w:eastAsia="宋体" w:hint="eastAsia"/>
                <w:sz w:val="18"/>
                <w:szCs w:val="18"/>
              </w:rPr>
              <w:t>完成</w:t>
            </w:r>
            <w:r>
              <w:rPr>
                <w:rFonts w:eastAsia="宋体"/>
                <w:sz w:val="18"/>
                <w:szCs w:val="18"/>
              </w:rPr>
              <w:t>制定，</w:t>
            </w:r>
            <w:r>
              <w:rPr>
                <w:rFonts w:eastAsia="宋体" w:hint="eastAsia"/>
                <w:sz w:val="18"/>
                <w:szCs w:val="18"/>
              </w:rPr>
              <w:t>表明</w:t>
            </w:r>
            <w:r>
              <w:rPr>
                <w:rFonts w:eastAsia="宋体"/>
                <w:sz w:val="18"/>
                <w:szCs w:val="18"/>
              </w:rPr>
              <w:t>该技术已具备从产品标准向工程应用标准延伸的</w:t>
            </w:r>
            <w:r>
              <w:rPr>
                <w:rFonts w:eastAsia="宋体" w:hint="eastAsia"/>
                <w:sz w:val="18"/>
                <w:szCs w:val="18"/>
              </w:rPr>
              <w:t>标准化</w:t>
            </w:r>
            <w:r>
              <w:rPr>
                <w:rFonts w:eastAsia="宋体"/>
                <w:sz w:val="18"/>
                <w:szCs w:val="18"/>
              </w:rPr>
              <w:t>基础条件。与国外相比，铁铝酸盐水泥作为我国自主研发并持续完善的特种水泥体系，国内在材料研究、工程示范和标准化推进方面具有较强的技术积累和应用基础；未来其应用方向将进一步面向海洋工程、核电工程、交通隧道、地下工程、重大基础设施修复加固等高耐久国家重大工程领域拓展。</w:t>
            </w:r>
          </w:p>
          <w:p w14:paraId="3A2169AE" w14:textId="77777777" w:rsidR="00A201E0" w:rsidRDefault="00000000">
            <w:pPr>
              <w:snapToGrid w:val="0"/>
              <w:spacing w:line="360" w:lineRule="auto"/>
              <w:ind w:firstLineChars="200" w:firstLine="360"/>
              <w:rPr>
                <w:rFonts w:eastAsia="宋体"/>
                <w:sz w:val="18"/>
                <w:szCs w:val="18"/>
              </w:rPr>
            </w:pPr>
            <w:r>
              <w:rPr>
                <w:rFonts w:eastAsia="宋体"/>
                <w:sz w:val="18"/>
                <w:szCs w:val="18"/>
              </w:rPr>
              <w:t>铁铝酸盐水泥混凝土配合比设计技术在国内已相对成熟，不属于尚处于探索阶段或技术路线频繁变化的技术。当前需要解决的重点已由材料可行性验证和单项工程示范，转向配合比设计方法统一、性能指标协同控制、工程应用质量稳定和不同服役环境下推广应用等问题。因此，制定《铁铝酸盐水泥混凝土配合比设计规范》具备较好的技术成熟度和标准化条件。</w:t>
            </w:r>
          </w:p>
          <w:p w14:paraId="1E4F140B" w14:textId="77777777" w:rsidR="00A201E0" w:rsidRDefault="00000000">
            <w:pPr>
              <w:snapToGrid w:val="0"/>
              <w:spacing w:line="360" w:lineRule="auto"/>
              <w:ind w:firstLineChars="200" w:firstLine="360"/>
              <w:rPr>
                <w:rFonts w:eastAsia="宋体"/>
                <w:sz w:val="18"/>
                <w:szCs w:val="18"/>
              </w:rPr>
            </w:pPr>
            <w:r>
              <w:rPr>
                <w:rFonts w:eastAsia="宋体" w:hint="eastAsia"/>
                <w:sz w:val="18"/>
                <w:szCs w:val="18"/>
              </w:rPr>
              <w:t>本标准项目可为铁铝酸盐水泥混凝土未来技术发展提供基础支撑</w:t>
            </w:r>
            <w:r>
              <w:rPr>
                <w:rFonts w:eastAsia="宋体"/>
                <w:sz w:val="18"/>
                <w:szCs w:val="18"/>
              </w:rPr>
              <w:t>。配合比设计是铁铝酸盐水泥材料性能转化为工程结构性能的关键环节；统一水胶比、胶凝材料用量、外加剂适应性</w:t>
            </w:r>
            <w:r>
              <w:rPr>
                <w:rFonts w:eastAsia="宋体" w:hint="eastAsia"/>
                <w:sz w:val="18"/>
                <w:szCs w:val="18"/>
              </w:rPr>
              <w:t>评价</w:t>
            </w:r>
            <w:r>
              <w:rPr>
                <w:rFonts w:eastAsia="宋体"/>
                <w:sz w:val="18"/>
                <w:szCs w:val="18"/>
              </w:rPr>
              <w:t>、试</w:t>
            </w:r>
            <w:proofErr w:type="gramStart"/>
            <w:r>
              <w:rPr>
                <w:rFonts w:eastAsia="宋体"/>
                <w:sz w:val="18"/>
                <w:szCs w:val="18"/>
              </w:rPr>
              <w:t>配调整</w:t>
            </w:r>
            <w:proofErr w:type="gramEnd"/>
            <w:r>
              <w:rPr>
                <w:rFonts w:eastAsia="宋体"/>
                <w:sz w:val="18"/>
                <w:szCs w:val="18"/>
              </w:rPr>
              <w:t>等技术要求，有利于提高工程应用质量稳定性；标准的</w:t>
            </w:r>
            <w:r>
              <w:rPr>
                <w:rFonts w:eastAsia="宋体" w:hint="eastAsia"/>
                <w:sz w:val="18"/>
                <w:szCs w:val="18"/>
              </w:rPr>
              <w:t>制定</w:t>
            </w:r>
            <w:r>
              <w:rPr>
                <w:rFonts w:eastAsia="宋体"/>
                <w:sz w:val="18"/>
                <w:szCs w:val="18"/>
              </w:rPr>
              <w:t>可为海洋工程、核电工程、隧道工程、地下工程等不同高耐久应用场景提供共性技术依据，并为后续施工、验收、耐久性评价和专项工程应用标准的完善提供</w:t>
            </w:r>
            <w:r>
              <w:rPr>
                <w:rFonts w:eastAsia="宋体" w:hint="eastAsia"/>
                <w:sz w:val="18"/>
                <w:szCs w:val="18"/>
              </w:rPr>
              <w:t>技术</w:t>
            </w:r>
            <w:r>
              <w:rPr>
                <w:rFonts w:eastAsia="宋体"/>
                <w:sz w:val="18"/>
                <w:szCs w:val="18"/>
              </w:rPr>
              <w:t>支撑。</w:t>
            </w:r>
          </w:p>
          <w:p w14:paraId="4261CD4A" w14:textId="77777777" w:rsidR="00A201E0" w:rsidRDefault="00000000">
            <w:pPr>
              <w:snapToGrid w:val="0"/>
              <w:spacing w:line="360" w:lineRule="auto"/>
              <w:rPr>
                <w:rFonts w:eastAsia="宋体"/>
                <w:sz w:val="18"/>
                <w:szCs w:val="18"/>
              </w:rPr>
            </w:pPr>
            <w:r>
              <w:rPr>
                <w:rFonts w:eastAsia="宋体"/>
                <w:sz w:val="18"/>
                <w:szCs w:val="18"/>
                <w:u w:val="single"/>
              </w:rPr>
              <w:lastRenderedPageBreak/>
              <w:t xml:space="preserve">2. </w:t>
            </w:r>
            <w:r>
              <w:rPr>
                <w:rFonts w:eastAsia="宋体"/>
                <w:sz w:val="18"/>
                <w:szCs w:val="18"/>
                <w:u w:val="single"/>
              </w:rPr>
              <w:t>项目与国际标准或国外先进标准采用程度的考虑：</w:t>
            </w:r>
            <w:r>
              <w:rPr>
                <w:rFonts w:eastAsia="宋体"/>
                <w:sz w:val="18"/>
                <w:szCs w:val="18"/>
              </w:rPr>
              <w:t>该标准项目是否有对应的国际标准或国外先进标准，标准制定过程中如何考虑采用的问题；</w:t>
            </w:r>
          </w:p>
          <w:p w14:paraId="34C74310" w14:textId="77777777" w:rsidR="00A201E0" w:rsidRDefault="00000000">
            <w:pPr>
              <w:snapToGrid w:val="0"/>
              <w:spacing w:line="360" w:lineRule="auto"/>
              <w:ind w:firstLineChars="200" w:firstLine="360"/>
              <w:rPr>
                <w:rFonts w:eastAsia="宋体"/>
                <w:sz w:val="18"/>
                <w:szCs w:val="18"/>
              </w:rPr>
            </w:pPr>
            <w:r>
              <w:rPr>
                <w:rFonts w:eastAsia="宋体"/>
                <w:sz w:val="18"/>
                <w:szCs w:val="18"/>
              </w:rPr>
              <w:t>项目尚无对应的国际标准。</w:t>
            </w:r>
          </w:p>
          <w:p w14:paraId="3D0D71BD" w14:textId="77777777" w:rsidR="00A201E0" w:rsidRPr="00816853" w:rsidRDefault="00000000">
            <w:pPr>
              <w:snapToGrid w:val="0"/>
              <w:spacing w:line="360" w:lineRule="auto"/>
              <w:rPr>
                <w:rFonts w:eastAsia="宋体"/>
                <w:sz w:val="18"/>
                <w:szCs w:val="18"/>
              </w:rPr>
            </w:pPr>
            <w:r w:rsidRPr="00816853">
              <w:rPr>
                <w:rFonts w:eastAsia="宋体"/>
                <w:sz w:val="18"/>
                <w:szCs w:val="18"/>
                <w:u w:val="single"/>
              </w:rPr>
              <w:t xml:space="preserve">3. </w:t>
            </w:r>
            <w:r w:rsidRPr="00816853">
              <w:rPr>
                <w:rFonts w:eastAsia="宋体"/>
                <w:sz w:val="18"/>
                <w:szCs w:val="18"/>
                <w:u w:val="single"/>
              </w:rPr>
              <w:t>与国内相关标准间的关系：</w:t>
            </w:r>
            <w:r w:rsidRPr="00816853">
              <w:rPr>
                <w:rFonts w:eastAsia="宋体"/>
                <w:sz w:val="18"/>
                <w:szCs w:val="18"/>
              </w:rPr>
              <w:t>该标准项目是否有相关的国家或行业标准，该标准项目与这些标准是什么关系，该标准项目在标准体系中的位置；</w:t>
            </w:r>
          </w:p>
          <w:p w14:paraId="59D7D8AF" w14:textId="77777777" w:rsidR="00A201E0" w:rsidRDefault="00000000">
            <w:pPr>
              <w:snapToGrid w:val="0"/>
              <w:spacing w:line="360" w:lineRule="auto"/>
              <w:ind w:firstLineChars="200" w:firstLine="360"/>
              <w:rPr>
                <w:rFonts w:eastAsia="宋体"/>
                <w:sz w:val="18"/>
                <w:szCs w:val="18"/>
              </w:rPr>
            </w:pPr>
            <w:r>
              <w:rPr>
                <w:rFonts w:eastAsia="宋体"/>
                <w:sz w:val="18"/>
                <w:szCs w:val="18"/>
              </w:rPr>
              <w:t>国内与本标准项目相关的标准主要包括</w:t>
            </w:r>
            <w:r>
              <w:rPr>
                <w:rFonts w:eastAsia="宋体"/>
                <w:sz w:val="18"/>
                <w:szCs w:val="18"/>
              </w:rPr>
              <w:t>GB/T 45920—2025</w:t>
            </w:r>
            <w:r>
              <w:rPr>
                <w:rFonts w:eastAsia="宋体"/>
                <w:sz w:val="18"/>
                <w:szCs w:val="18"/>
              </w:rPr>
              <w:t>《铁铝酸盐水泥》、</w:t>
            </w:r>
            <w:r>
              <w:rPr>
                <w:rFonts w:eastAsia="宋体"/>
                <w:sz w:val="18"/>
                <w:szCs w:val="18"/>
              </w:rPr>
              <w:t>JC/T 60037</w:t>
            </w:r>
            <w:r>
              <w:rPr>
                <w:rFonts w:eastAsia="宋体"/>
                <w:sz w:val="18"/>
                <w:szCs w:val="18"/>
              </w:rPr>
              <w:t>《铁铝酸盐水泥混凝土在海洋工程中应用技术规范》。</w:t>
            </w:r>
            <w:r>
              <w:rPr>
                <w:rFonts w:eastAsia="宋体"/>
                <w:sz w:val="18"/>
                <w:szCs w:val="18"/>
              </w:rPr>
              <w:t>GB/T 45920—2025</w:t>
            </w:r>
            <w:r>
              <w:rPr>
                <w:rFonts w:eastAsia="宋体"/>
                <w:sz w:val="18"/>
                <w:szCs w:val="18"/>
              </w:rPr>
              <w:t>主要规定铁铝酸盐水泥产品的技术要求、试验方法和检验规则，为本标准提供材料产品依据；</w:t>
            </w:r>
            <w:r>
              <w:rPr>
                <w:rFonts w:eastAsia="宋体"/>
                <w:sz w:val="18"/>
                <w:szCs w:val="18"/>
              </w:rPr>
              <w:t>JC/T 60037</w:t>
            </w:r>
            <w:r>
              <w:rPr>
                <w:rFonts w:eastAsia="宋体"/>
                <w:sz w:val="18"/>
                <w:szCs w:val="18"/>
              </w:rPr>
              <w:t>主要针对铁铝酸盐水泥混凝土在海洋工程中的应用提出技术要求，属于特定工程场景下的专项应用标准。本标准聚焦铁铝酸盐水泥混凝土配合比设计这一共性关键环节，</w:t>
            </w:r>
            <w:r>
              <w:rPr>
                <w:rFonts w:eastAsia="宋体" w:hint="eastAsia"/>
                <w:sz w:val="18"/>
                <w:szCs w:val="18"/>
              </w:rPr>
              <w:t>适用于相关工程中该类混凝土的配合比设计以及试配、调整与确定</w:t>
            </w:r>
            <w:r>
              <w:rPr>
                <w:rFonts w:eastAsia="宋体"/>
                <w:sz w:val="18"/>
                <w:szCs w:val="18"/>
              </w:rPr>
              <w:t>。</w:t>
            </w:r>
          </w:p>
          <w:p w14:paraId="4CF74425" w14:textId="77777777" w:rsidR="00A201E0" w:rsidRDefault="00000000">
            <w:pPr>
              <w:snapToGrid w:val="0"/>
              <w:spacing w:line="360" w:lineRule="auto"/>
              <w:ind w:firstLineChars="200" w:firstLine="360"/>
              <w:rPr>
                <w:rFonts w:eastAsia="宋体"/>
                <w:sz w:val="18"/>
                <w:szCs w:val="18"/>
              </w:rPr>
            </w:pPr>
            <w:r>
              <w:rPr>
                <w:rFonts w:eastAsia="宋体"/>
                <w:sz w:val="18"/>
                <w:szCs w:val="18"/>
              </w:rPr>
              <w:t>本标准与</w:t>
            </w:r>
            <w:r>
              <w:rPr>
                <w:rFonts w:eastAsia="宋体"/>
                <w:sz w:val="18"/>
                <w:szCs w:val="18"/>
              </w:rPr>
              <w:t>JGJ 55—2011</w:t>
            </w:r>
            <w:r>
              <w:rPr>
                <w:rFonts w:eastAsia="宋体"/>
                <w:sz w:val="18"/>
                <w:szCs w:val="18"/>
              </w:rPr>
              <w:t>《普通混凝土配合比设计规程》的主要区别在于适用对象和技术重点不同。</w:t>
            </w:r>
            <w:r>
              <w:rPr>
                <w:rFonts w:eastAsia="宋体"/>
                <w:sz w:val="18"/>
                <w:szCs w:val="18"/>
              </w:rPr>
              <w:t>JGJ 55—2011</w:t>
            </w:r>
            <w:r>
              <w:rPr>
                <w:rFonts w:eastAsia="宋体"/>
                <w:sz w:val="18"/>
                <w:szCs w:val="18"/>
              </w:rPr>
              <w:t>适用于普通混凝土配合比设计，而本标准适用于铁铝酸盐水泥混凝土。铁铝酸盐水泥在熟料矿物组成、水化反应、水化产物类型、凝结硬化规律、强度发展特征、体积稳定性、外加剂适应性及耐久性等方面与硅酸盐水泥差异</w:t>
            </w:r>
            <w:r>
              <w:rPr>
                <w:rFonts w:eastAsia="宋体" w:hint="eastAsia"/>
                <w:sz w:val="18"/>
                <w:szCs w:val="18"/>
              </w:rPr>
              <w:t>显著</w:t>
            </w:r>
            <w:r>
              <w:rPr>
                <w:rFonts w:eastAsia="宋体"/>
                <w:sz w:val="18"/>
                <w:szCs w:val="18"/>
              </w:rPr>
              <w:t>，其配合比设计不能简单套用普通混凝土设计方法。本标准将重点围绕铁铝酸盐水泥混凝土</w:t>
            </w:r>
            <w:r>
              <w:rPr>
                <w:rFonts w:eastAsia="宋体" w:hint="eastAsia"/>
                <w:sz w:val="18"/>
                <w:szCs w:val="18"/>
              </w:rPr>
              <w:t>配合比设计需求</w:t>
            </w:r>
            <w:r>
              <w:rPr>
                <w:rFonts w:eastAsia="宋体"/>
                <w:sz w:val="18"/>
                <w:szCs w:val="18"/>
              </w:rPr>
              <w:t>，明确水胶比、胶凝材料用量、砂率、</w:t>
            </w:r>
            <w:r>
              <w:rPr>
                <w:rFonts w:eastAsia="宋体" w:hint="eastAsia"/>
                <w:sz w:val="18"/>
                <w:szCs w:val="18"/>
              </w:rPr>
              <w:t>外加剂适应性评价、试配、调整与确定等关键技术要求</w:t>
            </w:r>
            <w:r>
              <w:rPr>
                <w:rFonts w:eastAsia="宋体"/>
                <w:sz w:val="18"/>
                <w:szCs w:val="18"/>
              </w:rPr>
              <w:t>。</w:t>
            </w:r>
          </w:p>
          <w:p w14:paraId="7A692F15" w14:textId="77777777" w:rsidR="00A201E0" w:rsidRDefault="00000000">
            <w:pPr>
              <w:snapToGrid w:val="0"/>
              <w:spacing w:line="360" w:lineRule="auto"/>
              <w:ind w:firstLineChars="200" w:firstLine="360"/>
              <w:rPr>
                <w:rFonts w:eastAsia="宋体"/>
                <w:sz w:val="18"/>
                <w:szCs w:val="18"/>
              </w:rPr>
            </w:pPr>
            <w:r>
              <w:rPr>
                <w:rFonts w:eastAsia="宋体"/>
                <w:sz w:val="18"/>
                <w:szCs w:val="18"/>
              </w:rPr>
              <w:t>在标准体系中，本标准属于铁铝酸盐水泥产品标准与工程应用标准之间的配合比设计类工程建设标准，是连接材料性能、工程设计、施工应用和质量控制的重要技术文件。其制定将填补铁铝酸盐水泥混凝土配合比设计标准的空白，与现有产品标准和专项应用标准形成协调配套关系，为铁铝酸盐水泥混凝土在海洋工程、核电工程、交通工程、地下工程等高耐久重大工程中的规范化应用提供技术支撑。</w:t>
            </w:r>
          </w:p>
          <w:p w14:paraId="33466B6A" w14:textId="77777777" w:rsidR="00A201E0" w:rsidRDefault="00000000">
            <w:pPr>
              <w:snapToGrid w:val="0"/>
              <w:spacing w:line="360" w:lineRule="auto"/>
              <w:rPr>
                <w:rFonts w:eastAsia="宋体"/>
                <w:sz w:val="18"/>
                <w:szCs w:val="18"/>
                <w:u w:val="single"/>
              </w:rPr>
            </w:pPr>
            <w:r>
              <w:rPr>
                <w:rFonts w:eastAsia="宋体"/>
                <w:sz w:val="18"/>
                <w:szCs w:val="18"/>
                <w:u w:val="single"/>
              </w:rPr>
              <w:t xml:space="preserve">4. </w:t>
            </w:r>
            <w:r>
              <w:rPr>
                <w:rFonts w:eastAsia="宋体"/>
                <w:sz w:val="18"/>
                <w:szCs w:val="18"/>
                <w:u w:val="single"/>
              </w:rPr>
              <w:t>指出是否发现有知识产权的问题。</w:t>
            </w:r>
          </w:p>
          <w:p w14:paraId="47D1420A" w14:textId="77777777" w:rsidR="00A201E0" w:rsidRDefault="00000000">
            <w:pPr>
              <w:snapToGrid w:val="0"/>
              <w:spacing w:line="360" w:lineRule="auto"/>
              <w:ind w:firstLineChars="200" w:firstLine="360"/>
              <w:rPr>
                <w:rFonts w:eastAsia="宋体"/>
                <w:sz w:val="18"/>
                <w:szCs w:val="18"/>
              </w:rPr>
            </w:pPr>
            <w:r>
              <w:rPr>
                <w:rFonts w:eastAsia="宋体" w:hint="eastAsia"/>
                <w:sz w:val="18"/>
                <w:szCs w:val="18"/>
              </w:rPr>
              <w:t>未</w:t>
            </w:r>
            <w:r>
              <w:rPr>
                <w:rFonts w:eastAsia="宋体"/>
                <w:sz w:val="18"/>
                <w:szCs w:val="18"/>
              </w:rPr>
              <w:t>发现知识产权问题。</w:t>
            </w:r>
          </w:p>
        </w:tc>
      </w:tr>
      <w:tr w:rsidR="00A201E0" w14:paraId="09CC7673" w14:textId="77777777">
        <w:trPr>
          <w:cantSplit/>
          <w:trHeight w:val="1162"/>
          <w:jc w:val="center"/>
        </w:trPr>
        <w:tc>
          <w:tcPr>
            <w:tcW w:w="2167" w:type="dxa"/>
            <w:vAlign w:val="center"/>
          </w:tcPr>
          <w:p w14:paraId="326959E9" w14:textId="77777777" w:rsidR="00A201E0" w:rsidRPr="00816853" w:rsidRDefault="00000000">
            <w:pPr>
              <w:pStyle w:val="a5"/>
              <w:tabs>
                <w:tab w:val="clear" w:pos="4153"/>
                <w:tab w:val="clear" w:pos="8306"/>
              </w:tabs>
              <w:spacing w:line="360" w:lineRule="auto"/>
              <w:rPr>
                <w:rFonts w:ascii="Times New Roman" w:eastAsia="宋体" w:hAnsi="Times New Roman" w:cs="Times New Roman"/>
              </w:rPr>
            </w:pPr>
            <w:r w:rsidRPr="00816853">
              <w:rPr>
                <w:rFonts w:ascii="Times New Roman" w:eastAsia="宋体" w:hAnsi="Times New Roman" w:cs="Times New Roman"/>
              </w:rPr>
              <w:lastRenderedPageBreak/>
              <w:t>牵头单位</w:t>
            </w:r>
          </w:p>
        </w:tc>
        <w:tc>
          <w:tcPr>
            <w:tcW w:w="3972" w:type="dxa"/>
            <w:gridSpan w:val="5"/>
            <w:vAlign w:val="center"/>
          </w:tcPr>
          <w:p w14:paraId="0EAB1238" w14:textId="77777777" w:rsidR="00A201E0" w:rsidRDefault="00A201E0">
            <w:pPr>
              <w:snapToGrid w:val="0"/>
              <w:spacing w:line="360" w:lineRule="auto"/>
              <w:jc w:val="center"/>
              <w:rPr>
                <w:rFonts w:eastAsia="宋体"/>
                <w:sz w:val="18"/>
                <w:szCs w:val="18"/>
              </w:rPr>
            </w:pPr>
          </w:p>
          <w:p w14:paraId="53E6A843" w14:textId="77777777" w:rsidR="00A201E0" w:rsidRDefault="00000000">
            <w:pPr>
              <w:snapToGrid w:val="0"/>
              <w:spacing w:line="360" w:lineRule="auto"/>
              <w:jc w:val="center"/>
              <w:rPr>
                <w:rFonts w:eastAsia="宋体"/>
                <w:sz w:val="18"/>
                <w:szCs w:val="18"/>
              </w:rPr>
            </w:pPr>
            <w:r>
              <w:rPr>
                <w:rFonts w:eastAsia="宋体"/>
                <w:sz w:val="18"/>
                <w:szCs w:val="18"/>
              </w:rPr>
              <w:t>（签字、盖公章）</w:t>
            </w:r>
            <w:r>
              <w:rPr>
                <w:rFonts w:eastAsia="宋体" w:hint="eastAsia"/>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c>
          <w:tcPr>
            <w:tcW w:w="1701" w:type="dxa"/>
            <w:gridSpan w:val="2"/>
            <w:vAlign w:val="center"/>
          </w:tcPr>
          <w:p w14:paraId="52D1FBD7" w14:textId="77777777" w:rsidR="00A201E0" w:rsidRDefault="00000000">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14:paraId="5CB7375A" w14:textId="77777777" w:rsidR="00A201E0" w:rsidRDefault="00A201E0">
            <w:pPr>
              <w:snapToGrid w:val="0"/>
              <w:spacing w:line="360" w:lineRule="auto"/>
              <w:rPr>
                <w:rFonts w:eastAsia="宋体"/>
                <w:sz w:val="18"/>
                <w:szCs w:val="18"/>
              </w:rPr>
            </w:pPr>
          </w:p>
          <w:p w14:paraId="7BD36623" w14:textId="77777777" w:rsidR="00A201E0" w:rsidRDefault="00000000">
            <w:pPr>
              <w:snapToGrid w:val="0"/>
              <w:rPr>
                <w:rFonts w:eastAsia="宋体"/>
                <w:sz w:val="18"/>
                <w:szCs w:val="18"/>
              </w:rPr>
            </w:pPr>
            <w:r>
              <w:rPr>
                <w:rFonts w:eastAsia="宋体"/>
                <w:sz w:val="18"/>
                <w:szCs w:val="18"/>
              </w:rPr>
              <w:t>（签字、盖公章）</w:t>
            </w:r>
          </w:p>
          <w:p w14:paraId="780242E0" w14:textId="77777777" w:rsidR="00A201E0" w:rsidRDefault="00000000">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03E8E2FC" w14:textId="77777777" w:rsidR="00A201E0" w:rsidRDefault="00000000">
      <w:pPr>
        <w:snapToGrid w:val="0"/>
        <w:spacing w:beforeLines="50" w:before="156"/>
        <w:ind w:firstLineChars="280" w:firstLine="504"/>
        <w:rPr>
          <w:rFonts w:eastAsia="宋体"/>
          <w:sz w:val="18"/>
          <w:szCs w:val="18"/>
        </w:rPr>
      </w:pPr>
      <w:r>
        <w:rPr>
          <w:rFonts w:eastAsia="宋体"/>
          <w:sz w:val="18"/>
          <w:szCs w:val="18"/>
        </w:rPr>
        <w:t>[</w:t>
      </w:r>
      <w:r>
        <w:rPr>
          <w:rFonts w:eastAsia="宋体"/>
          <w:sz w:val="18"/>
          <w:szCs w:val="18"/>
        </w:rPr>
        <w:t>注</w:t>
      </w:r>
      <w:r>
        <w:rPr>
          <w:rFonts w:eastAsia="宋体"/>
          <w:sz w:val="18"/>
          <w:szCs w:val="18"/>
        </w:rPr>
        <w:t xml:space="preserve">1]  </w:t>
      </w:r>
      <w:r>
        <w:rPr>
          <w:rFonts w:eastAsia="宋体"/>
          <w:sz w:val="18"/>
          <w:szCs w:val="18"/>
        </w:rPr>
        <w:t>填写制定或修订项目中，若选择修订必须填写被修订标准号；</w:t>
      </w:r>
    </w:p>
    <w:p w14:paraId="1858A2C9" w14:textId="77777777" w:rsidR="00A201E0" w:rsidRDefault="00000000">
      <w:pPr>
        <w:snapToGrid w:val="0"/>
        <w:ind w:firstLineChars="280" w:firstLine="504"/>
        <w:rPr>
          <w:rFonts w:eastAsia="宋体"/>
          <w:sz w:val="18"/>
          <w:szCs w:val="18"/>
        </w:rPr>
      </w:pPr>
      <w:r>
        <w:rPr>
          <w:rFonts w:eastAsia="宋体"/>
          <w:sz w:val="18"/>
          <w:szCs w:val="18"/>
        </w:rPr>
        <w:t>[</w:t>
      </w:r>
      <w:r>
        <w:rPr>
          <w:rFonts w:eastAsia="宋体"/>
          <w:sz w:val="18"/>
          <w:szCs w:val="18"/>
        </w:rPr>
        <w:t>注</w:t>
      </w:r>
      <w:r>
        <w:rPr>
          <w:rFonts w:eastAsia="宋体"/>
          <w:sz w:val="18"/>
          <w:szCs w:val="18"/>
        </w:rPr>
        <w:t xml:space="preserve">2]  </w:t>
      </w:r>
      <w:r>
        <w:rPr>
          <w:rFonts w:eastAsia="宋体"/>
          <w:sz w:val="18"/>
          <w:szCs w:val="18"/>
        </w:rPr>
        <w:t>选择采用国际标准，必须填写采标号及采用程度；</w:t>
      </w:r>
    </w:p>
    <w:p w14:paraId="1B69A634" w14:textId="77777777" w:rsidR="00A201E0" w:rsidRDefault="00000000">
      <w:pPr>
        <w:snapToGrid w:val="0"/>
        <w:ind w:leftChars="160" w:left="448" w:firstLineChars="30" w:firstLine="54"/>
        <w:rPr>
          <w:sz w:val="18"/>
          <w:szCs w:val="18"/>
        </w:rPr>
      </w:pPr>
      <w:r>
        <w:rPr>
          <w:rFonts w:eastAsia="宋体"/>
          <w:sz w:val="18"/>
          <w:szCs w:val="18"/>
        </w:rPr>
        <w:t>[</w:t>
      </w:r>
      <w:r>
        <w:rPr>
          <w:rFonts w:eastAsia="宋体"/>
          <w:sz w:val="18"/>
          <w:szCs w:val="18"/>
        </w:rPr>
        <w:t>注</w:t>
      </w:r>
      <w:r>
        <w:rPr>
          <w:rFonts w:eastAsia="宋体"/>
          <w:sz w:val="18"/>
          <w:szCs w:val="18"/>
        </w:rPr>
        <w:t xml:space="preserve">3]  </w:t>
      </w:r>
      <w:r>
        <w:rPr>
          <w:rFonts w:eastAsia="宋体"/>
          <w:sz w:val="18"/>
          <w:szCs w:val="18"/>
        </w:rPr>
        <w:t>选择采用快速程序，必须填写快速程序代码。</w:t>
      </w:r>
    </w:p>
    <w:p w14:paraId="3F19E0AC" w14:textId="77777777" w:rsidR="00A201E0" w:rsidRDefault="00A201E0">
      <w:pPr>
        <w:snapToGrid w:val="0"/>
        <w:rPr>
          <w:sz w:val="18"/>
          <w:szCs w:val="18"/>
        </w:rPr>
      </w:pPr>
    </w:p>
    <w:p w14:paraId="5ECD00C5" w14:textId="77777777" w:rsidR="00A201E0" w:rsidRDefault="00A201E0"/>
    <w:sectPr w:rsidR="00A201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499"/>
    <w:rsid w:val="00095AAA"/>
    <w:rsid w:val="000A1D9F"/>
    <w:rsid w:val="000F76FF"/>
    <w:rsid w:val="00114EB3"/>
    <w:rsid w:val="00141DAB"/>
    <w:rsid w:val="00145369"/>
    <w:rsid w:val="00174F27"/>
    <w:rsid w:val="0019488E"/>
    <w:rsid w:val="001F144F"/>
    <w:rsid w:val="001F508F"/>
    <w:rsid w:val="00211951"/>
    <w:rsid w:val="00220078"/>
    <w:rsid w:val="00243BFB"/>
    <w:rsid w:val="00275DC8"/>
    <w:rsid w:val="002765DB"/>
    <w:rsid w:val="0030292A"/>
    <w:rsid w:val="00314295"/>
    <w:rsid w:val="003446A9"/>
    <w:rsid w:val="003B574D"/>
    <w:rsid w:val="003F231B"/>
    <w:rsid w:val="00407EBB"/>
    <w:rsid w:val="004474E7"/>
    <w:rsid w:val="004634A2"/>
    <w:rsid w:val="00495175"/>
    <w:rsid w:val="004C3051"/>
    <w:rsid w:val="004F7FEE"/>
    <w:rsid w:val="00507E12"/>
    <w:rsid w:val="005221F3"/>
    <w:rsid w:val="00544EC0"/>
    <w:rsid w:val="0055061D"/>
    <w:rsid w:val="00563FCF"/>
    <w:rsid w:val="00567D78"/>
    <w:rsid w:val="00583DF6"/>
    <w:rsid w:val="005862CC"/>
    <w:rsid w:val="00597E8D"/>
    <w:rsid w:val="005A442C"/>
    <w:rsid w:val="00617501"/>
    <w:rsid w:val="006239D9"/>
    <w:rsid w:val="00631028"/>
    <w:rsid w:val="00631D93"/>
    <w:rsid w:val="00677712"/>
    <w:rsid w:val="006F5077"/>
    <w:rsid w:val="007164D7"/>
    <w:rsid w:val="00723729"/>
    <w:rsid w:val="00741130"/>
    <w:rsid w:val="00747499"/>
    <w:rsid w:val="0075625B"/>
    <w:rsid w:val="007D18B0"/>
    <w:rsid w:val="00816853"/>
    <w:rsid w:val="00866979"/>
    <w:rsid w:val="00866C17"/>
    <w:rsid w:val="00871C21"/>
    <w:rsid w:val="008729CE"/>
    <w:rsid w:val="008A487C"/>
    <w:rsid w:val="008C729B"/>
    <w:rsid w:val="008F18AD"/>
    <w:rsid w:val="00972A20"/>
    <w:rsid w:val="009762CB"/>
    <w:rsid w:val="00987276"/>
    <w:rsid w:val="0099188A"/>
    <w:rsid w:val="009A0E31"/>
    <w:rsid w:val="00A201E0"/>
    <w:rsid w:val="00A365B0"/>
    <w:rsid w:val="00A618D0"/>
    <w:rsid w:val="00B05AF9"/>
    <w:rsid w:val="00B33382"/>
    <w:rsid w:val="00B97FA1"/>
    <w:rsid w:val="00BE11F9"/>
    <w:rsid w:val="00C00095"/>
    <w:rsid w:val="00C01954"/>
    <w:rsid w:val="00C3471E"/>
    <w:rsid w:val="00C54138"/>
    <w:rsid w:val="00C76205"/>
    <w:rsid w:val="00CB5C9F"/>
    <w:rsid w:val="00CB7263"/>
    <w:rsid w:val="00D026F5"/>
    <w:rsid w:val="00D52D07"/>
    <w:rsid w:val="00DD09B2"/>
    <w:rsid w:val="00DF2B6B"/>
    <w:rsid w:val="00DF3E5E"/>
    <w:rsid w:val="00DF7B1A"/>
    <w:rsid w:val="00E03E1D"/>
    <w:rsid w:val="00E1475B"/>
    <w:rsid w:val="00E3590A"/>
    <w:rsid w:val="00E45909"/>
    <w:rsid w:val="00E6731B"/>
    <w:rsid w:val="00F379B2"/>
    <w:rsid w:val="00F5518C"/>
    <w:rsid w:val="00F7264B"/>
    <w:rsid w:val="00F87EEC"/>
    <w:rsid w:val="57076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A12FE4"/>
  <w15:docId w15:val="{24C5453E-F7C0-4007-9645-82978E96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1781</Words>
  <Characters>1871</Characters>
  <Application>Microsoft Office Word</Application>
  <DocSecurity>0</DocSecurity>
  <Lines>74</Lines>
  <Paragraphs>66</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THINKPAD</cp:lastModifiedBy>
  <cp:revision>14</cp:revision>
  <dcterms:created xsi:type="dcterms:W3CDTF">2026-05-10T15:05:00Z</dcterms:created>
  <dcterms:modified xsi:type="dcterms:W3CDTF">2026-05-11T00:37:00Z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eyJoZGlkIjoiZDE5MjBkYmUyM2UzMDlhNGNiZDIyZGIzN2NiNDY2ZDciLCJ1c2VySWQiOiIzNzk3MjkxMDUifQ==</vt:lpwstr>
  </property>
  <property fmtid="{D5CDD505-2E9C-101B-9397-08002B2CF9AE}" pid="3" name="KSOProductBuildVer">
    <vt:lpwstr>2052-12.1.0.25865</vt:lpwstr>
  </property>
  <property fmtid="{D5CDD505-2E9C-101B-9397-08002B2CF9AE}" pid="4" name="ICV">
    <vt:lpwstr>00093D0B1F5F466BAC6448144DD7C608_12</vt:lpwstr>
  </property>
</Properties>
</file>