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E776EE">
      <w:pPr>
        <w:snapToGrid w:val="0"/>
        <w:spacing w:line="360" w:lineRule="auto"/>
        <w:ind w:firstLine="630" w:firstLineChars="196"/>
        <w:rPr>
          <w:rFonts w:ascii="宋体" w:hAnsi="宋体" w:eastAsia="宋体"/>
          <w:b/>
          <w:sz w:val="32"/>
          <w:szCs w:val="32"/>
        </w:rPr>
      </w:pPr>
    </w:p>
    <w:p w14:paraId="1EDCC909">
      <w:pPr>
        <w:snapToGrid w:val="0"/>
        <w:spacing w:line="360" w:lineRule="auto"/>
        <w:rPr>
          <w:rFonts w:ascii="仿宋" w:hAnsi="仿宋" w:eastAsia="仿宋"/>
          <w:b/>
          <w:szCs w:val="28"/>
        </w:rPr>
      </w:pPr>
      <w:r>
        <w:rPr>
          <w:rFonts w:hint="eastAsia" w:ascii="仿宋" w:hAnsi="仿宋" w:eastAsia="仿宋"/>
          <w:b/>
          <w:szCs w:val="28"/>
        </w:rPr>
        <w:t>附表1</w:t>
      </w:r>
    </w:p>
    <w:p w14:paraId="25507423">
      <w:pPr>
        <w:snapToGrid w:val="0"/>
        <w:spacing w:line="360" w:lineRule="auto"/>
        <w:jc w:val="center"/>
        <w:rPr>
          <w:rFonts w:ascii="宋体" w:hAnsi="宋体" w:eastAsia="宋体"/>
          <w:b/>
          <w:sz w:val="32"/>
          <w:szCs w:val="32"/>
        </w:rPr>
      </w:pPr>
      <w:r>
        <w:rPr>
          <w:rFonts w:hint="eastAsia" w:ascii="宋体" w:hAnsi="宋体" w:eastAsia="宋体"/>
          <w:b/>
          <w:color w:val="auto"/>
          <w:sz w:val="32"/>
          <w:szCs w:val="32"/>
        </w:rPr>
        <w:t>协会标准</w:t>
      </w:r>
      <w:r>
        <w:rPr>
          <w:rFonts w:hint="eastAsia" w:ascii="宋体" w:hAnsi="宋体" w:eastAsia="宋体"/>
          <w:b/>
          <w:sz w:val="32"/>
          <w:szCs w:val="32"/>
        </w:rPr>
        <w:t>项目建议书</w:t>
      </w:r>
    </w:p>
    <w:tbl>
      <w:tblPr>
        <w:tblStyle w:val="5"/>
        <w:tblW w:w="97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1078"/>
        <w:gridCol w:w="540"/>
        <w:gridCol w:w="540"/>
        <w:gridCol w:w="928"/>
        <w:gridCol w:w="886"/>
        <w:gridCol w:w="957"/>
        <w:gridCol w:w="744"/>
        <w:gridCol w:w="1900"/>
      </w:tblGrid>
      <w:tr w14:paraId="722520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167" w:type="dxa"/>
            <w:vAlign w:val="center"/>
          </w:tcPr>
          <w:p w14:paraId="2C93657A">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14:paraId="789AF4F1">
            <w:pPr>
              <w:snapToGrid w:val="0"/>
              <w:spacing w:line="360" w:lineRule="auto"/>
              <w:ind w:left="-5" w:leftChars="-6" w:hanging="12" w:hangingChars="7"/>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中文</w:t>
            </w:r>
            <w:r>
              <w:rPr>
                <w:rFonts w:ascii="宋体" w:hAnsi="宋体" w:eastAsia="宋体"/>
                <w:sz w:val="18"/>
                <w:szCs w:val="18"/>
              </w:rPr>
              <w:t>)</w:t>
            </w:r>
          </w:p>
        </w:tc>
        <w:tc>
          <w:tcPr>
            <w:tcW w:w="3086" w:type="dxa"/>
            <w:gridSpan w:val="4"/>
            <w:vAlign w:val="center"/>
          </w:tcPr>
          <w:p w14:paraId="316F1850">
            <w:pPr>
              <w:snapToGrid w:val="0"/>
              <w:spacing w:line="360" w:lineRule="auto"/>
              <w:rPr>
                <w:rFonts w:hint="eastAsia" w:ascii="宋体" w:hAnsi="宋体" w:eastAsia="宋体"/>
                <w:sz w:val="18"/>
                <w:szCs w:val="18"/>
                <w:lang w:val="en-US" w:eastAsia="zh-CN"/>
              </w:rPr>
            </w:pPr>
            <w:r>
              <w:rPr>
                <w:rFonts w:hint="eastAsia" w:ascii="宋体" w:hAnsi="宋体" w:eastAsia="宋体"/>
                <w:sz w:val="18"/>
                <w:szCs w:val="18"/>
              </w:rPr>
              <w:t>磷石膏制酸联产水泥技术</w:t>
            </w:r>
            <w:r>
              <w:rPr>
                <w:rFonts w:hint="eastAsia" w:ascii="宋体" w:hAnsi="宋体" w:eastAsia="宋体"/>
                <w:sz w:val="18"/>
                <w:szCs w:val="18"/>
                <w:lang w:val="en-US" w:eastAsia="zh-CN"/>
              </w:rPr>
              <w:t>规范</w:t>
            </w:r>
          </w:p>
        </w:tc>
        <w:tc>
          <w:tcPr>
            <w:tcW w:w="1843" w:type="dxa"/>
            <w:gridSpan w:val="2"/>
            <w:vAlign w:val="center"/>
          </w:tcPr>
          <w:p w14:paraId="488CF593">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14:paraId="7EDE0353">
            <w:pPr>
              <w:snapToGrid w:val="0"/>
              <w:spacing w:line="360" w:lineRule="auto"/>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英文</w:t>
            </w:r>
            <w:r>
              <w:rPr>
                <w:rFonts w:ascii="宋体" w:hAnsi="宋体" w:eastAsia="宋体"/>
                <w:sz w:val="18"/>
                <w:szCs w:val="18"/>
              </w:rPr>
              <w:t>)</w:t>
            </w:r>
          </w:p>
        </w:tc>
        <w:tc>
          <w:tcPr>
            <w:tcW w:w="2644" w:type="dxa"/>
            <w:gridSpan w:val="2"/>
            <w:vAlign w:val="center"/>
          </w:tcPr>
          <w:p w14:paraId="49E27D04">
            <w:pPr>
              <w:snapToGrid w:val="0"/>
              <w:spacing w:line="360" w:lineRule="auto"/>
              <w:rPr>
                <w:rFonts w:ascii="宋体" w:hAnsi="宋体" w:eastAsia="宋体"/>
                <w:sz w:val="18"/>
                <w:szCs w:val="18"/>
              </w:rPr>
            </w:pPr>
            <w:r>
              <w:rPr>
                <w:rFonts w:hint="eastAsia" w:ascii="宋体" w:hAnsi="宋体" w:eastAsia="宋体"/>
                <w:sz w:val="18"/>
                <w:szCs w:val="18"/>
              </w:rPr>
              <w:t>Technology requirements for producing sulfuric acid and co-producing cement from phosphogypsum</w:t>
            </w:r>
          </w:p>
        </w:tc>
      </w:tr>
      <w:tr w14:paraId="628FA7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67" w:type="dxa"/>
            <w:tcBorders>
              <w:bottom w:val="single" w:color="auto" w:sz="2" w:space="0"/>
            </w:tcBorders>
            <w:vAlign w:val="center"/>
          </w:tcPr>
          <w:p w14:paraId="3457C1EC">
            <w:pPr>
              <w:snapToGrid w:val="0"/>
              <w:spacing w:line="360" w:lineRule="auto"/>
              <w:jc w:val="center"/>
              <w:rPr>
                <w:rFonts w:ascii="宋体" w:hAnsi="宋体" w:eastAsia="宋体"/>
                <w:sz w:val="18"/>
                <w:szCs w:val="18"/>
              </w:rPr>
            </w:pPr>
            <w:r>
              <w:rPr>
                <w:rFonts w:hint="eastAsia" w:ascii="宋体" w:hAnsi="宋体" w:eastAsia="宋体"/>
                <w:sz w:val="18"/>
                <w:szCs w:val="18"/>
              </w:rPr>
              <w:t>制定或修订</w:t>
            </w:r>
          </w:p>
        </w:tc>
        <w:tc>
          <w:tcPr>
            <w:tcW w:w="1618" w:type="dxa"/>
            <w:gridSpan w:val="2"/>
            <w:tcBorders>
              <w:bottom w:val="single" w:color="auto" w:sz="2" w:space="0"/>
            </w:tcBorders>
            <w:vAlign w:val="center"/>
          </w:tcPr>
          <w:p w14:paraId="3450E250">
            <w:pPr>
              <w:snapToGrid w:val="0"/>
              <w:spacing w:line="360" w:lineRule="auto"/>
              <w:rPr>
                <w:rFonts w:ascii="宋体" w:hAnsi="宋体" w:eastAsia="宋体"/>
                <w:sz w:val="18"/>
                <w:szCs w:val="18"/>
              </w:rPr>
            </w:pPr>
            <w:r>
              <w:rPr>
                <w:rFonts w:hint="eastAsia" w:ascii="宋体" w:hAnsi="宋体" w:eastAsia="宋体"/>
                <w:sz w:val="18"/>
                <w:szCs w:val="18"/>
                <w:lang w:eastAsia="zh-CN"/>
              </w:rPr>
              <w:t>☑</w:t>
            </w:r>
            <w:r>
              <w:rPr>
                <w:rFonts w:hint="eastAsia" w:ascii="宋体" w:hAnsi="宋体" w:eastAsia="宋体"/>
                <w:sz w:val="18"/>
                <w:szCs w:val="18"/>
              </w:rPr>
              <w:t xml:space="preserve"> 制定</w:t>
            </w:r>
          </w:p>
        </w:tc>
        <w:tc>
          <w:tcPr>
            <w:tcW w:w="1468" w:type="dxa"/>
            <w:gridSpan w:val="2"/>
            <w:tcBorders>
              <w:bottom w:val="single" w:color="auto" w:sz="2" w:space="0"/>
            </w:tcBorders>
            <w:vAlign w:val="center"/>
          </w:tcPr>
          <w:p w14:paraId="7BBF1027">
            <w:pPr>
              <w:snapToGrid w:val="0"/>
              <w:spacing w:line="360" w:lineRule="auto"/>
              <w:rPr>
                <w:rFonts w:ascii="宋体" w:hAnsi="宋体" w:eastAsia="宋体"/>
                <w:sz w:val="18"/>
                <w:szCs w:val="18"/>
              </w:rPr>
            </w:pPr>
            <w:r>
              <w:rPr>
                <w:rFonts w:hint="eastAsia" w:ascii="宋体" w:hAnsi="宋体" w:eastAsia="宋体"/>
                <w:sz w:val="18"/>
                <w:szCs w:val="18"/>
              </w:rPr>
              <w:t>□ 修订</w:t>
            </w:r>
          </w:p>
        </w:tc>
        <w:tc>
          <w:tcPr>
            <w:tcW w:w="1843" w:type="dxa"/>
            <w:gridSpan w:val="2"/>
            <w:tcBorders>
              <w:bottom w:val="single" w:color="auto" w:sz="2" w:space="0"/>
            </w:tcBorders>
            <w:vAlign w:val="center"/>
          </w:tcPr>
          <w:p w14:paraId="1784E78A">
            <w:pPr>
              <w:snapToGrid w:val="0"/>
              <w:spacing w:line="360" w:lineRule="auto"/>
              <w:jc w:val="center"/>
              <w:rPr>
                <w:rFonts w:ascii="宋体" w:hAnsi="宋体" w:eastAsia="宋体"/>
                <w:sz w:val="18"/>
                <w:szCs w:val="18"/>
              </w:rPr>
            </w:pPr>
            <w:r>
              <w:rPr>
                <w:rFonts w:hint="eastAsia" w:ascii="宋体" w:hAnsi="宋体" w:eastAsia="宋体"/>
                <w:sz w:val="18"/>
                <w:szCs w:val="18"/>
              </w:rPr>
              <w:t>被修订标准号</w:t>
            </w:r>
          </w:p>
        </w:tc>
        <w:tc>
          <w:tcPr>
            <w:tcW w:w="2644" w:type="dxa"/>
            <w:gridSpan w:val="2"/>
            <w:tcBorders>
              <w:bottom w:val="single" w:color="auto" w:sz="2" w:space="0"/>
            </w:tcBorders>
            <w:vAlign w:val="center"/>
          </w:tcPr>
          <w:p w14:paraId="5576CC7E">
            <w:pPr>
              <w:snapToGrid w:val="0"/>
              <w:spacing w:line="360" w:lineRule="auto"/>
              <w:rPr>
                <w:rFonts w:ascii="宋体" w:hAnsi="宋体" w:eastAsia="宋体"/>
                <w:sz w:val="18"/>
                <w:szCs w:val="18"/>
              </w:rPr>
            </w:pPr>
          </w:p>
        </w:tc>
      </w:tr>
      <w:tr w14:paraId="6BDD86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tcBorders>
              <w:top w:val="single" w:color="auto" w:sz="2" w:space="0"/>
              <w:left w:val="single" w:color="auto" w:sz="2" w:space="0"/>
              <w:bottom w:val="single" w:color="auto" w:sz="2" w:space="0"/>
            </w:tcBorders>
            <w:vAlign w:val="center"/>
          </w:tcPr>
          <w:p w14:paraId="12F40F4F">
            <w:pPr>
              <w:snapToGrid w:val="0"/>
              <w:spacing w:line="360" w:lineRule="auto"/>
              <w:jc w:val="center"/>
              <w:rPr>
                <w:rFonts w:ascii="宋体" w:hAnsi="宋体" w:eastAsia="宋体"/>
                <w:sz w:val="18"/>
                <w:szCs w:val="18"/>
              </w:rPr>
            </w:pPr>
            <w:r>
              <w:rPr>
                <w:rFonts w:hint="eastAsia" w:ascii="宋体" w:hAnsi="宋体" w:eastAsia="宋体"/>
                <w:sz w:val="18"/>
                <w:szCs w:val="18"/>
              </w:rPr>
              <w:t>采用程度</w:t>
            </w:r>
          </w:p>
        </w:tc>
        <w:tc>
          <w:tcPr>
            <w:tcW w:w="1078" w:type="dxa"/>
            <w:tcBorders>
              <w:top w:val="single" w:color="auto" w:sz="2" w:space="0"/>
              <w:bottom w:val="single" w:color="auto" w:sz="2" w:space="0"/>
            </w:tcBorders>
            <w:vAlign w:val="center"/>
          </w:tcPr>
          <w:p w14:paraId="29224883">
            <w:pPr>
              <w:snapToGrid w:val="0"/>
              <w:spacing w:line="360" w:lineRule="auto"/>
              <w:rPr>
                <w:rFonts w:ascii="宋体" w:hAnsi="宋体" w:eastAsia="宋体"/>
                <w:sz w:val="18"/>
                <w:szCs w:val="18"/>
              </w:rPr>
            </w:pPr>
            <w:r>
              <w:rPr>
                <w:rFonts w:hint="eastAsia" w:ascii="宋体" w:hAnsi="宋体" w:eastAsia="宋体"/>
                <w:sz w:val="18"/>
                <w:szCs w:val="18"/>
              </w:rPr>
              <w:t>□ IDT</w:t>
            </w:r>
          </w:p>
        </w:tc>
        <w:tc>
          <w:tcPr>
            <w:tcW w:w="1080" w:type="dxa"/>
            <w:gridSpan w:val="2"/>
            <w:tcBorders>
              <w:top w:val="single" w:color="auto" w:sz="2" w:space="0"/>
              <w:bottom w:val="single" w:color="auto" w:sz="2" w:space="0"/>
            </w:tcBorders>
            <w:vAlign w:val="center"/>
          </w:tcPr>
          <w:p w14:paraId="079B74D1">
            <w:pPr>
              <w:snapToGrid w:val="0"/>
              <w:spacing w:line="360" w:lineRule="auto"/>
              <w:rPr>
                <w:rFonts w:ascii="宋体" w:hAnsi="宋体" w:eastAsia="宋体"/>
                <w:sz w:val="18"/>
                <w:szCs w:val="18"/>
              </w:rPr>
            </w:pPr>
            <w:r>
              <w:rPr>
                <w:rFonts w:hint="eastAsia" w:ascii="宋体" w:hAnsi="宋体" w:eastAsia="宋体"/>
                <w:sz w:val="18"/>
                <w:szCs w:val="18"/>
              </w:rPr>
              <w:t>□ MOD</w:t>
            </w:r>
          </w:p>
        </w:tc>
        <w:tc>
          <w:tcPr>
            <w:tcW w:w="928" w:type="dxa"/>
            <w:tcBorders>
              <w:top w:val="single" w:color="auto" w:sz="2" w:space="0"/>
              <w:bottom w:val="single" w:color="auto" w:sz="2" w:space="0"/>
            </w:tcBorders>
            <w:vAlign w:val="center"/>
          </w:tcPr>
          <w:p w14:paraId="7E2679FF">
            <w:pPr>
              <w:snapToGrid w:val="0"/>
              <w:spacing w:line="360" w:lineRule="auto"/>
              <w:rPr>
                <w:rFonts w:ascii="宋体" w:hAnsi="宋体" w:eastAsia="宋体"/>
                <w:sz w:val="18"/>
                <w:szCs w:val="18"/>
              </w:rPr>
            </w:pPr>
            <w:r>
              <w:rPr>
                <w:rFonts w:hint="eastAsia" w:ascii="宋体" w:hAnsi="宋体" w:eastAsia="宋体"/>
                <w:sz w:val="18"/>
                <w:szCs w:val="18"/>
              </w:rPr>
              <w:t>□ NEQ</w:t>
            </w:r>
          </w:p>
        </w:tc>
        <w:tc>
          <w:tcPr>
            <w:tcW w:w="1843" w:type="dxa"/>
            <w:gridSpan w:val="2"/>
            <w:tcBorders>
              <w:top w:val="single" w:color="auto" w:sz="2" w:space="0"/>
              <w:bottom w:val="single" w:color="auto" w:sz="2" w:space="0"/>
            </w:tcBorders>
            <w:vAlign w:val="center"/>
          </w:tcPr>
          <w:p w14:paraId="727739B8">
            <w:pPr>
              <w:snapToGrid w:val="0"/>
              <w:spacing w:line="360" w:lineRule="auto"/>
              <w:jc w:val="center"/>
              <w:rPr>
                <w:rFonts w:ascii="宋体" w:hAnsi="宋体" w:eastAsia="宋体"/>
                <w:sz w:val="18"/>
                <w:szCs w:val="18"/>
              </w:rPr>
            </w:pPr>
            <w:r>
              <w:rPr>
                <w:rFonts w:hint="eastAsia" w:ascii="宋体" w:hAnsi="宋体" w:eastAsia="宋体"/>
                <w:sz w:val="18"/>
                <w:szCs w:val="18"/>
              </w:rPr>
              <w:t>采标号</w:t>
            </w:r>
          </w:p>
        </w:tc>
        <w:tc>
          <w:tcPr>
            <w:tcW w:w="2644" w:type="dxa"/>
            <w:gridSpan w:val="2"/>
            <w:tcBorders>
              <w:top w:val="single" w:color="auto" w:sz="2" w:space="0"/>
              <w:bottom w:val="single" w:color="auto" w:sz="2" w:space="0"/>
              <w:right w:val="single" w:color="auto" w:sz="2" w:space="0"/>
            </w:tcBorders>
            <w:vAlign w:val="center"/>
          </w:tcPr>
          <w:p w14:paraId="71795430">
            <w:pPr>
              <w:snapToGrid w:val="0"/>
              <w:spacing w:line="360" w:lineRule="auto"/>
              <w:rPr>
                <w:rFonts w:ascii="宋体" w:hAnsi="宋体" w:eastAsia="宋体"/>
                <w:sz w:val="18"/>
                <w:szCs w:val="18"/>
              </w:rPr>
            </w:pPr>
          </w:p>
        </w:tc>
      </w:tr>
      <w:tr w14:paraId="73F652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tcBorders>
              <w:top w:val="single" w:color="auto" w:sz="2" w:space="0"/>
              <w:left w:val="single" w:color="auto" w:sz="2" w:space="0"/>
              <w:bottom w:val="single" w:color="auto" w:sz="2" w:space="0"/>
            </w:tcBorders>
            <w:vAlign w:val="center"/>
          </w:tcPr>
          <w:p w14:paraId="5900CC54">
            <w:pPr>
              <w:snapToGrid w:val="0"/>
              <w:spacing w:line="360" w:lineRule="auto"/>
              <w:jc w:val="center"/>
              <w:rPr>
                <w:rFonts w:ascii="宋体" w:hAnsi="宋体" w:eastAsia="宋体"/>
                <w:sz w:val="18"/>
                <w:szCs w:val="18"/>
              </w:rPr>
            </w:pPr>
            <w:r>
              <w:rPr>
                <w:rFonts w:hint="eastAsia" w:ascii="宋体" w:hAnsi="宋体" w:eastAsia="宋体"/>
                <w:sz w:val="18"/>
                <w:szCs w:val="18"/>
              </w:rPr>
              <w:t>国际标准名称（中文）</w:t>
            </w:r>
          </w:p>
        </w:tc>
        <w:tc>
          <w:tcPr>
            <w:tcW w:w="3086" w:type="dxa"/>
            <w:gridSpan w:val="4"/>
            <w:tcBorders>
              <w:top w:val="single" w:color="auto" w:sz="2" w:space="0"/>
              <w:bottom w:val="single" w:color="auto" w:sz="2" w:space="0"/>
            </w:tcBorders>
            <w:vAlign w:val="center"/>
          </w:tcPr>
          <w:p w14:paraId="0AEB6B1F">
            <w:pPr>
              <w:snapToGrid w:val="0"/>
              <w:spacing w:line="360" w:lineRule="auto"/>
              <w:rPr>
                <w:rFonts w:ascii="宋体" w:hAnsi="宋体" w:eastAsia="宋体"/>
                <w:sz w:val="18"/>
                <w:szCs w:val="18"/>
              </w:rPr>
            </w:pPr>
          </w:p>
        </w:tc>
        <w:tc>
          <w:tcPr>
            <w:tcW w:w="1843" w:type="dxa"/>
            <w:gridSpan w:val="2"/>
            <w:tcBorders>
              <w:top w:val="single" w:color="auto" w:sz="2" w:space="0"/>
              <w:bottom w:val="single" w:color="auto" w:sz="2" w:space="0"/>
            </w:tcBorders>
            <w:vAlign w:val="center"/>
          </w:tcPr>
          <w:p w14:paraId="625F9F65">
            <w:pPr>
              <w:snapToGrid w:val="0"/>
              <w:spacing w:line="360" w:lineRule="auto"/>
              <w:jc w:val="center"/>
              <w:rPr>
                <w:rFonts w:ascii="宋体" w:hAnsi="宋体" w:eastAsia="宋体"/>
                <w:sz w:val="18"/>
                <w:szCs w:val="18"/>
              </w:rPr>
            </w:pPr>
            <w:r>
              <w:rPr>
                <w:rFonts w:hint="eastAsia" w:ascii="宋体" w:hAnsi="宋体" w:eastAsia="宋体"/>
                <w:sz w:val="18"/>
                <w:szCs w:val="18"/>
              </w:rPr>
              <w:t>国际标准名称（英文）</w:t>
            </w:r>
          </w:p>
        </w:tc>
        <w:tc>
          <w:tcPr>
            <w:tcW w:w="2644" w:type="dxa"/>
            <w:gridSpan w:val="2"/>
            <w:tcBorders>
              <w:top w:val="single" w:color="auto" w:sz="2" w:space="0"/>
              <w:bottom w:val="single" w:color="auto" w:sz="2" w:space="0"/>
              <w:right w:val="single" w:color="auto" w:sz="2" w:space="0"/>
            </w:tcBorders>
            <w:vAlign w:val="center"/>
          </w:tcPr>
          <w:p w14:paraId="3C0D8B2D">
            <w:pPr>
              <w:snapToGrid w:val="0"/>
              <w:spacing w:line="360" w:lineRule="auto"/>
              <w:rPr>
                <w:rFonts w:ascii="宋体" w:hAnsi="宋体" w:eastAsia="宋体"/>
                <w:sz w:val="18"/>
                <w:szCs w:val="18"/>
              </w:rPr>
            </w:pPr>
          </w:p>
        </w:tc>
      </w:tr>
      <w:tr w14:paraId="5D9885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tcBorders>
              <w:top w:val="single" w:color="auto" w:sz="2" w:space="0"/>
              <w:left w:val="single" w:color="auto" w:sz="2" w:space="0"/>
              <w:bottom w:val="single" w:color="auto" w:sz="2" w:space="0"/>
            </w:tcBorders>
            <w:vAlign w:val="center"/>
          </w:tcPr>
          <w:p w14:paraId="4D6C1644">
            <w:pPr>
              <w:snapToGrid w:val="0"/>
              <w:spacing w:line="360" w:lineRule="auto"/>
              <w:jc w:val="center"/>
              <w:rPr>
                <w:rFonts w:ascii="宋体" w:hAnsi="宋体" w:eastAsia="宋体"/>
                <w:sz w:val="18"/>
                <w:szCs w:val="18"/>
              </w:rPr>
            </w:pPr>
            <w:r>
              <w:rPr>
                <w:rFonts w:ascii="宋体" w:hAnsi="宋体" w:eastAsia="宋体"/>
                <w:sz w:val="18"/>
                <w:szCs w:val="18"/>
              </w:rPr>
              <w:t>ICS</w:t>
            </w:r>
            <w:r>
              <w:rPr>
                <w:rFonts w:hint="eastAsia" w:ascii="宋体" w:hAnsi="宋体" w:eastAsia="宋体"/>
                <w:sz w:val="18"/>
                <w:szCs w:val="18"/>
              </w:rPr>
              <w:t>分类号</w:t>
            </w:r>
          </w:p>
        </w:tc>
        <w:tc>
          <w:tcPr>
            <w:tcW w:w="3086" w:type="dxa"/>
            <w:gridSpan w:val="4"/>
            <w:tcBorders>
              <w:top w:val="single" w:color="auto" w:sz="2" w:space="0"/>
              <w:bottom w:val="single" w:color="auto" w:sz="2" w:space="0"/>
            </w:tcBorders>
            <w:vAlign w:val="center"/>
          </w:tcPr>
          <w:p w14:paraId="609CBCBD">
            <w:pPr>
              <w:snapToGrid w:val="0"/>
              <w:spacing w:line="360" w:lineRule="auto"/>
              <w:rPr>
                <w:rFonts w:ascii="宋体" w:hAnsi="宋体" w:eastAsia="宋体"/>
                <w:sz w:val="18"/>
                <w:szCs w:val="18"/>
              </w:rPr>
            </w:pPr>
            <w:r>
              <w:rPr>
                <w:rFonts w:hint="eastAsia" w:ascii="宋体" w:hAnsi="宋体" w:eastAsia="宋体"/>
                <w:sz w:val="18"/>
                <w:szCs w:val="18"/>
              </w:rPr>
              <w:t>91.100.10</w:t>
            </w:r>
          </w:p>
        </w:tc>
        <w:tc>
          <w:tcPr>
            <w:tcW w:w="1843" w:type="dxa"/>
            <w:gridSpan w:val="2"/>
            <w:tcBorders>
              <w:top w:val="single" w:color="auto" w:sz="2" w:space="0"/>
              <w:bottom w:val="single" w:color="auto" w:sz="2" w:space="0"/>
            </w:tcBorders>
            <w:vAlign w:val="center"/>
          </w:tcPr>
          <w:p w14:paraId="6A8FFB33">
            <w:pPr>
              <w:snapToGrid w:val="0"/>
              <w:spacing w:line="360" w:lineRule="auto"/>
              <w:jc w:val="center"/>
              <w:rPr>
                <w:rFonts w:ascii="宋体" w:hAnsi="宋体" w:eastAsia="宋体"/>
                <w:sz w:val="18"/>
                <w:szCs w:val="18"/>
              </w:rPr>
            </w:pPr>
            <w:r>
              <w:rPr>
                <w:rFonts w:hint="eastAsia" w:ascii="宋体" w:hAnsi="宋体" w:eastAsia="宋体"/>
                <w:sz w:val="18"/>
                <w:szCs w:val="18"/>
              </w:rPr>
              <w:t>中国标准分类号</w:t>
            </w:r>
          </w:p>
        </w:tc>
        <w:tc>
          <w:tcPr>
            <w:tcW w:w="2644" w:type="dxa"/>
            <w:gridSpan w:val="2"/>
            <w:tcBorders>
              <w:top w:val="single" w:color="auto" w:sz="2" w:space="0"/>
              <w:bottom w:val="single" w:color="auto" w:sz="2" w:space="0"/>
              <w:right w:val="single" w:color="auto" w:sz="2" w:space="0"/>
            </w:tcBorders>
            <w:vAlign w:val="center"/>
          </w:tcPr>
          <w:p w14:paraId="568FE584">
            <w:pPr>
              <w:snapToGrid w:val="0"/>
              <w:spacing w:line="360" w:lineRule="auto"/>
              <w:rPr>
                <w:rFonts w:ascii="宋体" w:hAnsi="宋体" w:eastAsia="宋体"/>
                <w:sz w:val="18"/>
                <w:szCs w:val="18"/>
              </w:rPr>
            </w:pPr>
            <w:r>
              <w:rPr>
                <w:rFonts w:hint="eastAsia" w:ascii="宋体" w:hAnsi="宋体" w:eastAsia="宋体"/>
                <w:sz w:val="18"/>
                <w:szCs w:val="18"/>
              </w:rPr>
              <w:t>Q62</w:t>
            </w:r>
          </w:p>
        </w:tc>
      </w:tr>
      <w:tr w14:paraId="662618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167" w:type="dxa"/>
            <w:tcBorders>
              <w:top w:val="single" w:color="auto" w:sz="2" w:space="0"/>
              <w:left w:val="single" w:color="auto" w:sz="2" w:space="0"/>
              <w:bottom w:val="single" w:color="auto" w:sz="2" w:space="0"/>
            </w:tcBorders>
            <w:vAlign w:val="center"/>
          </w:tcPr>
          <w:p w14:paraId="46E042E7">
            <w:pPr>
              <w:snapToGrid w:val="0"/>
              <w:spacing w:line="360" w:lineRule="auto"/>
              <w:jc w:val="center"/>
              <w:rPr>
                <w:rFonts w:ascii="宋体" w:hAnsi="宋体" w:eastAsia="宋体"/>
                <w:sz w:val="18"/>
                <w:szCs w:val="18"/>
              </w:rPr>
            </w:pPr>
            <w:r>
              <w:rPr>
                <w:rFonts w:hint="eastAsia" w:ascii="宋体" w:hAnsi="宋体" w:eastAsia="宋体"/>
                <w:sz w:val="18"/>
                <w:szCs w:val="18"/>
              </w:rPr>
              <w:t>标准主要起草单位</w:t>
            </w:r>
          </w:p>
        </w:tc>
        <w:tc>
          <w:tcPr>
            <w:tcW w:w="3086" w:type="dxa"/>
            <w:gridSpan w:val="4"/>
            <w:tcBorders>
              <w:top w:val="single" w:color="auto" w:sz="2" w:space="0"/>
              <w:bottom w:val="single" w:color="auto" w:sz="2" w:space="0"/>
            </w:tcBorders>
            <w:vAlign w:val="center"/>
          </w:tcPr>
          <w:p w14:paraId="56399E58">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lang w:val="en-US" w:eastAsia="zh-CN"/>
              </w:rPr>
              <w:t>中国建筑材料联合会、</w:t>
            </w:r>
            <w:r>
              <w:rPr>
                <w:rFonts w:hint="eastAsia" w:ascii="宋体" w:hAnsi="宋体" w:eastAsia="宋体"/>
                <w:sz w:val="18"/>
                <w:szCs w:val="18"/>
              </w:rPr>
              <w:t>中国中材国际工程股份有限公司</w:t>
            </w:r>
            <w:r>
              <w:rPr>
                <w:rFonts w:hint="eastAsia" w:ascii="宋体" w:hAnsi="宋体" w:eastAsia="宋体"/>
                <w:sz w:val="18"/>
                <w:szCs w:val="18"/>
                <w:lang w:eastAsia="zh-CN"/>
              </w:rPr>
              <w:t>、华新建材集团股份有限公司</w:t>
            </w:r>
          </w:p>
        </w:tc>
        <w:tc>
          <w:tcPr>
            <w:tcW w:w="1843" w:type="dxa"/>
            <w:gridSpan w:val="2"/>
            <w:tcBorders>
              <w:top w:val="single" w:color="auto" w:sz="2" w:space="0"/>
              <w:bottom w:val="single" w:color="auto" w:sz="2" w:space="0"/>
            </w:tcBorders>
            <w:vAlign w:val="center"/>
          </w:tcPr>
          <w:p w14:paraId="7FDE9D50">
            <w:pPr>
              <w:snapToGrid w:val="0"/>
              <w:spacing w:line="360" w:lineRule="auto"/>
              <w:jc w:val="center"/>
              <w:rPr>
                <w:rFonts w:ascii="宋体" w:hAnsi="宋体" w:eastAsia="宋体"/>
                <w:sz w:val="18"/>
                <w:szCs w:val="18"/>
              </w:rPr>
            </w:pPr>
            <w:r>
              <w:rPr>
                <w:rFonts w:hint="eastAsia" w:ascii="宋体" w:hAnsi="宋体" w:eastAsia="宋体"/>
                <w:sz w:val="18"/>
                <w:szCs w:val="18"/>
              </w:rPr>
              <w:t>计划起止时间</w:t>
            </w:r>
          </w:p>
        </w:tc>
        <w:tc>
          <w:tcPr>
            <w:tcW w:w="2644" w:type="dxa"/>
            <w:gridSpan w:val="2"/>
            <w:tcBorders>
              <w:top w:val="single" w:color="auto" w:sz="2" w:space="0"/>
              <w:bottom w:val="single" w:color="auto" w:sz="2" w:space="0"/>
              <w:right w:val="single" w:color="auto" w:sz="2" w:space="0"/>
            </w:tcBorders>
            <w:vAlign w:val="center"/>
          </w:tcPr>
          <w:p w14:paraId="704B32FE">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lang w:val="en-US" w:eastAsia="zh-CN"/>
              </w:rPr>
              <w:t>2026.6-2027.6</w:t>
            </w:r>
          </w:p>
        </w:tc>
      </w:tr>
      <w:tr w14:paraId="314AAD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167" w:type="dxa"/>
            <w:tcBorders>
              <w:top w:val="single" w:color="auto" w:sz="2" w:space="0"/>
              <w:left w:val="single" w:color="auto" w:sz="2" w:space="0"/>
              <w:bottom w:val="single" w:color="auto" w:sz="2" w:space="0"/>
            </w:tcBorders>
            <w:vAlign w:val="center"/>
          </w:tcPr>
          <w:p w14:paraId="14CC486A">
            <w:pPr>
              <w:snapToGrid w:val="0"/>
              <w:spacing w:line="360" w:lineRule="auto"/>
              <w:jc w:val="center"/>
              <w:rPr>
                <w:rFonts w:ascii="宋体" w:hAnsi="宋体" w:eastAsia="宋体"/>
                <w:sz w:val="18"/>
                <w:szCs w:val="18"/>
              </w:rPr>
            </w:pPr>
            <w:r>
              <w:rPr>
                <w:rFonts w:hint="eastAsia" w:ascii="宋体" w:hAnsi="宋体" w:eastAsia="宋体"/>
                <w:sz w:val="18"/>
                <w:szCs w:val="18"/>
              </w:rPr>
              <w:t>目的</w:t>
            </w:r>
            <w:r>
              <w:rPr>
                <w:rFonts w:ascii="宋体" w:hAnsi="宋体" w:eastAsia="宋体"/>
                <w:sz w:val="18"/>
                <w:szCs w:val="18"/>
              </w:rPr>
              <w:t>﹑</w:t>
            </w:r>
            <w:r>
              <w:rPr>
                <w:rFonts w:hint="eastAsia" w:ascii="宋体" w:hAnsi="宋体" w:eastAsia="宋体"/>
                <w:sz w:val="18"/>
                <w:szCs w:val="18"/>
              </w:rPr>
              <w:t>意义或必</w:t>
            </w:r>
          </w:p>
          <w:p w14:paraId="66F9A8D1">
            <w:pPr>
              <w:snapToGrid w:val="0"/>
              <w:spacing w:line="360" w:lineRule="auto"/>
              <w:jc w:val="center"/>
              <w:rPr>
                <w:rFonts w:ascii="宋体" w:hAnsi="宋体" w:eastAsia="宋体"/>
                <w:sz w:val="18"/>
                <w:szCs w:val="18"/>
              </w:rPr>
            </w:pPr>
            <w:r>
              <w:rPr>
                <w:rFonts w:hint="eastAsia" w:ascii="宋体" w:hAnsi="宋体" w:eastAsia="宋体"/>
                <w:sz w:val="18"/>
                <w:szCs w:val="18"/>
              </w:rPr>
              <w:t>要性</w:t>
            </w:r>
          </w:p>
        </w:tc>
        <w:tc>
          <w:tcPr>
            <w:tcW w:w="7573" w:type="dxa"/>
            <w:gridSpan w:val="8"/>
            <w:tcBorders>
              <w:top w:val="single" w:color="auto" w:sz="2" w:space="0"/>
              <w:bottom w:val="single" w:color="auto" w:sz="2" w:space="0"/>
              <w:right w:val="single" w:color="auto" w:sz="2" w:space="0"/>
            </w:tcBorders>
            <w:vAlign w:val="center"/>
          </w:tcPr>
          <w:p w14:paraId="3B438DBE">
            <w:pPr>
              <w:snapToGrid w:val="0"/>
              <w:spacing w:line="360" w:lineRule="auto"/>
              <w:rPr>
                <w:rFonts w:ascii="宋体" w:hAnsi="宋体" w:eastAsia="宋体"/>
                <w:sz w:val="18"/>
                <w:szCs w:val="18"/>
                <w:u w:val="single"/>
              </w:rPr>
            </w:pPr>
            <w:r>
              <w:rPr>
                <w:rFonts w:hint="eastAsia" w:ascii="宋体" w:hAnsi="宋体" w:eastAsia="宋体"/>
                <w:sz w:val="18"/>
                <w:szCs w:val="18"/>
                <w:u w:val="single"/>
              </w:rPr>
              <w:t>指出标准项目涉及的方面，期望解决的问题；</w:t>
            </w:r>
          </w:p>
          <w:p w14:paraId="087BAB54">
            <w:pPr>
              <w:snapToGrid w:val="0"/>
              <w:spacing w:line="360" w:lineRule="auto"/>
              <w:ind w:firstLine="360" w:firstLineChars="200"/>
              <w:rPr>
                <w:rFonts w:hint="default" w:ascii="宋体" w:hAnsi="宋体" w:eastAsia="宋体"/>
                <w:sz w:val="18"/>
                <w:szCs w:val="18"/>
                <w:lang w:val="en-US" w:eastAsia="zh-CN"/>
              </w:rPr>
            </w:pPr>
            <w:r>
              <w:rPr>
                <w:rFonts w:hint="eastAsia" w:ascii="宋体" w:hAnsi="宋体" w:eastAsia="宋体"/>
                <w:sz w:val="18"/>
                <w:szCs w:val="18"/>
              </w:rPr>
              <w:t>磷石膏是湿法磷酸生产过程中的主要副产物</w:t>
            </w:r>
            <w:r>
              <w:rPr>
                <w:rFonts w:hint="eastAsia" w:ascii="宋体" w:hAnsi="宋体" w:eastAsia="宋体"/>
                <w:sz w:val="18"/>
                <w:szCs w:val="18"/>
                <w:lang w:eastAsia="zh-CN"/>
              </w:rPr>
              <w:t>，</w:t>
            </w:r>
            <w:r>
              <w:rPr>
                <w:rFonts w:hint="eastAsia" w:ascii="宋体" w:hAnsi="宋体" w:eastAsia="宋体"/>
                <w:sz w:val="18"/>
                <w:szCs w:val="18"/>
              </w:rPr>
              <w:t>我国是全球最大的磷石膏产生国，年新增堆存量庞大，累计堆存已超8亿吨</w:t>
            </w:r>
            <w:r>
              <w:rPr>
                <w:rFonts w:hint="eastAsia" w:ascii="宋体" w:hAnsi="宋体" w:eastAsia="宋体"/>
                <w:sz w:val="18"/>
                <w:szCs w:val="18"/>
                <w:lang w:eastAsia="zh-CN"/>
              </w:rPr>
              <w:t>，年产生量约为 7000万～8000万吨</w:t>
            </w:r>
            <w:r>
              <w:rPr>
                <w:rFonts w:hint="eastAsia" w:ascii="宋体" w:hAnsi="宋体" w:eastAsia="宋体"/>
                <w:sz w:val="18"/>
                <w:szCs w:val="18"/>
              </w:rPr>
              <w:t>，大量磷石膏长期露天堆放，不仅占用大量土地，还容易造成土壤、水体的磷、氟超标等生态问题，已经成为制约国内磷化工产业绿色低碳发展的主要难题。国家高度重视磷石膏综合利用，先后出台《关于“十四五”大宗固体废弃物综合利用的指导意见》《固体废物综合治理行动计划》《磷石膏综合利用行动方案》《推进磷资源高效高值利用实施方案》等政策</w:t>
            </w:r>
            <w:r>
              <w:rPr>
                <w:rFonts w:hint="eastAsia" w:ascii="宋体" w:hAnsi="宋体" w:eastAsia="宋体"/>
                <w:sz w:val="18"/>
                <w:szCs w:val="18"/>
                <w:lang w:val="en-US" w:eastAsia="zh-CN"/>
              </w:rPr>
              <w:t>要求</w:t>
            </w:r>
            <w:r>
              <w:rPr>
                <w:rFonts w:hint="eastAsia" w:ascii="宋体" w:hAnsi="宋体" w:eastAsia="宋体"/>
                <w:sz w:val="18"/>
                <w:szCs w:val="18"/>
              </w:rPr>
              <w:t>，明确要求深入推进磷石膏综合治理</w:t>
            </w:r>
            <w:r>
              <w:rPr>
                <w:rFonts w:hint="eastAsia" w:ascii="宋体" w:hAnsi="宋体" w:eastAsia="宋体"/>
                <w:sz w:val="18"/>
                <w:szCs w:val="18"/>
                <w:lang w:eastAsia="zh-CN"/>
              </w:rPr>
              <w:t>、</w:t>
            </w:r>
            <w:r>
              <w:rPr>
                <w:rFonts w:hint="eastAsia" w:ascii="宋体" w:hAnsi="宋体" w:eastAsia="宋体"/>
                <w:sz w:val="18"/>
                <w:szCs w:val="18"/>
              </w:rPr>
              <w:t>拓宽磷石膏利用途径，</w:t>
            </w:r>
            <w:r>
              <w:rPr>
                <w:rFonts w:hint="eastAsia" w:ascii="宋体" w:hAnsi="宋体" w:eastAsia="宋体"/>
                <w:sz w:val="18"/>
                <w:szCs w:val="18"/>
                <w:lang w:val="en-US" w:eastAsia="zh-CN"/>
              </w:rPr>
              <w:t>其中</w:t>
            </w:r>
            <w:r>
              <w:rPr>
                <w:rFonts w:hint="eastAsia" w:ascii="宋体" w:hAnsi="宋体" w:eastAsia="宋体"/>
                <w:sz w:val="18"/>
                <w:szCs w:val="18"/>
              </w:rPr>
              <w:t>《磷石膏综合利用行动方案》</w:t>
            </w:r>
            <w:r>
              <w:rPr>
                <w:rFonts w:hint="eastAsia" w:ascii="宋体" w:hAnsi="宋体" w:eastAsia="宋体"/>
                <w:sz w:val="18"/>
                <w:szCs w:val="18"/>
                <w:lang w:val="en-US" w:eastAsia="zh-CN"/>
              </w:rPr>
              <w:t>指出“到2026年，磷石膏综合利用产品更加丰富，利用途径有效拓宽，综合利用水平进一步提升，综合利用率达到65%，综合消纳量（包括综合利用量和无害化处理量）与产生量实现动态平衡，</w:t>
            </w:r>
            <w:r>
              <w:rPr>
                <w:rFonts w:hint="eastAsia" w:ascii="宋体" w:hAnsi="宋体" w:eastAsia="宋体"/>
                <w:sz w:val="18"/>
                <w:szCs w:val="18"/>
                <w:highlight w:val="none"/>
                <w:lang w:val="en-US" w:eastAsia="zh-CN"/>
              </w:rPr>
              <w:t>建成一批磷石膏综合利用示范项目，、、、</w:t>
            </w:r>
            <w:bookmarkStart w:id="0" w:name="_GoBack"/>
            <w:bookmarkEnd w:id="0"/>
            <w:r>
              <w:rPr>
                <w:rFonts w:hint="eastAsia" w:ascii="宋体" w:hAnsi="宋体" w:eastAsia="宋体"/>
                <w:sz w:val="18"/>
                <w:szCs w:val="18"/>
                <w:highlight w:val="none"/>
                <w:lang w:val="en-US" w:eastAsia="zh-CN"/>
              </w:rPr>
              <w:t>，支持磷石膏分解生产硫酸联产石灰和水泥”，</w:t>
            </w:r>
            <w:r>
              <w:rPr>
                <w:rFonts w:hint="eastAsia" w:ascii="宋体" w:hAnsi="宋体" w:eastAsia="宋体"/>
                <w:sz w:val="18"/>
                <w:szCs w:val="18"/>
                <w:highlight w:val="none"/>
              </w:rPr>
              <w:t>《推进磷资源高效高值</w:t>
            </w:r>
            <w:r>
              <w:rPr>
                <w:rFonts w:hint="eastAsia" w:ascii="宋体" w:hAnsi="宋体" w:eastAsia="宋体"/>
                <w:sz w:val="18"/>
                <w:szCs w:val="18"/>
              </w:rPr>
              <w:t>利用实施方案》</w:t>
            </w:r>
            <w:r>
              <w:rPr>
                <w:rFonts w:hint="eastAsia" w:ascii="宋体" w:hAnsi="宋体" w:eastAsia="宋体"/>
                <w:sz w:val="18"/>
                <w:szCs w:val="18"/>
                <w:lang w:val="en-US" w:eastAsia="zh-CN"/>
              </w:rPr>
              <w:t>指出“开发磷石膏低成本净化技术和高纯石膏制备工艺，利用磷石膏制水泥、硫酸、硫酸铵等工艺技术，提高磷石膏高值化利用水平”。因此</w:t>
            </w:r>
            <w:r>
              <w:rPr>
                <w:rFonts w:hint="eastAsia" w:ascii="宋体" w:hAnsi="宋体" w:eastAsia="宋体"/>
                <w:sz w:val="18"/>
                <w:szCs w:val="18"/>
              </w:rPr>
              <w:t>磷石膏制酸联产水泥技术</w:t>
            </w:r>
            <w:r>
              <w:rPr>
                <w:rFonts w:hint="eastAsia" w:ascii="宋体" w:hAnsi="宋体" w:eastAsia="宋体"/>
                <w:sz w:val="18"/>
                <w:szCs w:val="18"/>
                <w:lang w:val="en-US" w:eastAsia="zh-CN"/>
              </w:rPr>
              <w:t>发展与应用</w:t>
            </w:r>
            <w:r>
              <w:rPr>
                <w:rFonts w:hint="eastAsia" w:ascii="宋体" w:hAnsi="宋体" w:eastAsia="宋体"/>
                <w:sz w:val="18"/>
                <w:szCs w:val="18"/>
              </w:rPr>
              <w:t>，是对国家资源循环利用和碳达峰碳中和战略部署的精准响应，</w:t>
            </w:r>
            <w:r>
              <w:rPr>
                <w:rFonts w:hint="eastAsia" w:ascii="宋体" w:hAnsi="宋体" w:eastAsia="宋体"/>
                <w:sz w:val="18"/>
                <w:szCs w:val="18"/>
                <w:lang w:val="en-US" w:eastAsia="zh-CN"/>
              </w:rPr>
              <w:t>促进大宗固废的资源利用。</w:t>
            </w:r>
          </w:p>
          <w:p w14:paraId="2CF6037C">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从行业发展需求来看，传统水泥、硫酸生产模式不仅耗资源、能耗高，碳排放压力也很大，行业转型升级迫在眉睫。磷石膏制硫酸联产水泥技术是一种将磷石膏资源化利用的成熟</w:t>
            </w:r>
            <w:r>
              <w:rPr>
                <w:rFonts w:hint="eastAsia" w:ascii="宋体" w:hAnsi="宋体" w:eastAsia="宋体"/>
                <w:sz w:val="18"/>
                <w:szCs w:val="18"/>
                <w:lang w:val="en-US" w:eastAsia="zh-CN"/>
              </w:rPr>
              <w:t>技术路径</w:t>
            </w:r>
            <w:r>
              <w:rPr>
                <w:rFonts w:hint="eastAsia" w:ascii="宋体" w:hAnsi="宋体" w:eastAsia="宋体"/>
                <w:sz w:val="18"/>
                <w:szCs w:val="18"/>
              </w:rPr>
              <w:t>，把磷石膏中的硫酸钙（CaSO</w:t>
            </w:r>
            <w:r>
              <w:rPr>
                <w:rFonts w:hint="eastAsia" w:ascii="宋体" w:hAnsi="宋体" w:eastAsia="宋体"/>
                <w:sz w:val="18"/>
                <w:szCs w:val="18"/>
                <w:vertAlign w:val="subscript"/>
              </w:rPr>
              <w:t>4</w:t>
            </w:r>
            <w:r>
              <w:rPr>
                <w:rFonts w:hint="eastAsia" w:ascii="宋体" w:hAnsi="宋体" w:eastAsia="宋体"/>
                <w:sz w:val="18"/>
                <w:szCs w:val="18"/>
              </w:rPr>
              <w:t>）拆成两部分——硫元素回收制成硫酸，钙元素转化为水泥熟料，实现</w:t>
            </w:r>
            <w:r>
              <w:rPr>
                <w:rFonts w:hint="eastAsia" w:ascii="宋体" w:hAnsi="宋体" w:eastAsia="宋体"/>
                <w:sz w:val="18"/>
                <w:szCs w:val="18"/>
                <w:lang w:eastAsia="zh-CN"/>
              </w:rPr>
              <w:t>“</w:t>
            </w:r>
            <w:r>
              <w:rPr>
                <w:rFonts w:hint="eastAsia" w:ascii="宋体" w:hAnsi="宋体" w:eastAsia="宋体"/>
                <w:sz w:val="18"/>
                <w:szCs w:val="18"/>
              </w:rPr>
              <w:t>一废两用</w:t>
            </w:r>
            <w:r>
              <w:rPr>
                <w:rFonts w:hint="eastAsia" w:ascii="宋体" w:hAnsi="宋体" w:eastAsia="宋体"/>
                <w:sz w:val="18"/>
                <w:szCs w:val="18"/>
                <w:lang w:eastAsia="zh-CN"/>
              </w:rPr>
              <w:t>”，</w:t>
            </w:r>
            <w:r>
              <w:rPr>
                <w:rFonts w:hint="eastAsia" w:ascii="宋体" w:hAnsi="宋体" w:eastAsia="宋体"/>
                <w:sz w:val="18"/>
                <w:szCs w:val="18"/>
              </w:rPr>
              <w:t>可同时消纳磷石膏、回收硫资源并生产水泥熟料，硫酸回用于磷酸生产，水泥熟料替代天然石灰石烧制的熟料，兼具大规模消纳</w:t>
            </w:r>
            <w:r>
              <w:rPr>
                <w:rFonts w:hint="eastAsia" w:ascii="宋体" w:hAnsi="宋体" w:eastAsia="宋体"/>
                <w:sz w:val="18"/>
                <w:szCs w:val="18"/>
                <w:lang w:val="en-US" w:eastAsia="zh-CN"/>
              </w:rPr>
              <w:t>固废</w:t>
            </w:r>
            <w:r>
              <w:rPr>
                <w:rFonts w:hint="eastAsia" w:ascii="宋体" w:hAnsi="宋体" w:eastAsia="宋体"/>
                <w:sz w:val="18"/>
                <w:szCs w:val="18"/>
              </w:rPr>
              <w:t>和硫钙资源双重循环的优势</w:t>
            </w:r>
            <w:r>
              <w:rPr>
                <w:rFonts w:hint="eastAsia" w:ascii="宋体" w:hAnsi="宋体" w:eastAsia="宋体"/>
                <w:sz w:val="18"/>
                <w:szCs w:val="18"/>
                <w:lang w:eastAsia="zh-CN"/>
              </w:rPr>
              <w:t>，</w:t>
            </w:r>
            <w:r>
              <w:rPr>
                <w:rFonts w:hint="eastAsia" w:ascii="宋体" w:hAnsi="宋体" w:eastAsia="宋体"/>
                <w:sz w:val="18"/>
                <w:szCs w:val="18"/>
              </w:rPr>
              <w:t>也是水泥行业实现零一次资源、绿色低碳发展的重要方向。</w:t>
            </w:r>
          </w:p>
          <w:p w14:paraId="261D3744">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经过多年攻关，通过悬浮预热、窑外分解、有害杂质固结等创新，该技术已取得实质性突破</w:t>
            </w:r>
            <w:r>
              <w:rPr>
                <w:rFonts w:hint="eastAsia" w:ascii="宋体" w:hAnsi="宋体" w:eastAsia="宋体"/>
                <w:sz w:val="18"/>
                <w:szCs w:val="18"/>
                <w:lang w:eastAsia="zh-CN"/>
              </w:rPr>
              <w:t>，</w:t>
            </w:r>
            <w:r>
              <w:rPr>
                <w:rFonts w:hint="eastAsia" w:ascii="宋体" w:hAnsi="宋体" w:eastAsia="宋体"/>
                <w:sz w:val="18"/>
                <w:szCs w:val="18"/>
              </w:rPr>
              <w:t>目前已形成完整的理论体系与工业化基础</w:t>
            </w:r>
            <w:r>
              <w:rPr>
                <w:rFonts w:hint="eastAsia" w:ascii="宋体" w:hAnsi="宋体" w:eastAsia="宋体"/>
                <w:sz w:val="18"/>
                <w:szCs w:val="18"/>
                <w:lang w:eastAsia="zh-CN"/>
              </w:rPr>
              <w:t>，</w:t>
            </w:r>
            <w:r>
              <w:rPr>
                <w:rFonts w:hint="eastAsia" w:ascii="宋体" w:hAnsi="宋体" w:eastAsia="宋体"/>
                <w:sz w:val="18"/>
                <w:szCs w:val="18"/>
              </w:rPr>
              <w:t>通过高温还原分解，将磷石膏中的硫酸钙转化为二氧化硫与氧化钙，二氧化硫富集制备工业硫酸，氧化钙用于烧成水泥熟料，实现固废全组分资源化利用。从生产应用现状来看，目前国内已形成</w:t>
            </w:r>
            <w:r>
              <w:rPr>
                <w:rFonts w:hint="eastAsia" w:ascii="宋体" w:hAnsi="宋体" w:eastAsia="宋体"/>
                <w:sz w:val="18"/>
                <w:szCs w:val="18"/>
                <w:lang w:eastAsia="zh-CN"/>
              </w:rPr>
              <w:t>多条</w:t>
            </w:r>
            <w:r>
              <w:rPr>
                <w:rFonts w:hint="eastAsia" w:ascii="宋体" w:hAnsi="宋体" w:eastAsia="宋体"/>
                <w:sz w:val="18"/>
                <w:szCs w:val="18"/>
              </w:rPr>
              <w:t>工业化生产线，产业化布局持续提速。云天化、鲁北化工、中材国际等多家龙头企业已建成多条工业化生产线，其中贵州瓮福示范项目年消纳磷石膏140万吨，可年产65万吨硫酸、80万吨水泥；目前国内已构建完善的全链条产业体系，全国现有10家规模化生产企业，集中布局于贵州、山东、湖北、四川等磷石膏富集区域，以云天化、鲁北化工、中材国际等行业龙头为核心，生产线运行稳定、技术成熟。整体而言，该产业规模持续扩大、配套体系日趋完善、经济与生态效益突出，技术成熟度与产业化可行性得到充分验证，具备大规模推广应用的坚实基础。然而，部分项目仍存在窑系统结皮堵塞、熟料质量波动、能耗偏高等共性问题，根源在于缺乏全流程的统一技术要求，工程设计、运行与评价标准不一，制约了技术的快速复制和产业壮大。</w:t>
            </w:r>
          </w:p>
          <w:p w14:paraId="37914005">
            <w:pPr>
              <w:snapToGrid w:val="0"/>
              <w:spacing w:line="360" w:lineRule="auto"/>
              <w:ind w:firstLine="360" w:firstLineChars="200"/>
              <w:rPr>
                <w:rFonts w:hint="eastAsia" w:ascii="宋体" w:hAnsi="宋体" w:eastAsia="宋体"/>
                <w:sz w:val="18"/>
                <w:szCs w:val="18"/>
                <w:lang w:eastAsia="zh-CN"/>
              </w:rPr>
            </w:pPr>
            <w:r>
              <w:rPr>
                <w:rFonts w:ascii="宋体" w:hAnsi="宋体" w:eastAsia="宋体"/>
                <w:sz w:val="18"/>
                <w:szCs w:val="18"/>
              </w:rPr>
              <w:t>目前行业尚无覆盖“制酸联产水泥”全流程的技术要求标准。各企业在原料磷石膏质量控制（如游离水、磷、氟含量等）、生料配制与均化、分解炉及回转窑关键工艺参数、硫酸净化与转化、水泥熟料矿物组成和率值</w:t>
            </w:r>
            <w:r>
              <w:rPr>
                <w:rFonts w:hint="eastAsia" w:ascii="宋体" w:hAnsi="宋体" w:eastAsia="宋体"/>
                <w:sz w:val="18"/>
                <w:szCs w:val="18"/>
                <w:lang w:val="en-US" w:eastAsia="zh-CN"/>
              </w:rPr>
              <w:t>等</w:t>
            </w:r>
            <w:r>
              <w:rPr>
                <w:rFonts w:ascii="宋体" w:hAnsi="宋体" w:eastAsia="宋体"/>
                <w:sz w:val="18"/>
                <w:szCs w:val="18"/>
              </w:rPr>
              <w:t>方面，所执行的标准和指标各异。这种无标可依的状况，造成工艺设计缺乏依据、核心设备选型随意、熟料产品质量认证困难以及下游市场接受度受限，削弱了该技术路线的</w:t>
            </w:r>
            <w:r>
              <w:rPr>
                <w:rFonts w:hint="eastAsia" w:ascii="宋体" w:hAnsi="宋体" w:eastAsia="宋体"/>
                <w:sz w:val="18"/>
                <w:szCs w:val="18"/>
                <w:lang w:val="en-US" w:eastAsia="zh-CN"/>
              </w:rPr>
              <w:t>推广力度</w:t>
            </w:r>
            <w:r>
              <w:rPr>
                <w:rFonts w:ascii="宋体" w:hAnsi="宋体" w:eastAsia="宋体"/>
                <w:sz w:val="18"/>
                <w:szCs w:val="18"/>
              </w:rPr>
              <w:t>。因此，</w:t>
            </w:r>
            <w:r>
              <w:rPr>
                <w:rFonts w:hint="eastAsia" w:ascii="宋体" w:hAnsi="宋体" w:eastAsia="宋体"/>
                <w:sz w:val="18"/>
                <w:szCs w:val="18"/>
                <w:lang w:eastAsia="zh-CN"/>
              </w:rPr>
              <w:t>亟需</w:t>
            </w:r>
            <w:r>
              <w:rPr>
                <w:rFonts w:ascii="宋体" w:hAnsi="宋体" w:eastAsia="宋体"/>
                <w:sz w:val="18"/>
                <w:szCs w:val="18"/>
              </w:rPr>
              <w:t>制定统一的标准，从原料要求、煅烧制备工艺、产品性能（硫酸浓度、熟料强度与安定性等）到能耗限额和污染物排放控制，给出系统、明确的技术要求，为工程建设与稳定运营提供可靠依据。</w:t>
            </w:r>
            <w:r>
              <w:rPr>
                <w:rFonts w:hint="eastAsia" w:ascii="宋体" w:hAnsi="宋体" w:eastAsia="宋体"/>
                <w:sz w:val="18"/>
                <w:szCs w:val="18"/>
              </w:rPr>
              <w:t>本标准研制完成后，将首次填补磷石膏制酸联产水泥技术要求的国家或行业标准空白，统一关键技术与质量门槛，有利于规范市场准入，引领工程设计和运行水平整体提升，稳定并改善硫酸和水泥熟料的产品质量。这将显著增强化工和建材行业对该技术产品的信任，加速在全国适宜地区的产业化布局。同时，标准将引导企业优化工艺降低能耗与碳排放</w:t>
            </w:r>
            <w:r>
              <w:rPr>
                <w:rFonts w:hint="eastAsia" w:ascii="宋体" w:hAnsi="宋体" w:eastAsia="宋体"/>
                <w:sz w:val="18"/>
                <w:szCs w:val="18"/>
                <w:lang w:eastAsia="zh-CN"/>
              </w:rPr>
              <w:t>，</w:t>
            </w:r>
            <w:r>
              <w:rPr>
                <w:rFonts w:hint="eastAsia" w:ascii="宋体" w:hAnsi="宋体" w:eastAsia="宋体"/>
                <w:sz w:val="18"/>
                <w:szCs w:val="18"/>
              </w:rPr>
              <w:t>实现硫资源高效循环</w:t>
            </w:r>
            <w:r>
              <w:rPr>
                <w:rFonts w:hint="eastAsia" w:ascii="宋体" w:hAnsi="宋体" w:eastAsia="宋体"/>
                <w:sz w:val="18"/>
                <w:szCs w:val="18"/>
                <w:lang w:eastAsia="zh-CN"/>
              </w:rPr>
              <w:t>，</w:t>
            </w:r>
            <w:r>
              <w:rPr>
                <w:rFonts w:hint="eastAsia" w:ascii="宋体" w:hAnsi="宋体" w:eastAsia="宋体"/>
                <w:sz w:val="18"/>
                <w:szCs w:val="18"/>
              </w:rPr>
              <w:t>促进固废资源化产业链健康有序发展，有力支撑“双碳”目标</w:t>
            </w:r>
            <w:r>
              <w:rPr>
                <w:rFonts w:hint="eastAsia" w:ascii="宋体" w:hAnsi="宋体" w:eastAsia="宋体"/>
                <w:sz w:val="18"/>
                <w:szCs w:val="18"/>
                <w:lang w:eastAsia="zh-CN"/>
              </w:rPr>
              <w:t>。</w:t>
            </w:r>
          </w:p>
        </w:tc>
      </w:tr>
      <w:tr w14:paraId="535D5B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2167" w:type="dxa"/>
            <w:tcBorders>
              <w:top w:val="single" w:color="auto" w:sz="2" w:space="0"/>
              <w:left w:val="single" w:color="auto" w:sz="2" w:space="0"/>
              <w:bottom w:val="single" w:color="auto" w:sz="2" w:space="0"/>
            </w:tcBorders>
            <w:vAlign w:val="center"/>
          </w:tcPr>
          <w:p w14:paraId="3D33E950">
            <w:pPr>
              <w:snapToGrid w:val="0"/>
              <w:spacing w:line="360" w:lineRule="auto"/>
              <w:jc w:val="center"/>
              <w:rPr>
                <w:rFonts w:ascii="宋体" w:hAnsi="宋体" w:eastAsia="宋体"/>
                <w:sz w:val="18"/>
                <w:szCs w:val="18"/>
              </w:rPr>
            </w:pPr>
            <w:r>
              <w:rPr>
                <w:rFonts w:hint="eastAsia" w:ascii="宋体" w:hAnsi="宋体" w:eastAsia="宋体"/>
                <w:sz w:val="18"/>
                <w:szCs w:val="18"/>
              </w:rPr>
              <w:t>范围和主要</w:t>
            </w:r>
          </w:p>
          <w:p w14:paraId="05B19D46">
            <w:pPr>
              <w:snapToGrid w:val="0"/>
              <w:spacing w:line="360" w:lineRule="auto"/>
              <w:jc w:val="center"/>
              <w:rPr>
                <w:rFonts w:ascii="宋体" w:hAnsi="宋体" w:eastAsia="宋体"/>
                <w:sz w:val="18"/>
                <w:szCs w:val="18"/>
              </w:rPr>
            </w:pPr>
            <w:r>
              <w:rPr>
                <w:rFonts w:hint="eastAsia" w:ascii="宋体" w:hAnsi="宋体" w:eastAsia="宋体"/>
                <w:sz w:val="18"/>
                <w:szCs w:val="18"/>
              </w:rPr>
              <w:t>技术内容</w:t>
            </w:r>
          </w:p>
        </w:tc>
        <w:tc>
          <w:tcPr>
            <w:tcW w:w="7573" w:type="dxa"/>
            <w:gridSpan w:val="8"/>
            <w:tcBorders>
              <w:top w:val="single" w:color="auto" w:sz="2" w:space="0"/>
              <w:bottom w:val="single" w:color="auto" w:sz="2" w:space="0"/>
              <w:right w:val="single" w:color="auto" w:sz="2" w:space="0"/>
            </w:tcBorders>
            <w:vAlign w:val="center"/>
          </w:tcPr>
          <w:p w14:paraId="42392BA7">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本文件规定了磷石膏制酸联产水泥技术的基本要求、系统构成、设备与检测以及安全环保等内容。</w:t>
            </w:r>
          </w:p>
          <w:p w14:paraId="12B06E58">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本文件适用于新建及技术改造的磷石膏制酸联产水泥烧成系统的设计、运行和评价</w:t>
            </w:r>
          </w:p>
          <w:p w14:paraId="2B76D615">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主要技术内容包括：</w:t>
            </w:r>
          </w:p>
          <w:p w14:paraId="55E645ED">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1. 基本规定提出系统装备规格、磷石膏预处理后需达到的指标要求、熟料物理性能和化学性能等要求。</w:t>
            </w:r>
          </w:p>
          <w:p w14:paraId="32B90BDF">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2. 系统构成章节主要规定了磷石膏制酸联产水泥烧成系统主要包括：磷石膏净化、磷石膏烘干、生料制备、生料均化、生料预热、熟料煅烧、熟料冷却、水泥粉磨、硫酸制备，以及系统熟料烧成热耗；硫酸浓度、熟料磷石膏钙质替代率等指标要求。</w:t>
            </w:r>
          </w:p>
          <w:p w14:paraId="2570D764">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3. 设备与检测部分主要规范了原料处理系统、粉磨系统、烧成系统、回转窑、冷却机、数字化协同设计管理、硫酸转化与吸收系统等应满足的要求。</w:t>
            </w:r>
          </w:p>
          <w:p w14:paraId="7E6B47F1">
            <w:pPr>
              <w:snapToGrid w:val="0"/>
              <w:spacing w:line="360" w:lineRule="auto"/>
              <w:ind w:firstLine="360" w:firstLineChars="200"/>
              <w:rPr>
                <w:rFonts w:ascii="宋体" w:hAnsi="宋体" w:eastAsia="宋体"/>
                <w:sz w:val="18"/>
                <w:szCs w:val="18"/>
              </w:rPr>
            </w:pPr>
            <w:r>
              <w:rPr>
                <w:rFonts w:hint="eastAsia" w:ascii="宋体" w:hAnsi="宋体" w:eastAsia="宋体"/>
                <w:sz w:val="18"/>
                <w:szCs w:val="18"/>
              </w:rPr>
              <w:t>4.安全环保部分给出了安全、电气防雷、防电伤、照明、系统温度、粉尘排放、警示等安全方面的要求，以及系统大气污染物排放、噪声控制、设备和管道的绝热设计、生产废水处理、硫酸储存输送过程等要求。</w:t>
            </w:r>
          </w:p>
        </w:tc>
      </w:tr>
      <w:tr w14:paraId="5FD718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8" w:hRule="atLeast"/>
          <w:jc w:val="center"/>
        </w:trPr>
        <w:tc>
          <w:tcPr>
            <w:tcW w:w="2167" w:type="dxa"/>
            <w:tcBorders>
              <w:top w:val="single" w:color="auto" w:sz="2" w:space="0"/>
              <w:left w:val="single" w:color="auto" w:sz="2" w:space="0"/>
              <w:bottom w:val="single" w:color="auto" w:sz="2" w:space="0"/>
            </w:tcBorders>
            <w:vAlign w:val="center"/>
          </w:tcPr>
          <w:p w14:paraId="59A24CAE">
            <w:pPr>
              <w:snapToGrid w:val="0"/>
              <w:spacing w:line="360" w:lineRule="auto"/>
              <w:jc w:val="center"/>
              <w:rPr>
                <w:rFonts w:ascii="宋体" w:hAnsi="宋体" w:eastAsia="宋体"/>
                <w:sz w:val="18"/>
                <w:szCs w:val="18"/>
              </w:rPr>
            </w:pPr>
            <w:r>
              <w:rPr>
                <w:rFonts w:hint="eastAsia" w:ascii="宋体" w:hAnsi="宋体" w:eastAsia="宋体"/>
                <w:sz w:val="18"/>
                <w:szCs w:val="18"/>
              </w:rPr>
              <w:t>国内外情况</w:t>
            </w:r>
          </w:p>
          <w:p w14:paraId="26C07572">
            <w:pPr>
              <w:snapToGrid w:val="0"/>
              <w:spacing w:line="360" w:lineRule="auto"/>
              <w:jc w:val="center"/>
              <w:rPr>
                <w:rFonts w:ascii="宋体" w:hAnsi="宋体" w:eastAsia="宋体"/>
                <w:sz w:val="18"/>
                <w:szCs w:val="18"/>
              </w:rPr>
            </w:pPr>
            <w:r>
              <w:rPr>
                <w:rFonts w:hint="eastAsia" w:ascii="宋体" w:hAnsi="宋体" w:eastAsia="宋体"/>
                <w:sz w:val="18"/>
                <w:szCs w:val="18"/>
              </w:rPr>
              <w:t>简要说明</w:t>
            </w:r>
          </w:p>
        </w:tc>
        <w:tc>
          <w:tcPr>
            <w:tcW w:w="7573" w:type="dxa"/>
            <w:gridSpan w:val="8"/>
            <w:tcBorders>
              <w:top w:val="single" w:color="auto" w:sz="2" w:space="0"/>
              <w:bottom w:val="single" w:color="auto" w:sz="2" w:space="0"/>
              <w:right w:val="single" w:color="auto" w:sz="2" w:space="0"/>
            </w:tcBorders>
            <w:vAlign w:val="center"/>
          </w:tcPr>
          <w:p w14:paraId="7BA7B374">
            <w:pPr>
              <w:snapToGrid w:val="0"/>
              <w:spacing w:line="360" w:lineRule="auto"/>
              <w:rPr>
                <w:rFonts w:hint="eastAsia" w:ascii="宋体" w:hAnsi="宋体" w:eastAsia="宋体"/>
                <w:sz w:val="18"/>
                <w:szCs w:val="18"/>
              </w:rPr>
            </w:pPr>
            <w:r>
              <w:rPr>
                <w:rFonts w:hint="eastAsia" w:ascii="宋体" w:hAnsi="宋体" w:eastAsia="宋体"/>
                <w:sz w:val="18"/>
                <w:szCs w:val="18"/>
                <w:u w:val="single"/>
              </w:rPr>
              <w:t>1. 国内外对该技术研究情况简要说明：</w:t>
            </w:r>
            <w:r>
              <w:rPr>
                <w:rFonts w:hint="eastAsia" w:ascii="宋体" w:hAnsi="宋体" w:eastAsia="宋体"/>
                <w:sz w:val="18"/>
                <w:szCs w:val="18"/>
              </w:rPr>
              <w:t>国内外对该技术研究情况、进程及未来的发展；该技术是否相对稳定，如果不是的话，预计一下技术未来稳定的时间，提出的标准项目是否可作为未来技术发展的基础；</w:t>
            </w:r>
          </w:p>
          <w:p w14:paraId="5221C3B6">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磷石膏制硫酸联产水泥的原理最早可追溯至1916年德国的实验室研究，此后德国、奥地利、英国等国相继开展工业化尝试。20世纪60至80年代是该技术在海外的活跃期，德国鲁奇公司和克虏伯公司等先后开发了以中空长回转窑为核心的磷石膏分解工艺，建成了德国科斯维希、奥地利林茨、英国怀德尼斯及南非帕拉博鲁瓦等多套工业化装置。这些装置大多与磷酸生产配套，将磷石膏还原分解为SO₂窑气用于制酸，同时产出水泥熟料，一度形成了“磷酸—硫酸—水泥”联产的物料循环格局。进入90年代后，受国际硫磺价格走低、能源成本持续攀升以及天然气制硫磺技术冲击等因素影响，发达国家对磷石膏的利用重心逐步转向石膏建材和土壤改良，制酸联产水泥方向的研究和产业化陷入低谷。不过，美国、巴西等国的科研机构在循环流化床分解磷石膏方面仍开展了实验室和中试研究，积累了一定的基础数据与工艺认知，但由于缺乏大规模的工业推动，至今未再形成新的产业化高潮。</w:t>
            </w:r>
          </w:p>
          <w:p w14:paraId="26A8D3C6">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我国从20世纪50年代即开始磷石膏制酸联产水泥的技术探索</w:t>
            </w:r>
            <w:r>
              <w:rPr>
                <w:rFonts w:hint="eastAsia" w:ascii="宋体" w:hAnsi="宋体" w:eastAsia="宋体"/>
                <w:sz w:val="18"/>
                <w:szCs w:val="18"/>
                <w:lang w:eastAsia="zh-CN"/>
              </w:rPr>
              <w:t>。“七五”至“九五”期间，该技术被列为国家科技攻关重点。山东鲁北化工建成的“年消纳3万吨磷铵副产磷石膏、联产4万吨硫酸和6万吨水泥”的“三四六”示范工程，通过中空长回转窑一步实现磷石膏分解、硫酸生产和水泥熟料烧成，实现了磷铵副产硫、钙资源的全循环和零固废排放，成为行业的里程碑。</w:t>
            </w:r>
            <w:r>
              <w:rPr>
                <w:rFonts w:hint="eastAsia" w:ascii="宋体" w:hAnsi="宋体" w:eastAsia="宋体"/>
                <w:sz w:val="18"/>
                <w:szCs w:val="18"/>
                <w:lang w:val="en-US" w:eastAsia="zh-CN"/>
              </w:rPr>
              <w:t>但</w:t>
            </w:r>
            <w:r>
              <w:rPr>
                <w:rFonts w:hint="eastAsia" w:ascii="宋体" w:hAnsi="宋体" w:eastAsia="宋体"/>
                <w:sz w:val="18"/>
                <w:szCs w:val="18"/>
                <w:lang w:eastAsia="zh-CN"/>
              </w:rPr>
              <w:t>该工艺存在窑气SO₂浓度低（一般在4%～5%）、单位产品综合能耗高、窑尾结皮和堵塞频繁等难题，使得该技术在较长时期内未得到大规模推广。</w:t>
            </w:r>
            <w:r>
              <w:rPr>
                <w:rFonts w:hint="eastAsia" w:ascii="宋体" w:hAnsi="宋体" w:eastAsia="宋体"/>
                <w:sz w:val="18"/>
                <w:szCs w:val="18"/>
                <w:lang w:val="en-US" w:eastAsia="zh-CN"/>
              </w:rPr>
              <w:t>2018年后，</w:t>
            </w:r>
            <w:r>
              <w:rPr>
                <w:rFonts w:hint="eastAsia" w:ascii="宋体" w:hAnsi="宋体" w:eastAsia="宋体"/>
                <w:sz w:val="18"/>
                <w:szCs w:val="18"/>
                <w:lang w:eastAsia="zh-CN"/>
              </w:rPr>
              <w:t>随着“以渣定产”等政策的刚性约束和国家“无废城市”、碳达峰碳中和战略的推进，磷石膏制酸联产水泥再次被推上产业化前台。以贵州磷化集团为代表的企业，联合科研力量在杂质深度脱除、窑外预分解强化以及回转窑工艺优化等方面取得系列突破，建设了全球单线规模最大的磷石膏制酸联产水泥工业装置，实现了高浓度SO₂窑气稳定制酸、熟料质量满足通用硅酸盐水泥要求且长周期安全运行。国内已从曾经的“跟跑”跃升至该技术领域的国际引领地位，形成了较为完整的工程设计、设备制造和运行管理能力，技术成熟度显著提升，为大规模产业化奠定了坚实基础。</w:t>
            </w:r>
          </w:p>
          <w:p w14:paraId="657C6731">
            <w:pPr>
              <w:snapToGrid w:val="0"/>
              <w:spacing w:line="360" w:lineRule="auto"/>
              <w:rPr>
                <w:rFonts w:hint="eastAsia" w:ascii="宋体" w:hAnsi="宋体" w:eastAsia="宋体"/>
                <w:sz w:val="18"/>
                <w:szCs w:val="18"/>
              </w:rPr>
            </w:pPr>
            <w:r>
              <w:rPr>
                <w:rFonts w:hint="eastAsia" w:ascii="宋体" w:hAnsi="宋体" w:eastAsia="宋体"/>
                <w:sz w:val="18"/>
                <w:szCs w:val="18"/>
                <w:u w:val="single"/>
              </w:rPr>
              <w:t>2. 项目与国际标准或国外先进标准采用程度的考虑：</w:t>
            </w:r>
            <w:r>
              <w:rPr>
                <w:rFonts w:hint="eastAsia" w:ascii="宋体" w:hAnsi="宋体" w:eastAsia="宋体"/>
                <w:sz w:val="18"/>
                <w:szCs w:val="18"/>
              </w:rPr>
              <w:t>该标准项目是否有对应的国际标准或国外先进标准，标准制定过程中如何考虑采用的问题；</w:t>
            </w:r>
          </w:p>
          <w:p w14:paraId="736BC6E8">
            <w:pPr>
              <w:snapToGrid w:val="0"/>
              <w:spacing w:line="360" w:lineRule="auto"/>
              <w:ind w:firstLine="360" w:firstLineChars="200"/>
              <w:rPr>
                <w:rFonts w:hint="eastAsia" w:ascii="宋体" w:hAnsi="宋体" w:eastAsia="宋体"/>
                <w:color w:val="auto"/>
                <w:sz w:val="18"/>
                <w:szCs w:val="18"/>
              </w:rPr>
            </w:pPr>
            <w:r>
              <w:rPr>
                <w:rFonts w:hint="eastAsia" w:ascii="宋体" w:hAnsi="宋体" w:eastAsia="宋体"/>
                <w:sz w:val="18"/>
                <w:szCs w:val="18"/>
              </w:rPr>
              <w:t>目前，国际上尚无针对磷石膏制酸联产水泥工艺的专用技术、产品及检测标准。欧美、日本等国家虽开展过磷石膏资源化基础研究，但受产业规模限制，其现有通用水泥、硫酸及固废利用标准，无法适配该联产工艺的特殊工况与技术特征。我国磷石膏制酸联产水泥技术、成套装备及工业化应用水平处于国际领先地位，编制《磷石膏制酸联产水泥技术要求》标准，是在此技术路线上的引领性的标准化工作</w:t>
            </w:r>
            <w:r>
              <w:rPr>
                <w:rFonts w:hint="eastAsia" w:ascii="宋体" w:hAnsi="宋体" w:eastAsia="宋体"/>
                <w:sz w:val="18"/>
                <w:szCs w:val="18"/>
                <w:lang w:eastAsia="zh-CN"/>
              </w:rPr>
              <w:t>，</w:t>
            </w:r>
            <w:r>
              <w:rPr>
                <w:rFonts w:hint="eastAsia" w:ascii="宋体" w:hAnsi="宋体" w:eastAsia="宋体"/>
                <w:sz w:val="18"/>
                <w:szCs w:val="18"/>
              </w:rPr>
              <w:t>不仅将填补国内空白，更</w:t>
            </w:r>
            <w:r>
              <w:rPr>
                <w:rFonts w:hint="eastAsia" w:ascii="宋体" w:hAnsi="宋体" w:eastAsia="宋体"/>
                <w:sz w:val="18"/>
                <w:szCs w:val="18"/>
                <w:lang w:val="en-US" w:eastAsia="zh-CN"/>
              </w:rPr>
              <w:t>有望</w:t>
            </w:r>
            <w:r>
              <w:rPr>
                <w:rFonts w:hint="eastAsia" w:ascii="宋体" w:hAnsi="宋体" w:eastAsia="宋体"/>
                <w:sz w:val="18"/>
                <w:szCs w:val="18"/>
              </w:rPr>
              <w:t>成为一份在国际上具有首创意义的系统性技术规范</w:t>
            </w:r>
            <w:r>
              <w:rPr>
                <w:rFonts w:hint="eastAsia" w:ascii="宋体" w:hAnsi="宋体" w:eastAsia="宋体"/>
                <w:color w:val="auto"/>
                <w:sz w:val="18"/>
                <w:szCs w:val="18"/>
              </w:rPr>
              <w:t>。</w:t>
            </w:r>
          </w:p>
          <w:p w14:paraId="0FE7F66E">
            <w:pPr>
              <w:snapToGrid w:val="0"/>
              <w:spacing w:line="360" w:lineRule="auto"/>
              <w:rPr>
                <w:rFonts w:hint="eastAsia" w:ascii="宋体" w:hAnsi="宋体" w:eastAsia="宋体"/>
                <w:color w:val="auto"/>
                <w:sz w:val="18"/>
                <w:szCs w:val="18"/>
              </w:rPr>
            </w:pPr>
            <w:r>
              <w:rPr>
                <w:rFonts w:hint="eastAsia" w:ascii="宋体" w:hAnsi="宋体" w:eastAsia="宋体"/>
                <w:color w:val="auto"/>
                <w:sz w:val="18"/>
                <w:szCs w:val="18"/>
                <w:u w:val="single"/>
              </w:rPr>
              <w:t>3. 与国内相关标准间的关系：</w:t>
            </w:r>
            <w:r>
              <w:rPr>
                <w:rFonts w:hint="eastAsia" w:ascii="宋体" w:hAnsi="宋体" w:eastAsia="宋体"/>
                <w:color w:val="auto"/>
                <w:sz w:val="18"/>
                <w:szCs w:val="18"/>
              </w:rPr>
              <w:t>该标准项目是否有相关的国家或行业标准，该标准项目与这些标准是什么关系，该标准项目在标准体系中的位置；</w:t>
            </w:r>
          </w:p>
          <w:p w14:paraId="2088DB9E">
            <w:pPr>
              <w:snapToGrid w:val="0"/>
              <w:spacing w:line="360" w:lineRule="auto"/>
              <w:ind w:firstLine="360" w:firstLineChars="200"/>
              <w:rPr>
                <w:rFonts w:hint="default" w:ascii="宋体" w:hAnsi="宋体" w:eastAsia="宋体"/>
                <w:sz w:val="18"/>
                <w:szCs w:val="18"/>
                <w:lang w:val="en-US" w:eastAsia="zh-CN"/>
              </w:rPr>
            </w:pPr>
            <w:r>
              <w:rPr>
                <w:rFonts w:hint="eastAsia" w:ascii="宋体" w:hAnsi="宋体" w:eastAsia="宋体"/>
                <w:sz w:val="18"/>
                <w:szCs w:val="18"/>
                <w:lang w:val="en-US" w:eastAsia="zh-CN"/>
              </w:rPr>
              <w:t>该标准项目目前暂无相关的国家或行业标准，我国目前发布的磷石膏相关标准有GB/T 23456-2018《磷石膏》、GB/T 32124《磷石膏的处理处置规范》，GB/T 32124对磷石膏制硫酸联产水泥的工艺流程、原辅材料等提出要求，缺乏对系统构成和系统性能、设备与检测、安全环保等的要求。水泥相关标准有GB 175《通用硅酸盐水泥》，该标准与现有的相关标准协调配套。</w:t>
            </w:r>
          </w:p>
          <w:p w14:paraId="49E5084A">
            <w:pPr>
              <w:snapToGrid w:val="0"/>
              <w:spacing w:line="360" w:lineRule="auto"/>
              <w:rPr>
                <w:rFonts w:hint="eastAsia" w:ascii="宋体" w:hAnsi="宋体" w:eastAsia="宋体"/>
                <w:sz w:val="18"/>
                <w:szCs w:val="18"/>
                <w:u w:val="single"/>
              </w:rPr>
            </w:pPr>
            <w:r>
              <w:rPr>
                <w:rFonts w:hint="eastAsia" w:ascii="宋体" w:hAnsi="宋体" w:eastAsia="宋体"/>
                <w:sz w:val="18"/>
                <w:szCs w:val="18"/>
                <w:u w:val="single"/>
              </w:rPr>
              <w:t>4. 指出是否发现有知识产权的问题。</w:t>
            </w:r>
          </w:p>
          <w:p w14:paraId="1042C3C9">
            <w:pPr>
              <w:snapToGrid w:val="0"/>
              <w:spacing w:line="360" w:lineRule="auto"/>
              <w:rPr>
                <w:rFonts w:hint="eastAsia" w:ascii="宋体" w:hAnsi="宋体" w:eastAsia="宋体"/>
                <w:sz w:val="18"/>
                <w:szCs w:val="18"/>
                <w:u w:val="single"/>
                <w:lang w:val="en-US" w:eastAsia="zh-CN"/>
              </w:rPr>
            </w:pPr>
            <w:r>
              <w:rPr>
                <w:rFonts w:hint="eastAsia" w:ascii="宋体" w:hAnsi="宋体" w:eastAsia="宋体"/>
                <w:sz w:val="18"/>
                <w:szCs w:val="18"/>
                <w:u w:val="single"/>
                <w:lang w:val="en-US" w:eastAsia="zh-CN"/>
              </w:rPr>
              <w:t>无。</w:t>
            </w:r>
          </w:p>
        </w:tc>
      </w:tr>
      <w:tr w14:paraId="447735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62" w:hRule="atLeast"/>
          <w:jc w:val="center"/>
        </w:trPr>
        <w:tc>
          <w:tcPr>
            <w:tcW w:w="2167" w:type="dxa"/>
            <w:tcBorders>
              <w:top w:val="single" w:color="auto" w:sz="2" w:space="0"/>
              <w:left w:val="single" w:color="auto" w:sz="2" w:space="0"/>
              <w:bottom w:val="single" w:color="auto" w:sz="2" w:space="0"/>
            </w:tcBorders>
            <w:vAlign w:val="center"/>
          </w:tcPr>
          <w:p w14:paraId="2C24C29F">
            <w:pPr>
              <w:pStyle w:val="4"/>
              <w:tabs>
                <w:tab w:val="clear" w:pos="4153"/>
                <w:tab w:val="clear" w:pos="8306"/>
              </w:tabs>
              <w:spacing w:line="360" w:lineRule="auto"/>
              <w:rPr>
                <w:rFonts w:ascii="宋体" w:hAnsi="宋体" w:eastAsia="宋体"/>
              </w:rPr>
            </w:pPr>
            <w:r>
              <w:rPr>
                <w:rFonts w:hint="eastAsia" w:ascii="宋体" w:hAnsi="宋体" w:eastAsia="宋体"/>
              </w:rPr>
              <w:t>牵头单位</w:t>
            </w:r>
          </w:p>
        </w:tc>
        <w:tc>
          <w:tcPr>
            <w:tcW w:w="3972" w:type="dxa"/>
            <w:gridSpan w:val="5"/>
            <w:tcBorders>
              <w:top w:val="single" w:color="auto" w:sz="2" w:space="0"/>
              <w:bottom w:val="single" w:color="auto" w:sz="2" w:space="0"/>
            </w:tcBorders>
            <w:vAlign w:val="center"/>
          </w:tcPr>
          <w:p w14:paraId="0C6E787A">
            <w:pPr>
              <w:snapToGrid w:val="0"/>
              <w:spacing w:line="360" w:lineRule="auto"/>
              <w:jc w:val="center"/>
              <w:rPr>
                <w:rFonts w:ascii="宋体" w:hAnsi="宋体" w:eastAsia="宋体"/>
                <w:sz w:val="18"/>
                <w:szCs w:val="18"/>
              </w:rPr>
            </w:pPr>
          </w:p>
          <w:p w14:paraId="2BFA1F7E">
            <w:pPr>
              <w:snapToGrid w:val="0"/>
              <w:spacing w:line="360" w:lineRule="auto"/>
              <w:jc w:val="center"/>
              <w:rPr>
                <w:rFonts w:ascii="宋体" w:hAnsi="宋体" w:eastAsia="宋体"/>
                <w:sz w:val="18"/>
                <w:szCs w:val="18"/>
              </w:rPr>
            </w:pPr>
            <w:r>
              <w:rPr>
                <w:rFonts w:hint="eastAsia" w:ascii="宋体" w:hAnsi="宋体" w:eastAsia="宋体"/>
                <w:sz w:val="18"/>
                <w:szCs w:val="18"/>
              </w:rPr>
              <w:t>（签字、盖公章）月     日</w:t>
            </w:r>
          </w:p>
        </w:tc>
        <w:tc>
          <w:tcPr>
            <w:tcW w:w="1701" w:type="dxa"/>
            <w:gridSpan w:val="2"/>
            <w:tcBorders>
              <w:top w:val="single" w:color="auto" w:sz="2" w:space="0"/>
              <w:bottom w:val="single" w:color="auto" w:sz="2" w:space="0"/>
            </w:tcBorders>
            <w:vAlign w:val="center"/>
          </w:tcPr>
          <w:p w14:paraId="2939D93A">
            <w:pPr>
              <w:snapToGrid w:val="0"/>
              <w:spacing w:line="360" w:lineRule="auto"/>
              <w:jc w:val="center"/>
              <w:rPr>
                <w:rFonts w:ascii="宋体" w:hAnsi="宋体" w:eastAsia="宋体"/>
                <w:sz w:val="18"/>
                <w:szCs w:val="18"/>
              </w:rPr>
            </w:pPr>
            <w:r>
              <w:rPr>
                <w:rFonts w:hint="eastAsia" w:ascii="宋体" w:hAnsi="宋体" w:eastAsia="宋体"/>
                <w:sz w:val="18"/>
                <w:szCs w:val="18"/>
              </w:rPr>
              <w:t>归口管理部门</w:t>
            </w:r>
          </w:p>
        </w:tc>
        <w:tc>
          <w:tcPr>
            <w:tcW w:w="1900" w:type="dxa"/>
            <w:tcBorders>
              <w:top w:val="single" w:color="auto" w:sz="2" w:space="0"/>
              <w:bottom w:val="single" w:color="auto" w:sz="2" w:space="0"/>
              <w:right w:val="single" w:color="auto" w:sz="2" w:space="0"/>
            </w:tcBorders>
            <w:vAlign w:val="center"/>
          </w:tcPr>
          <w:p w14:paraId="30AF5805">
            <w:pPr>
              <w:snapToGrid w:val="0"/>
              <w:spacing w:line="360" w:lineRule="auto"/>
              <w:rPr>
                <w:rFonts w:ascii="宋体" w:hAnsi="宋体" w:eastAsia="宋体"/>
                <w:sz w:val="18"/>
                <w:szCs w:val="18"/>
              </w:rPr>
            </w:pPr>
          </w:p>
          <w:p w14:paraId="069DDD54">
            <w:pPr>
              <w:snapToGrid w:val="0"/>
              <w:rPr>
                <w:rFonts w:ascii="宋体" w:hAnsi="宋体" w:eastAsia="宋体"/>
                <w:sz w:val="18"/>
                <w:szCs w:val="18"/>
              </w:rPr>
            </w:pPr>
            <w:r>
              <w:rPr>
                <w:rFonts w:hint="eastAsia" w:ascii="宋体" w:hAnsi="宋体" w:eastAsia="宋体"/>
                <w:sz w:val="18"/>
                <w:szCs w:val="18"/>
              </w:rPr>
              <w:t>（签字、盖公章）</w:t>
            </w:r>
          </w:p>
          <w:p w14:paraId="47925210">
            <w:pPr>
              <w:snapToGrid w:val="0"/>
              <w:rPr>
                <w:rFonts w:ascii="宋体" w:hAnsi="宋体" w:eastAsia="宋体"/>
                <w:sz w:val="18"/>
                <w:szCs w:val="18"/>
              </w:rPr>
            </w:pPr>
            <w:r>
              <w:rPr>
                <w:rFonts w:hint="eastAsia" w:ascii="宋体" w:hAnsi="宋体" w:eastAsia="宋体"/>
                <w:sz w:val="18"/>
                <w:szCs w:val="18"/>
              </w:rPr>
              <w:t xml:space="preserve">    月     日</w:t>
            </w:r>
          </w:p>
        </w:tc>
      </w:tr>
    </w:tbl>
    <w:p w14:paraId="44474D8F">
      <w:pPr>
        <w:snapToGrid w:val="0"/>
        <w:spacing w:beforeLines="5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注1</w:t>
      </w:r>
      <w:r>
        <w:rPr>
          <w:rFonts w:ascii="宋体" w:hAnsi="宋体" w:eastAsia="宋体"/>
          <w:sz w:val="18"/>
          <w:szCs w:val="18"/>
        </w:rPr>
        <w:t xml:space="preserve">] </w:t>
      </w:r>
      <w:r>
        <w:rPr>
          <w:rFonts w:hint="eastAsia" w:ascii="宋体" w:hAnsi="宋体" w:eastAsia="宋体"/>
          <w:sz w:val="18"/>
          <w:szCs w:val="18"/>
        </w:rPr>
        <w:t xml:space="preserve"> 填写制定或修订项目中，若选择修订必须填写被修订标准号；</w:t>
      </w:r>
    </w:p>
    <w:p w14:paraId="2A696CF7">
      <w:pPr>
        <w:snapToGrid w:val="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注2</w:t>
      </w:r>
      <w:r>
        <w:rPr>
          <w:rFonts w:ascii="宋体" w:hAnsi="宋体" w:eastAsia="宋体"/>
          <w:sz w:val="18"/>
          <w:szCs w:val="18"/>
        </w:rPr>
        <w:t>]</w:t>
      </w:r>
      <w:r>
        <w:rPr>
          <w:rFonts w:hint="eastAsia" w:ascii="宋体" w:hAnsi="宋体" w:eastAsia="宋体"/>
          <w:sz w:val="18"/>
          <w:szCs w:val="18"/>
        </w:rPr>
        <w:t xml:space="preserve">  选择采用国际标准，必须填写采标号及采用程度；</w:t>
      </w:r>
    </w:p>
    <w:p w14:paraId="293985A2">
      <w:pPr>
        <w:snapToGrid w:val="0"/>
        <w:ind w:left="448" w:leftChars="160" w:firstLine="54" w:firstLineChars="30"/>
        <w:rPr>
          <w:sz w:val="18"/>
          <w:szCs w:val="18"/>
        </w:rPr>
      </w:pPr>
      <w:r>
        <w:rPr>
          <w:rFonts w:ascii="宋体" w:hAnsi="宋体" w:eastAsia="宋体"/>
          <w:sz w:val="18"/>
          <w:szCs w:val="18"/>
        </w:rPr>
        <w:t>[</w:t>
      </w:r>
      <w:r>
        <w:rPr>
          <w:rFonts w:hint="eastAsia" w:ascii="宋体" w:hAnsi="宋体" w:eastAsia="宋体"/>
          <w:sz w:val="18"/>
          <w:szCs w:val="18"/>
        </w:rPr>
        <w:t>注3</w:t>
      </w:r>
      <w:r>
        <w:rPr>
          <w:rFonts w:ascii="宋体" w:hAnsi="宋体" w:eastAsia="宋体"/>
          <w:sz w:val="18"/>
          <w:szCs w:val="18"/>
        </w:rPr>
        <w:t>]</w:t>
      </w:r>
      <w:r>
        <w:rPr>
          <w:rFonts w:hint="eastAsia" w:ascii="宋体" w:hAnsi="宋体" w:eastAsia="宋体"/>
          <w:sz w:val="18"/>
          <w:szCs w:val="18"/>
        </w:rPr>
        <w:t xml:space="preserve">  选择采用快速程序，必须填写快速程序代码。</w:t>
      </w:r>
    </w:p>
    <w:p w14:paraId="426C0A81">
      <w:pPr>
        <w:snapToGrid w:val="0"/>
        <w:rPr>
          <w:sz w:val="18"/>
          <w:szCs w:val="18"/>
        </w:rPr>
      </w:pPr>
    </w:p>
    <w:p w14:paraId="1FFA5B3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747499"/>
    <w:rsid w:val="00314295"/>
    <w:rsid w:val="00631028"/>
    <w:rsid w:val="00747499"/>
    <w:rsid w:val="00A618D0"/>
    <w:rsid w:val="00E03E1D"/>
    <w:rsid w:val="00E908CF"/>
    <w:rsid w:val="00F7264B"/>
    <w:rsid w:val="03DD6186"/>
    <w:rsid w:val="0AD21AAE"/>
    <w:rsid w:val="0B616017"/>
    <w:rsid w:val="0B9C6B10"/>
    <w:rsid w:val="21375D46"/>
    <w:rsid w:val="2727432F"/>
    <w:rsid w:val="2A5A558B"/>
    <w:rsid w:val="2D4F3FFF"/>
    <w:rsid w:val="2E16539C"/>
    <w:rsid w:val="31AE2DA9"/>
    <w:rsid w:val="47D81317"/>
    <w:rsid w:val="4F1E2BE8"/>
    <w:rsid w:val="580249E9"/>
    <w:rsid w:val="5C59404C"/>
    <w:rsid w:val="5D74693B"/>
    <w:rsid w:val="60512FA1"/>
    <w:rsid w:val="69E06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8"/>
      <w:szCs w:val="20"/>
      <w:lang w:val="en-US" w:eastAsia="zh-CN" w:bidi="ar-SA"/>
    </w:rPr>
  </w:style>
  <w:style w:type="paragraph" w:styleId="2">
    <w:name w:val="heading 3"/>
    <w:basedOn w:val="1"/>
    <w:next w:val="1"/>
    <w:autoRedefine/>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Strong"/>
    <w:basedOn w:val="6"/>
    <w:qFormat/>
    <w:uiPriority w:val="22"/>
    <w:rPr>
      <w:b/>
    </w:rPr>
  </w:style>
  <w:style w:type="character" w:styleId="8">
    <w:name w:val="Emphasis"/>
    <w:basedOn w:val="6"/>
    <w:qFormat/>
    <w:uiPriority w:val="20"/>
    <w:rPr>
      <w:i/>
    </w:rPr>
  </w:style>
  <w:style w:type="character" w:customStyle="1" w:styleId="9">
    <w:name w:val="页眉 Char"/>
    <w:basedOn w:val="6"/>
    <w:link w:val="4"/>
    <w:qFormat/>
    <w:uiPriority w:val="0"/>
    <w:rPr>
      <w:sz w:val="18"/>
      <w:szCs w:val="18"/>
    </w:rPr>
  </w:style>
  <w:style w:type="character" w:customStyle="1" w:styleId="10">
    <w:name w:val="页脚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7426fc44-4f51-42c2-8fde-d17bb2db0228</errorID>
      <errorWord>(</errorWord>
      <group>L1_Format</group>
      <groupName>格式问题</groupName>
      <ability>L2_HalfPunc_CN</ability>
      <abilityName>全半角检查</abilityName>
      <candidateList>
        <item>（</item>
      </candidateList>
      <explain>文本全半角错误。</explain>
      <paraID>789AF4F1</paraID>
      <start>0</start>
      <end>1</end>
      <status>unmodified</status>
      <modifiedWord/>
      <trackRevisions>false</trackRevisions>
    </reviewItem>
    <reviewItem>
      <errorID>d0627436-dac4-41b7-a4e1-35fa781143ac</errorID>
      <errorWord>)</errorWord>
      <group>L1_Format</group>
      <groupName>格式问题</groupName>
      <ability>L2_HalfPunc_CN</ability>
      <abilityName>全半角检查</abilityName>
      <candidateList>
        <item>）</item>
      </candidateList>
      <explain>文本全半角错误。</explain>
      <paraID>789AF4F1</paraID>
      <start>3</start>
      <end>4</end>
      <status>unmodified</status>
      <modifiedWord/>
      <trackRevisions>false</trackRevisions>
    </reviewItem>
    <reviewItem>
      <errorID>158c33f2-7b53-4e46-9e9b-cb207ef0bdeb</errorID>
      <errorWord>(</errorWord>
      <group>L1_Format</group>
      <groupName>格式问题</groupName>
      <ability>L2_HalfPunc_CN</ability>
      <abilityName>全半角检查</abilityName>
      <candidateList>
        <item>（</item>
      </candidateList>
      <explain>文本全半角错误。</explain>
      <paraID>7EDE0353</paraID>
      <start>0</start>
      <end>1</end>
      <status>unmodified</status>
      <modifiedWord/>
      <trackRevisions>false</trackRevisions>
    </reviewItem>
    <reviewItem>
      <errorID>84a45e36-2a50-4082-8030-744ecee123b4</errorID>
      <errorWord>)</errorWord>
      <group>L1_Format</group>
      <groupName>格式问题</groupName>
      <ability>L2_HalfPunc_CN</ability>
      <abilityName>全半角检查</abilityName>
      <candidateList>
        <item>）</item>
      </candidateList>
      <explain>文本全半角错误。</explain>
      <paraID>7EDE0353</paraID>
      <start>3</start>
      <end>4</end>
      <status>unmodified</status>
      <modifiedWord/>
      <trackRevisions>false</trackRevisions>
    </reviewItem>
    <reviewItem>
      <errorID>71bda200-156a-420d-9bf6-acc90f5a7bc1</errorID>
      <errorWord>亟需</errorWord>
      <group>L1_Word</group>
      <groupName>字词问题</groupName>
      <ability>L2_Typo</ability>
      <abilityName>字词错误</abilityName>
      <candidateList>
        <item>亟须</item>
      </candidateList>
      <explain/>
      <paraID>37914005</paraID>
      <start>180</start>
      <end>182</end>
      <status>unmodified</status>
      <modifiedWord/>
      <trackRevisions>false</trackRevisions>
    </reviewItem>
    <reviewItem>
      <errorID>93fc6ff9-720e-4f12-a2a3-d34b716457f8</errorID>
      <errorWord>硫磺</errorWord>
      <group>L1_Word</group>
      <groupName>字词问题</groupName>
      <ability>L2_Typo</ability>
      <abilityName>字词错误</abilityName>
      <candidateList>
        <item>硫黄</item>
      </candidateList>
      <explain/>
      <paraID>5221C3B6</paraID>
      <start>254</start>
      <end>256</end>
      <status>unmodified</status>
      <modifiedWord/>
      <trackRevisions>false</trackRevisions>
    </reviewItem>
    <reviewItem>
      <errorID>4e444276-25ad-49cc-8aa6-279206bfed9f</errorID>
      <errorWord>，</errorWord>
      <group>L1_Word</group>
      <groupName>字词问题</groupName>
      <ability>L2_Typo</ability>
      <abilityName>字词错误</abilityName>
      <candidateList>
        <item>，在</item>
      </candidateList>
      <explain/>
      <paraID>657C6731</paraID>
      <start>47</start>
      <end>48</end>
      <status>unmodified</status>
      <modifiedWord/>
      <trackRevisions>false</trackRevisions>
    </reviewItem>
  </reviewItems>
  <config/>
</contractReview>
</file>

<file path=customXml/itemProps1.xml><?xml version="1.0" encoding="utf-8"?>
<ds:datastoreItem xmlns:ds="http://schemas.openxmlformats.org/officeDocument/2006/customXml" ds:itemID="{dc4bdba4-2ffc-4915-bc31-0aa004e67015}">
  <ds:schemaRefs/>
</ds:datastoreItem>
</file>

<file path=docProps/app.xml><?xml version="1.0" encoding="utf-8"?>
<Properties xmlns="http://schemas.openxmlformats.org/officeDocument/2006/extended-properties" xmlns:vt="http://schemas.openxmlformats.org/officeDocument/2006/docPropsVTypes">
  <Template>Normal.dotm</Template>
  <Pages>4</Pages>
  <Words>3893</Words>
  <Characters>4073</Characters>
  <Lines>4</Lines>
  <Paragraphs>1</Paragraphs>
  <TotalTime>6</TotalTime>
  <ScaleCrop>false</ScaleCrop>
  <LinksUpToDate>false</LinksUpToDate>
  <CharactersWithSpaces>4120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2018-05-31T09:17:00Z</dcterms:created>
  <dc:creator>bz</dc:creator>
  <cp:lastModifiedBy>毛毛雨</cp:lastModifiedBy>
  <dcterms:modified xsi:type="dcterms:W3CDTF">2026-06-03T09:42:01Z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eyJoZGlkIjoiZTE1NTU3Y2EwZmU0OTAzNGMzZjI2ZWE5NmE3ZTkzMTEiLCJ1c2VySWQiOiI0NTA5NzM2NTMifQ==</vt:lpwstr>
  </property>
  <property fmtid="{D5CDD505-2E9C-101B-9397-08002B2CF9AE}" pid="3" name="KSOProductBuildVer">
    <vt:lpwstr>2052-12.1.0.26375</vt:lpwstr>
  </property>
  <property fmtid="{D5CDD505-2E9C-101B-9397-08002B2CF9AE}" pid="4" name="ICV">
    <vt:lpwstr>960E5919A45D4732BAE2D189F7810702_12</vt:lpwstr>
  </property>
</Properties>
</file>