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C281CA">
      <w:pPr>
        <w:rPr>
          <w:color w:val="000000" w:themeColor="text1"/>
          <w:sz w:val="48"/>
          <w:szCs w:val="48"/>
          <w14:textFill>
            <w14:solidFill>
              <w14:schemeClr w14:val="tx1"/>
            </w14:solidFill>
          </w14:textFill>
        </w:rPr>
      </w:pPr>
      <w:r>
        <w:rPr>
          <w:color w:val="FF0000"/>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1722755</wp:posOffset>
                </wp:positionV>
                <wp:extent cx="6120130" cy="0"/>
                <wp:effectExtent l="0" t="0" r="33020" b="19050"/>
                <wp:wrapNone/>
                <wp:docPr id="5" name="直线 7"/>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7" o:spid="_x0000_s1026" o:spt="20" style="position:absolute;left:0pt;margin-top:135.65pt;height:0pt;width:481.9pt;mso-position-horizontal:center;mso-position-horizontal-relative:margin;z-index:251663360;mso-width-relative:page;mso-height-relative:page;" filled="f" stroked="t" coordsize="21600,21600" o:gfxdata="UEsDBAoAAAAAAIdO4kAAAAAAAAAAAAAAAAAEAAAAZHJzL1BLAwQUAAAACACHTuJAKalPZtUAAAAI&#10;AQAADwAAAGRycy9kb3ducmV2LnhtbE2Py07DQAxF90j8w8hIbKp28pBKCZl0AWTHhhbE1s2YJCLj&#10;STPTB3w9RkKCpX2t63PK9dkN6khT6D0bSBcJKOLG255bAy/ber4CFSKyxcEzGfikAOvq8qLEwvoT&#10;P9NxE1slJRwKNNDFOBZah6Yjh2HhR2LJ3v3kMMo4tdpOeJJyN+gsSZbaYc/yocOR7jtqPjYHZyDU&#10;r7Svv2bNLHnLW0/Z/uHpEY25vkqTO1CRzvHvGH7wBR0qYdr5A9ugBgMiEg1kN2kOSuLbZS4mu9+N&#10;rkr9X6D6BlBLAwQUAAAACACHTuJAziK2YN4BAADPAwAADgAAAGRycy9lMm9Eb2MueG1srVNLjhMx&#10;EN0jcQfLe9JJ0AzQSmcWE4YNgkjAASr+dFvyTy5POjkL12DFhuPMNSi7MxkYNlnQC3e5XPWq3nN5&#10;dXNwlu1VQhN8xxezOWfKiyCN7zv+7evdq7ecYQYvwQavOn5UyG/WL1+sxtiqZRiClSoxAvHYjrHj&#10;Q86xbRoUg3KAsxCVp0MdkoNM29Q3MsFI6M42y/n8uhlDkjEFoRDJu5kO+QkxXQIYtDZCbYK4d8rn&#10;CTUpC5ko4WAi8nXtVmsl8metUWVmO05Mc12pCNm7sjbrFbR9gjgYcWoBLmnhGScHxlPRM9QGMrD7&#10;ZP6BckakgEHnmQiumYhURYjFYv5Mmy8DRFW5kNQYz6Lj/4MVn/bbxIzs+BVnHhxd+MP3Hw8/f7E3&#10;RZsxYksht36bTjuM21SIHnRy5U8U2KHqeTzrqQ6ZCXJeL4jUa5JaPJ41T4kxYf6ggmPF6Lg1vlCF&#10;FvYfMVMxCn0MKW7r2djxd1dL6lMAzZ2m+ybTReodfV9zMVgj74y1JQNTv7u1ie2h3H39CiXC/Sus&#10;FNkADlNcPZqmYlAg33vJ8jGSKp4eAy8tOCU5s4reTrEIENoMxl4SSaWtpw6KqpOOxdoFeazyVj/d&#10;c+3xNJNlkP7c1+ynd7j+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CmpT2bVAAAACAEAAA8AAAAA&#10;AAAAAQAgAAAAIgAAAGRycy9kb3ducmV2LnhtbFBLAQIUABQAAAAIAIdO4kDOIrZg3gEAAM8DAAAO&#10;AAAAAAAAAAEAIAAAACQBAABkcnMvZTJvRG9jLnhtbFBLBQYAAAAABgAGAFkBAAB0BQ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59264" behindDoc="1" locked="0" layoutInCell="1" allowOverlap="1">
                <wp:simplePos x="0" y="0"/>
                <wp:positionH relativeFrom="column">
                  <wp:posOffset>3914140</wp:posOffset>
                </wp:positionH>
                <wp:positionV relativeFrom="paragraph">
                  <wp:posOffset>1863090</wp:posOffset>
                </wp:positionV>
                <wp:extent cx="2135505" cy="371475"/>
                <wp:effectExtent l="0" t="0" r="0" b="9525"/>
                <wp:wrapNone/>
                <wp:docPr id="4" name="DT"/>
                <wp:cNvGraphicFramePr/>
                <a:graphic xmlns:a="http://schemas.openxmlformats.org/drawingml/2006/main">
                  <a:graphicData uri="http://schemas.microsoft.com/office/word/2010/wordprocessingShape">
                    <wps:wsp>
                      <wps:cNvSpPr/>
                      <wps:spPr>
                        <a:xfrm>
                          <a:off x="0" y="0"/>
                          <a:ext cx="2135505" cy="371475"/>
                        </a:xfrm>
                        <a:prstGeom prst="rect">
                          <a:avLst/>
                        </a:prstGeom>
                        <a:solidFill>
                          <a:srgbClr val="FFFFFF"/>
                        </a:solidFill>
                        <a:ln w="9525">
                          <a:noFill/>
                        </a:ln>
                      </wps:spPr>
                      <wps:txbx>
                        <w:txbxContent>
                          <w:p w14:paraId="5838B66E"/>
                        </w:txbxContent>
                      </wps:txbx>
                      <wps:bodyPr upright="1"/>
                    </wps:wsp>
                  </a:graphicData>
                </a:graphic>
              </wp:anchor>
            </w:drawing>
          </mc:Choice>
          <mc:Fallback>
            <w:pict>
              <v:rect id="DT" o:spid="_x0000_s1026" o:spt="1" style="position:absolute;left:0pt;margin-left:308.2pt;margin-top:146.7pt;height:29.25pt;width:168.15pt;z-index:-251657216;mso-width-relative:page;mso-height-relative:page;" fillcolor="#FFFFFF" filled="t" stroked="f" coordsize="21600,21600" o:gfxdata="UEsDBAoAAAAAAIdO4kAAAAAAAAAAAAAAAAAEAAAAZHJzL1BLAwQUAAAACACHTuJAcmU6sdkAAAAL&#10;AQAADwAAAGRycy9kb3ducmV2LnhtbE2PsU7DMBCGdyTewTokNmonaUyT5tIBqRMw0CKxXmM3iYjt&#10;EDtteHvMBNud7tN/31/tFjOwi5587yxCshLAtG2c6m2L8H7cP2yA+UBW0eCsRvjWHnb17U1FpXJX&#10;+6Yvh9CyGGJ9SQhdCGPJuW86bciv3KhtvJ3dZCjEdWq5mugaw83AUyEkN9Tb+KGjUT91uvk8zAaB&#10;5Fp9vZ6zl+PzLKloF7HPPwTi/V0itsCCXsIfDL/6UR3q6HRys1WeDQgykeuIIqRFFodIFHn6COyE&#10;kOVJAbyu+P8O9Q9QSwMEFAAAAAgAh07iQOQTBkuuAQAAbQMAAA4AAABkcnMvZTJvRG9jLnhtbK1T&#10;y27bMBC8F+g/ELzXspyoaQTLOdRwL0UbIOkH0BQlEeALu7Ql/32XlOq06SWH6EDtcpfDmVlp+zBZ&#10;w84KUHvX8HK15kw56Vvt+ob/ej58+sIZRuFaYbxTDb8o5A+7jx+2Y6jVxg/etAoYgTisx9DwIcZQ&#10;FwXKQVmBKx+Uo2LnwYpIKfRFC2IkdGuKzXr9uRg9tAG8VIi0u5+LfEGEtwD6rtNS7b08WeXijArK&#10;iEiScNAB+S6z7Tol48+uQxWZaTgpjXmlSyg+prXYbUXdgwiDlgsF8RYKrzRZoR1deoXaiyjYCfR/&#10;UFZL8Oi7uJLeFrOQ7AipKNevvHkaRFBZC1mN4Wo6vh+s/HF+BKbbht9y5oSlge+fkytjwJqKT+ER&#10;lgwpTBKnDmx6E3k2ZScvVyfVFJmkzU15U1XrijNJtZu78vauSqDFy+kAGL8pb1kKGg40qWygOH/H&#10;OLf+aUmXoTe6PWhjcgL98asBdhY01UN+FvR/2oxjY8Pvq02VkZ1P52do44hMkjiLSlGcjtOi9Ojb&#10;C7lyCqD7gciVGT010RSyiuWLSWP+O8+gL3/J7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yZTqx&#10;2QAAAAsBAAAPAAAAAAAAAAEAIAAAACIAAABkcnMvZG93bnJldi54bWxQSwECFAAUAAAACACHTuJA&#10;5BMGS64BAABtAwAADgAAAAAAAAABACAAAAAoAQAAZHJzL2Uyb0RvYy54bWxQSwUGAAAAAAYABgBZ&#10;AQAASAUAAAAA&#10;">
                <v:fill on="t" focussize="0,0"/>
                <v:stroke on="f"/>
                <v:imagedata o:title=""/>
                <o:lock v:ext="edit" aspectratio="f"/>
                <v:textbox>
                  <w:txbxContent>
                    <w:p w14:paraId="5838B66E"/>
                  </w:txbxContent>
                </v:textbox>
              </v:rect>
            </w:pict>
          </mc:Fallback>
        </mc:AlternateContent>
      </w:r>
    </w:p>
    <w:p w14:paraId="602604D3"/>
    <w:p w14:paraId="2BF3B4F8"/>
    <w:p w14:paraId="36DF0B57">
      <w:pPr>
        <w:pStyle w:val="20"/>
        <w:framePr w:wrap="around"/>
        <w:rPr>
          <w:color w:val="000000" w:themeColor="text1"/>
          <w14:textFill>
            <w14:solidFill>
              <w14:schemeClr w14:val="tx1"/>
            </w14:solidFill>
          </w14:textFill>
        </w:rPr>
      </w:pPr>
      <w:r>
        <w:rPr>
          <w:rFonts w:ascii="Times New Roman"/>
          <w:color w:val="000000" w:themeColor="text1"/>
          <w14:textFill>
            <w14:solidFill>
              <w14:schemeClr w14:val="tx1"/>
            </w14:solidFill>
          </w14:textFill>
        </w:rPr>
        <w:t>ICS</w:t>
      </w:r>
      <w:r>
        <w:rPr>
          <w:rFonts w:hint="eastAsia" w:ascii="MS Gothic" w:hAnsi="MS Gothic" w:eastAsia="MS Gothic" w:cs="MS Gothic"/>
          <w:color w:val="000000" w:themeColor="text1"/>
          <w14:textFill>
            <w14:solidFill>
              <w14:schemeClr w14:val="tx1"/>
            </w14:solidFill>
          </w14:textFill>
        </w:rPr>
        <w:t> </w:t>
      </w:r>
      <w:bookmarkStart w:id="0" w:name="ICS"/>
      <w:r>
        <w:rPr>
          <w:rFonts w:hAnsi="黑体" w:cs="MS Gothic"/>
          <w:color w:val="000000" w:themeColor="text1"/>
          <w14:textFill>
            <w14:solidFill>
              <w14:schemeClr w14:val="tx1"/>
            </w14:solidFill>
          </w14:textFill>
        </w:rPr>
        <w:t>81</w:t>
      </w:r>
      <w:r>
        <w:rPr>
          <w:rFonts w:hint="eastAsia" w:hAnsi="黑体" w:cs="MS Gothic"/>
          <w:color w:val="000000" w:themeColor="text1"/>
          <w14:textFill>
            <w14:solidFill>
              <w14:schemeClr w14:val="tx1"/>
            </w14:solidFill>
          </w14:textFill>
        </w:rPr>
        <w:t>.</w:t>
      </w:r>
      <w:bookmarkEnd w:id="0"/>
      <w:r>
        <w:rPr>
          <w:rFonts w:hint="eastAsia" w:hAnsi="黑体" w:cs="MS Gothic"/>
          <w:color w:val="000000" w:themeColor="text1"/>
          <w14:textFill>
            <w14:solidFill>
              <w14:schemeClr w14:val="tx1"/>
            </w14:solidFill>
          </w14:textFill>
        </w:rPr>
        <w:t>080</w:t>
      </w:r>
    </w:p>
    <w:p w14:paraId="3BF86850">
      <w:pPr>
        <w:pStyle w:val="20"/>
        <w:framePr w:wrap="around"/>
        <w:rPr>
          <w:rFonts w:ascii="Times New Roman" w:hAnsi="Times New Roman"/>
          <w:color w:val="000000" w:themeColor="text1"/>
          <w14:textFill>
            <w14:solidFill>
              <w14:schemeClr w14:val="tx1"/>
            </w14:solidFill>
          </w14:textFill>
        </w:rPr>
      </w:pPr>
      <w:bookmarkStart w:id="1" w:name="WXFLH"/>
      <w:r>
        <w:rPr>
          <w:rFonts w:ascii="Times New Roman" w:hAnsi="Times New Roman"/>
          <w:color w:val="000000" w:themeColor="text1"/>
          <w14:textFill>
            <w14:solidFill>
              <w14:schemeClr w14:val="tx1"/>
            </w14:solidFill>
          </w14:textFill>
        </w:rPr>
        <w:t xml:space="preserve">CCS Q </w:t>
      </w:r>
      <w:bookmarkEnd w:id="1"/>
      <w:r>
        <w:rPr>
          <w:rFonts w:hAnsi="黑体"/>
          <w:color w:val="000000" w:themeColor="text1"/>
          <w14:textFill>
            <w14:solidFill>
              <w14:schemeClr w14:val="tx1"/>
            </w14:solidFill>
          </w14:textFill>
        </w:rPr>
        <w:t>4</w:t>
      </w:r>
      <w:r>
        <w:rPr>
          <w:rFonts w:hint="eastAsia" w:hAnsi="黑体"/>
          <w:color w:val="000000" w:themeColor="text1"/>
          <w14:textFill>
            <w14:solidFill>
              <w14:schemeClr w14:val="tx1"/>
            </w14:solidFill>
          </w14:textFill>
        </w:rPr>
        <w:t>0</w:t>
      </w:r>
    </w:p>
    <w:tbl>
      <w:tblPr>
        <w:tblStyle w:val="15"/>
        <w:tblW w:w="98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14:paraId="5A0C70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14:paraId="672B2C54">
            <w:pPr>
              <w:pStyle w:val="20"/>
              <w:framePr w:wrap="around"/>
              <w:rPr>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9525" b="0"/>
                      <wp:wrapNone/>
                      <wp:docPr id="1"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w="9525">
                                <a:noFill/>
                              </a:ln>
                            </wps:spPr>
                            <wps:txbx>
                              <w:txbxContent>
                                <w:p w14:paraId="6EBD4A47"/>
                              </w:txbxContent>
                            </wps:txbx>
                            <wps:bodyPr upright="1"/>
                          </wps:wsp>
                        </a:graphicData>
                      </a:graphic>
                    </wp:anchor>
                  </w:drawing>
                </mc:Choice>
                <mc:Fallback>
                  <w:pict>
                    <v:rect id="BAH"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RjE22LEBAABtAwAADgAAAGRycy9lMm9Eb2MueG1srVNNb9sw&#10;DL0P2H8QdF8cB0iaGnGKbUG2w7AV6PYDFFm2BegLpBI7/36U7KVrd+lhPsikSD3yPUq7h9EadlGA&#10;2rual4slZ8pJ32jX1fzXz+OHLWcYhWuE8U7V/KqQP+zfv9sNoVIr33vTKGAE4rAaQs37GENVFCh7&#10;ZQUufFCOgq0HKyK50BUNiIHQrSlWy+WmGDw0AbxUiLR7mIJ8RoS3APq21VIdvDxb5eKECsqISJSw&#10;1wH5PnfbtkrGH22LKjJTc2Ia80pFyD6ltdjvRNWBCL2WcwviLS284mSFdlT0BnUQUbAz6H+grJbg&#10;0bdxIb0tJiJZEWJRLl9p89SLoDIXkhrDTXT8f7Dy++URmG7oJnDmhKWBf/r4NckyBKwo+hQeYfaQ&#10;zMRxbMGmP3XPxizl9SalGiOTtLndbO7u1pxJCpX323KVpS6eDwfA+EV5y5JRc6BJZQHF5RtGKkip&#10;f1JSLfRGN0dtTHagO302wC6CpnrMX+qYjrxIM44NNb9fr9YZ2fl0fsozjtITw4lTsuJ4GmeiJ99c&#10;SZVzAN311FyZ0VMSTSHXmW9MGvPffgZ9fiX7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iuL+zV&#10;AAAABwEAAA8AAAAAAAAAAQAgAAAAIgAAAGRycy9kb3ducmV2LnhtbFBLAQIUABQAAAAIAIdO4kBG&#10;MTbYsQEAAG0DAAAOAAAAAAAAAAEAIAAAACQBAABkcnMvZTJvRG9jLnhtbFBLBQYAAAAABgAGAFkB&#10;AABHBQAAAAA=&#10;">
                      <v:fill on="t" focussize="0,0"/>
                      <v:stroke on="f"/>
                      <v:imagedata o:title=""/>
                      <o:lock v:ext="edit" aspectratio="f"/>
                      <v:textbox>
                        <w:txbxContent>
                          <w:p w14:paraId="6EBD4A47"/>
                        </w:txbxContent>
                      </v:textbox>
                    </v:rect>
                  </w:pict>
                </mc:Fallback>
              </mc:AlternateContent>
            </w:r>
          </w:p>
        </w:tc>
      </w:tr>
    </w:tbl>
    <w:p w14:paraId="419F34E5">
      <w:pPr>
        <w:pStyle w:val="21"/>
        <w:framePr w:wrap="around" w:vAnchor="page" w:hAnchor="page" w:x="7575" w:y="871"/>
        <w:rPr>
          <w:b/>
        </w:rPr>
      </w:pPr>
      <w:bookmarkStart w:id="2" w:name="c1"/>
      <w:r>
        <w:rPr>
          <w:b/>
        </w:rPr>
        <w:fldChar w:fldCharType="begin">
          <w:ffData>
            <w:name w:val="c1"/>
            <w:enabled/>
            <w:calcOnExit w:val="0"/>
            <w:entryMacro w:val="ShowHelp15"/>
            <w:textInput>
              <w:maxLength w:val="2"/>
            </w:textInput>
          </w:ffData>
        </w:fldChar>
      </w:r>
      <w:r>
        <w:instrText xml:space="preserve"> FORMTEXT </w:instrText>
      </w:r>
      <w:r>
        <w:rPr>
          <w:b/>
        </w:rPr>
        <w:fldChar w:fldCharType="separate"/>
      </w:r>
      <w:r>
        <w:t>JC</w:t>
      </w:r>
      <w:r>
        <w:rPr>
          <w:b/>
        </w:rPr>
        <w:fldChar w:fldCharType="end"/>
      </w:r>
      <w:bookmarkEnd w:id="2"/>
    </w:p>
    <w:p w14:paraId="2EF5F0BA">
      <w:pPr>
        <w:pStyle w:val="22"/>
        <w:framePr w:wrap="around" w:x="1732"/>
        <w:rPr>
          <w:color w:val="000000" w:themeColor="text1"/>
          <w14:textFill>
            <w14:solidFill>
              <w14:schemeClr w14:val="tx1"/>
            </w14:solidFill>
          </w14:textFill>
        </w:rPr>
      </w:pPr>
      <w:r>
        <w:rPr>
          <w:rFonts w:hint="eastAsia"/>
          <w:color w:val="000000" w:themeColor="text1"/>
          <w14:textFill>
            <w14:solidFill>
              <w14:schemeClr w14:val="tx1"/>
            </w14:solidFill>
          </w14:textFill>
        </w:rPr>
        <w:t>中华人民共和国</w:t>
      </w:r>
      <w:bookmarkStart w:id="3" w:name="c2"/>
      <w:r>
        <w:rPr>
          <w:color w:val="000000" w:themeColor="text1"/>
          <w14:textFill>
            <w14:solidFill>
              <w14:schemeClr w14:val="tx1"/>
            </w14:solidFill>
          </w14:textFill>
        </w:rPr>
        <w:fldChar w:fldCharType="begin">
          <w:ffData>
            <w:name w:val="c2"/>
            <w:enabled/>
            <w:calcOnExit w:val="0"/>
            <w:entryMacro w:val="showhelp11"/>
            <w:textInput/>
          </w:ffData>
        </w:fldChar>
      </w:r>
      <w:r>
        <w:rPr>
          <w:color w:val="000000" w:themeColor="text1"/>
          <w14:textFill>
            <w14:solidFill>
              <w14:schemeClr w14:val="tx1"/>
            </w14:solidFill>
          </w14:textFill>
        </w:rPr>
        <w:instrText xml:space="preserve"> FORMTEXT </w:instrText>
      </w:r>
      <w:r>
        <w:rPr>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建材</w:t>
      </w:r>
      <w:r>
        <w:rPr>
          <w:color w:val="000000" w:themeColor="text1"/>
          <w14:textFill>
            <w14:solidFill>
              <w14:schemeClr w14:val="tx1"/>
            </w14:solidFill>
          </w14:textFill>
        </w:rPr>
        <w:fldChar w:fldCharType="end"/>
      </w:r>
      <w:bookmarkEnd w:id="3"/>
      <w:r>
        <w:rPr>
          <w:rFonts w:hint="eastAsia"/>
          <w:color w:val="000000" w:themeColor="text1"/>
          <w14:textFill>
            <w14:solidFill>
              <w14:schemeClr w14:val="tx1"/>
            </w14:solidFill>
          </w14:textFill>
        </w:rPr>
        <w:t>行业标准</w:t>
      </w:r>
    </w:p>
    <w:p w14:paraId="37585416">
      <w:pPr>
        <w:pStyle w:val="23"/>
        <w:framePr w:wrap="around" w:x="1352" w:y="2896"/>
        <w:rPr>
          <w:color w:val="000000" w:themeColor="text1"/>
          <w14:textFill>
            <w14:solidFill>
              <w14:schemeClr w14:val="tx1"/>
            </w14:solidFill>
          </w14:textFill>
        </w:rPr>
      </w:pPr>
      <w:bookmarkStart w:id="4" w:name="StdNo0"/>
      <w:r>
        <w:rPr>
          <w:rFonts w:ascii="Times New Roman"/>
          <w:color w:val="000000" w:themeColor="text1"/>
          <w14:textFill>
            <w14:solidFill>
              <w14:schemeClr w14:val="tx1"/>
            </w14:solidFill>
          </w14:textFill>
        </w:rPr>
        <w:fldChar w:fldCharType="begin">
          <w:ffData>
            <w:name w:val="StdNo0"/>
            <w:enabled/>
            <w:calcOnExit w:val="0"/>
            <w:textInput>
              <w:default w:val="XX"/>
              <w:maxLength w:val="2"/>
            </w:textInput>
          </w:ffData>
        </w:fldChar>
      </w:r>
      <w:r>
        <w:rPr>
          <w:rFonts w:ascii="Times New Roman"/>
          <w:color w:val="000000" w:themeColor="text1"/>
          <w14:textFill>
            <w14:solidFill>
              <w14:schemeClr w14:val="tx1"/>
            </w14:solidFill>
          </w14:textFill>
        </w:rPr>
        <w:instrText xml:space="preserve"> FORMTEXT </w:instrText>
      </w:r>
      <w:r>
        <w:rPr>
          <w:rFonts w:ascii="Times New Roman"/>
          <w:color w:val="000000" w:themeColor="text1"/>
          <w14:textFill>
            <w14:solidFill>
              <w14:schemeClr w14:val="tx1"/>
            </w14:solidFill>
          </w14:textFill>
        </w:rPr>
        <w:fldChar w:fldCharType="separate"/>
      </w:r>
      <w:r>
        <w:rPr>
          <w:rFonts w:hint="eastAsia" w:ascii="Times New Roman"/>
          <w:color w:val="000000" w:themeColor="text1"/>
          <w14:textFill>
            <w14:solidFill>
              <w14:schemeClr w14:val="tx1"/>
            </w14:solidFill>
          </w14:textFill>
        </w:rPr>
        <w:t>JC</w:t>
      </w:r>
      <w:r>
        <w:rPr>
          <w:rFonts w:ascii="Times New Roman"/>
          <w:color w:val="000000" w:themeColor="text1"/>
          <w14:textFill>
            <w14:solidFill>
              <w14:schemeClr w14:val="tx1"/>
            </w14:solidFill>
          </w14:textFill>
        </w:rPr>
        <w:fldChar w:fldCharType="end"/>
      </w:r>
      <w:bookmarkEnd w:id="4"/>
      <w:r>
        <w:rPr>
          <w:rFonts w:ascii="Times New Roman"/>
          <w:color w:val="000000" w:themeColor="text1"/>
          <w14:textFill>
            <w14:solidFill>
              <w14:schemeClr w14:val="tx1"/>
            </w14:solidFill>
          </w14:textFill>
        </w:rPr>
        <w:t>/T</w:t>
      </w:r>
      <w:r>
        <w:rPr>
          <w:rFonts w:hint="eastAsia" w:ascii="Times New Roman"/>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XXXXX</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XXXX</w:t>
      </w:r>
    </w:p>
    <w:p w14:paraId="5746F8B9">
      <w:pPr>
        <w:pStyle w:val="23"/>
        <w:framePr w:wrap="around" w:x="1352" w:y="2896"/>
        <w:rPr>
          <w:color w:val="000000" w:themeColor="text1"/>
          <w14:textFill>
            <w14:solidFill>
              <w14:schemeClr w14:val="tx1"/>
            </w14:solidFill>
          </w14:textFill>
        </w:rPr>
      </w:pPr>
    </w:p>
    <w:tbl>
      <w:tblPr>
        <w:tblStyle w:val="15"/>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14:paraId="2FE5F3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338BC36A">
            <w:pPr>
              <w:pStyle w:val="24"/>
              <w:framePr w:wrap="around" w:x="1352" w:y="2896"/>
              <w:ind w:right="210"/>
              <w:rPr>
                <w:color w:val="000000" w:themeColor="text1"/>
                <w14:textFill>
                  <w14:solidFill>
                    <w14:schemeClr w14:val="tx1"/>
                  </w14:solidFill>
                </w14:textFill>
              </w:rPr>
            </w:pPr>
          </w:p>
        </w:tc>
      </w:tr>
    </w:tbl>
    <w:p w14:paraId="2ED2664B">
      <w:pPr>
        <w:pStyle w:val="23"/>
        <w:framePr w:wrap="around" w:x="1352" w:y="2896"/>
        <w:rPr>
          <w:color w:val="000000" w:themeColor="text1"/>
          <w14:textFill>
            <w14:solidFill>
              <w14:schemeClr w14:val="tx1"/>
            </w14:solidFill>
          </w14:textFill>
        </w:rPr>
      </w:pPr>
    </w:p>
    <w:p w14:paraId="50A4D627">
      <w:pPr>
        <w:pStyle w:val="23"/>
        <w:framePr w:wrap="around" w:x="1352" w:y="2896"/>
        <w:rPr>
          <w:color w:val="000000" w:themeColor="text1"/>
          <w14:textFill>
            <w14:solidFill>
              <w14:schemeClr w14:val="tx1"/>
            </w14:solidFill>
          </w14:textFill>
        </w:rPr>
      </w:pPr>
    </w:p>
    <w:p w14:paraId="43AE29E6">
      <w:pPr>
        <w:pStyle w:val="25"/>
        <w:framePr w:wrap="around"/>
        <w:rPr>
          <w:color w:val="000000" w:themeColor="text1"/>
          <w14:textFill>
            <w14:solidFill>
              <w14:schemeClr w14:val="tx1"/>
            </w14:solidFill>
          </w14:textFill>
        </w:rPr>
      </w:pPr>
      <w:r>
        <w:rPr>
          <w:rFonts w:hint="eastAsia"/>
          <w:color w:val="000000" w:themeColor="text1"/>
          <w14:textFill>
            <w14:solidFill>
              <w14:schemeClr w14:val="tx1"/>
            </w14:solidFill>
          </w14:textFill>
        </w:rPr>
        <w:t>水泥窑用微晶耐火制品</w:t>
      </w:r>
    </w:p>
    <w:p w14:paraId="3ADF3DCF">
      <w:pPr>
        <w:pStyle w:val="26"/>
        <w:framePr w:wrap="around"/>
        <w:rPr>
          <w:color w:val="000000" w:themeColor="text1"/>
          <w14:textFill>
            <w14:solidFill>
              <w14:schemeClr w14:val="tx1"/>
            </w14:solidFill>
          </w14:textFill>
        </w:rPr>
      </w:pPr>
      <w:r>
        <w:rPr>
          <w:rFonts w:hint="eastAsia"/>
          <w:color w:val="000000" w:themeColor="text1"/>
          <w14:textFill>
            <w14:solidFill>
              <w14:schemeClr w14:val="tx1"/>
            </w14:solidFill>
          </w14:textFill>
        </w:rPr>
        <w:t>Microcrystalline refractory products for cement kiln</w:t>
      </w:r>
    </w:p>
    <w:p w14:paraId="7E278D5F">
      <w:pPr>
        <w:pStyle w:val="27"/>
        <w:framePr w:wrap="around"/>
        <w:rPr>
          <w:color w:val="000000" w:themeColor="text1"/>
          <w14:textFill>
            <w14:solidFill>
              <w14:schemeClr w14:val="tx1"/>
            </w14:solidFill>
          </w14:textFill>
        </w:rPr>
      </w:pPr>
    </w:p>
    <w:tbl>
      <w:tblPr>
        <w:tblStyle w:val="15"/>
        <w:tblW w:w="98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14:paraId="748FBD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855" w:type="dxa"/>
            <w:tcBorders>
              <w:top w:val="nil"/>
              <w:left w:val="nil"/>
              <w:bottom w:val="nil"/>
              <w:right w:val="nil"/>
            </w:tcBorders>
          </w:tcPr>
          <w:p w14:paraId="70E34588">
            <w:pPr>
              <w:pStyle w:val="28"/>
              <w:framePr w:wrap="around"/>
              <w:rPr>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4281805</wp:posOffset>
                      </wp:positionV>
                      <wp:extent cx="1905000" cy="254000"/>
                      <wp:effectExtent l="0" t="0" r="0" b="0"/>
                      <wp:wrapNone/>
                      <wp:docPr id="6"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w="9525">
                                <a:noFill/>
                              </a:ln>
                            </wps:spPr>
                            <wps:txbx>
                              <w:txbxContent>
                                <w:p w14:paraId="2B300621"/>
                              </w:txbxContent>
                            </wps:txbx>
                            <wps:bodyPr upright="1"/>
                          </wps:wsp>
                        </a:graphicData>
                      </a:graphic>
                    </wp:anchor>
                  </w:drawing>
                </mc:Choice>
                <mc:Fallback>
                  <w:pict>
                    <v:rect id="RQ" o:spid="_x0000_s1026" o:spt="1" style="position:absolute;left:0pt;margin-left:173.3pt;margin-top:337.15pt;height:20pt;width:150pt;z-index:-251655168;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AVg2zIrAEAAG0DAAAOAAAAZHJzL2Uyb0RvYy54bWytU02P&#10;0zAQvSPxHyzfadKKrtio6R6oygXBwsIPcB07seQvzbhN+u8ZO6ELy2UP5ODMeMbP771Jdg+Ts+yi&#10;AE3wLV+vas6Ul6Ezvm/5zx/Hdx84wyR8J2zwquVXhfxh//bNboyN2oQh2E4BIxCPzRhbPqQUm6pC&#10;OSgncBWi8lTUAZxIlEJfdSBGQne22tT1XTUG6CIEqRBp9zAX+YIIrwEMWhupDkGenfJpRgVlRSJJ&#10;OJiIfF/Yaq1k+qo1qsRsy0lpKitdQvEpr9V+J5oeRByMXCiI11B4ockJ4+nSG9RBJMHOYP6BckZC&#10;wKDTSgZXzUKKI6RiXb/w5mkQURUtZDXGm+n4/2Dll8sjMNO1/I4zLxwN/Pu37MoYsaHiU3yEJUMK&#10;s8RJg8tvIs+m4uT15qSaEpO0ub6vt3VNJkuqbbbvc0ww1fPpCJg+qeBYDloONKlioLh8xjS3/m7J&#10;l2Gwpjsaa0sC/emjBXYRNNVjeRb0v9qsZ2PL77ebbUH2IZ+foa0nMlniLCpHaTpNi9JT6K7kyjmC&#10;6Qcity7ouYmmUFQsX0we8595AX3+S/a/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N/X9+DXAAAA&#10;CwEAAA8AAAAAAAAAAQAgAAAAIgAAAGRycy9kb3ducmV2LnhtbFBLAQIUABQAAAAIAIdO4kAVg2zI&#10;rAEAAG0DAAAOAAAAAAAAAAEAIAAAACYBAABkcnMvZTJvRG9jLnhtbFBLBQYAAAAABgAGAFkBAABE&#10;BQAAAAA=&#10;">
                      <v:fill on="t" focussize="0,0"/>
                      <v:stroke on="f"/>
                      <v:imagedata o:title=""/>
                      <o:lock v:ext="edit" aspectratio="f"/>
                      <v:textbox>
                        <w:txbxContent>
                          <w:p w14:paraId="2B300621"/>
                        </w:txbxContent>
                      </v:textbox>
                      <w10:anchorlock/>
                    </v:rect>
                  </w:pict>
                </mc:Fallback>
              </mc:AlternateContent>
            </w:r>
            <w:r>
              <w:rPr>
                <w:rFonts w:hint="eastAsia"/>
                <w:color w:val="000000" w:themeColor="text1"/>
                <w14:textFill>
                  <w14:solidFill>
                    <w14:schemeClr w14:val="tx1"/>
                  </w14:solidFill>
                </w14:textFill>
              </w:rPr>
              <w:t>(征求意见稿)</w:t>
            </w:r>
          </w:p>
        </w:tc>
      </w:tr>
      <w:tr w14:paraId="5E1E1B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1C3A351C">
            <w:pPr>
              <w:pStyle w:val="29"/>
              <w:framePr w:wrap="around"/>
              <w:rPr>
                <w:color w:val="000000" w:themeColor="text1"/>
                <w14:textFill>
                  <w14:solidFill>
                    <w14:schemeClr w14:val="tx1"/>
                  </w14:solidFill>
                </w14:textFill>
              </w:rPr>
            </w:pPr>
          </w:p>
        </w:tc>
      </w:tr>
    </w:tbl>
    <w:p w14:paraId="7D7E5686">
      <w:pPr>
        <w:pStyle w:val="30"/>
        <w:framePr w:wrap="around" w:hAnchor="page" w:x="1685" w:y="14245"/>
        <w:rPr>
          <w:color w:val="000000" w:themeColor="text1"/>
          <w14:textFill>
            <w14:solidFill>
              <w14:schemeClr w14:val="tx1"/>
            </w14:solidFill>
          </w14:textFill>
        </w:rPr>
      </w:pPr>
      <w:bookmarkStart w:id="5" w:name="FY"/>
      <w:r>
        <w:rPr>
          <w:rFonts w:ascii="黑体"/>
          <w:color w:val="000000" w:themeColor="text1"/>
          <w14:textFill>
            <w14:solidFill>
              <w14:schemeClr w14:val="tx1"/>
            </w14:solidFill>
          </w14:textFill>
        </w:rPr>
        <w:fldChar w:fldCharType="begin">
          <w:ffData>
            <w:name w:val="FY"/>
            <w:enabled/>
            <w:calcOnExit w:val="0"/>
            <w:entryMacro w:val="ShowHelp8"/>
            <w:textInput>
              <w:default w:val="XXXX"/>
              <w:maxLength w:val="4"/>
            </w:textInput>
          </w:ffData>
        </w:fldChar>
      </w:r>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XXXX</w:t>
      </w:r>
      <w:r>
        <w:rPr>
          <w:rFonts w:ascii="黑体"/>
          <w:color w:val="000000" w:themeColor="text1"/>
          <w14:textFill>
            <w14:solidFill>
              <w14:schemeClr w14:val="tx1"/>
            </w14:solidFill>
          </w14:textFill>
        </w:rPr>
        <w:fldChar w:fldCharType="end"/>
      </w:r>
      <w:bookmarkEnd w:id="5"/>
      <w:r>
        <w:rPr>
          <w:rFonts w:ascii="黑体"/>
          <w:color w:val="000000" w:themeColor="text1"/>
          <w14:textFill>
            <w14:solidFill>
              <w14:schemeClr w14:val="tx1"/>
            </w14:solidFill>
          </w14:textFill>
        </w:rPr>
        <w:t>-</w:t>
      </w:r>
      <w:r>
        <w:rPr>
          <w:rFonts w:ascii="黑体"/>
          <w:color w:val="000000" w:themeColor="text1"/>
          <w14:textFill>
            <w14:solidFill>
              <w14:schemeClr w14:val="tx1"/>
            </w14:solidFill>
          </w14:textFill>
        </w:rPr>
        <w:fldChar w:fldCharType="begin">
          <w:ffData>
            <w:name w:val="FM"/>
            <w:enabled/>
            <w:calcOnExit w:val="0"/>
            <w:entryMacro w:val="ShowHelp8"/>
            <w:textInput>
              <w:default w:val="XX"/>
              <w:maxLength w:val="2"/>
            </w:textInput>
          </w:ffData>
        </w:fldChar>
      </w:r>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w:t>
      </w:r>
      <w:r>
        <w:rPr>
          <w:rFonts w:ascii="黑体"/>
          <w:color w:val="000000" w:themeColor="text1"/>
          <w14:textFill>
            <w14:solidFill>
              <w14:schemeClr w14:val="tx1"/>
            </w14:solidFill>
          </w14:textFill>
        </w:rPr>
        <w:fldChar w:fldCharType="end"/>
      </w:r>
      <w:r>
        <w:rPr>
          <w:rFonts w:ascii="黑体"/>
          <w:color w:val="000000" w:themeColor="text1"/>
          <w14:textFill>
            <w14:solidFill>
              <w14:schemeClr w14:val="tx1"/>
            </w14:solidFill>
          </w14:textFill>
        </w:rPr>
        <w:t>-</w:t>
      </w:r>
      <w:bookmarkStart w:id="6" w:name="FD"/>
      <w:r>
        <w:rPr>
          <w:rFonts w:ascii="黑体"/>
          <w:color w:val="000000" w:themeColor="text1"/>
          <w14:textFill>
            <w14:solidFill>
              <w14:schemeClr w14:val="tx1"/>
            </w14:solidFill>
          </w14:textFill>
        </w:rPr>
        <w:fldChar w:fldCharType="begin">
          <w:ffData>
            <w:name w:val="FD"/>
            <w:enabled/>
            <w:calcOnExit w:val="0"/>
            <w:entryMacro w:val="ShowHelp8"/>
            <w:textInput>
              <w:default w:val="XX"/>
              <w:maxLength w:val="2"/>
            </w:textInput>
          </w:ffData>
        </w:fldChar>
      </w:r>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w:t>
      </w:r>
      <w:r>
        <w:rPr>
          <w:rFonts w:ascii="黑体"/>
          <w:color w:val="000000" w:themeColor="text1"/>
          <w14:textFill>
            <w14:solidFill>
              <w14:schemeClr w14:val="tx1"/>
            </w14:solidFill>
          </w14:textFill>
        </w:rPr>
        <w:fldChar w:fldCharType="end"/>
      </w:r>
      <w:bookmarkEnd w:id="6"/>
      <w:r>
        <w:rPr>
          <w:rFonts w:hint="eastAsia"/>
          <w:color w:val="000000" w:themeColor="text1"/>
          <w14:textFill>
            <w14:solidFill>
              <w14:schemeClr w14:val="tx1"/>
            </w14:solidFill>
          </w14:textFill>
        </w:rPr>
        <w:t>发布</w:t>
      </w:r>
    </w:p>
    <w:p w14:paraId="0AA949B9">
      <w:pPr>
        <w:pStyle w:val="32"/>
        <w:framePr w:wrap="around" w:hAnchor="page" w:x="7362" w:y="14219"/>
        <w:jc w:val="center"/>
        <w:rPr>
          <w:color w:val="000000" w:themeColor="text1"/>
          <w14:textFill>
            <w14:solidFill>
              <w14:schemeClr w14:val="tx1"/>
            </w14:solidFill>
          </w14:textFill>
        </w:rPr>
      </w:pPr>
      <w:bookmarkStart w:id="7" w:name="SY"/>
      <w:r>
        <w:rPr>
          <w:rFonts w:ascii="黑体"/>
          <w:color w:val="000000" w:themeColor="text1"/>
          <w14:textFill>
            <w14:solidFill>
              <w14:schemeClr w14:val="tx1"/>
            </w14:solidFill>
          </w14:textFill>
        </w:rPr>
        <w:fldChar w:fldCharType="begin">
          <w:ffData>
            <w:name w:val="SY"/>
            <w:enabled/>
            <w:calcOnExit w:val="0"/>
            <w:entryMacro w:val="ShowHelp9"/>
            <w:textInput>
              <w:default w:val="XXXX"/>
              <w:maxLength w:val="4"/>
            </w:textInput>
          </w:ffData>
        </w:fldChar>
      </w:r>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XXXX</w:t>
      </w:r>
      <w:r>
        <w:rPr>
          <w:rFonts w:ascii="黑体"/>
          <w:color w:val="000000" w:themeColor="text1"/>
          <w14:textFill>
            <w14:solidFill>
              <w14:schemeClr w14:val="tx1"/>
            </w14:solidFill>
          </w14:textFill>
        </w:rPr>
        <w:fldChar w:fldCharType="end"/>
      </w:r>
      <w:bookmarkEnd w:id="7"/>
      <w:r>
        <w:rPr>
          <w:rFonts w:ascii="黑体"/>
          <w:color w:val="000000" w:themeColor="text1"/>
          <w14:textFill>
            <w14:solidFill>
              <w14:schemeClr w14:val="tx1"/>
            </w14:solidFill>
          </w14:textFill>
        </w:rPr>
        <w:t>-</w:t>
      </w:r>
      <w:bookmarkStart w:id="8" w:name="SM"/>
      <w:r>
        <w:rPr>
          <w:rFonts w:ascii="黑体"/>
          <w:color w:val="000000" w:themeColor="text1"/>
          <w14:textFill>
            <w14:solidFill>
              <w14:schemeClr w14:val="tx1"/>
            </w14:solidFill>
          </w14:textFill>
        </w:rPr>
        <w:fldChar w:fldCharType="begin">
          <w:ffData>
            <w:name w:val="SM"/>
            <w:enabled/>
            <w:calcOnExit w:val="0"/>
            <w:entryMacro w:val="ShowHelp9"/>
            <w:textInput>
              <w:default w:val="XX"/>
              <w:maxLength w:val="2"/>
            </w:textInput>
          </w:ffData>
        </w:fldChar>
      </w:r>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w:t>
      </w:r>
      <w:r>
        <w:rPr>
          <w:rFonts w:ascii="黑体"/>
          <w:color w:val="000000" w:themeColor="text1"/>
          <w14:textFill>
            <w14:solidFill>
              <w14:schemeClr w14:val="tx1"/>
            </w14:solidFill>
          </w14:textFill>
        </w:rPr>
        <w:fldChar w:fldCharType="end"/>
      </w:r>
      <w:bookmarkEnd w:id="8"/>
      <w:r>
        <w:rPr>
          <w:rFonts w:ascii="黑体"/>
          <w:color w:val="000000" w:themeColor="text1"/>
          <w14:textFill>
            <w14:solidFill>
              <w14:schemeClr w14:val="tx1"/>
            </w14:solidFill>
          </w14:textFill>
        </w:rPr>
        <w:t>-</w:t>
      </w:r>
      <w:bookmarkStart w:id="9" w:name="SD"/>
      <w:r>
        <w:rPr>
          <w:rFonts w:ascii="黑体"/>
          <w:color w:val="000000" w:themeColor="text1"/>
          <w14:textFill>
            <w14:solidFill>
              <w14:schemeClr w14:val="tx1"/>
            </w14:solidFill>
          </w14:textFill>
        </w:rPr>
        <w:fldChar w:fldCharType="begin">
          <w:ffData>
            <w:name w:val="SD"/>
            <w:enabled/>
            <w:calcOnExit w:val="0"/>
            <w:entryMacro w:val="ShowHelp9"/>
            <w:textInput>
              <w:default w:val="XX"/>
              <w:maxLength w:val="2"/>
            </w:textInput>
          </w:ffData>
        </w:fldChar>
      </w:r>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w:t>
      </w:r>
      <w:r>
        <w:rPr>
          <w:rFonts w:ascii="黑体"/>
          <w:color w:val="000000" w:themeColor="text1"/>
          <w14:textFill>
            <w14:solidFill>
              <w14:schemeClr w14:val="tx1"/>
            </w14:solidFill>
          </w14:textFill>
        </w:rPr>
        <w:fldChar w:fldCharType="end"/>
      </w:r>
      <w:bookmarkEnd w:id="9"/>
      <w:r>
        <w:rPr>
          <w:rFonts w:hint="eastAsia"/>
          <w:color w:val="000000" w:themeColor="text1"/>
          <w14:textFill>
            <w14:solidFill>
              <w14:schemeClr w14:val="tx1"/>
            </w14:solidFill>
          </w14:textFill>
        </w:rPr>
        <w:t>实施</w:t>
      </w:r>
    </w:p>
    <w:p w14:paraId="12268C99">
      <w:pPr>
        <w:pStyle w:val="34"/>
        <w:framePr w:wrap="around" w:x="2186" w:y="15211"/>
        <w:rPr>
          <w:color w:val="000000" w:themeColor="text1"/>
          <w14:textFill>
            <w14:solidFill>
              <w14:schemeClr w14:val="tx1"/>
            </w14:solidFill>
          </w14:textFill>
        </w:rPr>
      </w:pPr>
      <w:bookmarkStart w:id="10" w:name="fm"/>
      <w:r>
        <w:rPr>
          <w:color w:val="FF0000"/>
        </w:rPr>
        <mc:AlternateContent>
          <mc:Choice Requires="wps">
            <w:drawing>
              <wp:anchor distT="0" distB="0" distL="114300" distR="114300" simplePos="0" relativeHeight="251660288" behindDoc="1" locked="0" layoutInCell="1" allowOverlap="1">
                <wp:simplePos x="0" y="0"/>
                <wp:positionH relativeFrom="column">
                  <wp:posOffset>1810385</wp:posOffset>
                </wp:positionH>
                <wp:positionV relativeFrom="paragraph">
                  <wp:posOffset>-3942715</wp:posOffset>
                </wp:positionV>
                <wp:extent cx="1270000" cy="304800"/>
                <wp:effectExtent l="0" t="0" r="6350" b="0"/>
                <wp:wrapNone/>
                <wp:docPr id="3"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w="9525">
                          <a:noFill/>
                        </a:ln>
                      </wps:spPr>
                      <wps:txbx>
                        <w:txbxContent>
                          <w:p w14:paraId="73801EBE"/>
                        </w:txbxContent>
                      </wps:txbx>
                      <wps:bodyPr upright="1"/>
                    </wps:wsp>
                  </a:graphicData>
                </a:graphic>
              </wp:anchor>
            </w:drawing>
          </mc:Choice>
          <mc:Fallback>
            <w:pict>
              <v:rect id="LB" o:spid="_x0000_s1026" o:spt="1" style="position:absolute;left:0pt;margin-left:142.55pt;margin-top:-310.45pt;height:24pt;width:100pt;z-index:-251656192;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KMdbo+sAQAAbQMAAA4AAABkcnMvZTJvRG9jLnhtbK1T&#10;TW/bMAy9D9h/EHRf7KTr1hlxCmxBdim2At1+gCJLtgB9gVRi59+Pkr106y49TAeZFKlHvkd5ez85&#10;y84K0ATf8vWq5kx5GTrj+5b//HF4d8cZJuE7YYNXLb8o5Pe7t2+2Y2zUJgzBdgoYgXhsxtjyIaXY&#10;VBXKQTmBqxCVp6AO4EQiF/qqAzESurPVpq4/VGOALkKQCpFO93OQL4jwGsCgtZFqH+TJKZ9mVFBW&#10;JKKEg4nId6VbrZVM37VGlZhtOTFNZaciZB/zXu22oulBxMHIpQXxmhZecHLCeCp6hdqLJNgJzD9Q&#10;zkgIGHRayeCqmUhRhFis6xfaPA0iqsKFpMZ4FR3/H6z8dn4EZrqW33DmhaOBP3zOqowRGwo+xUdY&#10;PCQzU5w0uPyl5tlUlLxclVRTYpIO15uPNS3OJMVu6vd3ZBNM9Xw7AqavKjiWjZYDTaoIKM4PmObU&#10;3ym5GAZruoOxtjjQH79YYGdBUz2UtaD/lWY9G1v+6XZzW5B9yPdnaOupmUxxJpWtNB2nhekxdBdS&#10;5RTB9AM1ty7oOYmmUFgsLyaP+U+/gD7/Jbt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bXu1tkA&#10;AAANAQAADwAAAAAAAAABACAAAAAiAAAAZHJzL2Rvd25yZXYueG1sUEsBAhQAFAAAAAgAh07iQKMd&#10;bo+sAQAAbQMAAA4AAAAAAAAAAQAgAAAAKAEAAGRycy9lMm9Eb2MueG1sUEsFBgAAAAAGAAYAWQEA&#10;AEYFAAAAAA==&#10;">
                <v:fill on="t" focussize="0,0"/>
                <v:stroke on="f"/>
                <v:imagedata o:title=""/>
                <o:lock v:ext="edit" aspectratio="f"/>
                <v:textbox>
                  <w:txbxContent>
                    <w:p w14:paraId="73801EBE"/>
                  </w:txbxContent>
                </v:textbox>
              </v:rect>
            </w:pict>
          </mc:Fallback>
        </mc:AlternateContent>
      </w:r>
      <w:r>
        <w:fldChar w:fldCharType="begin">
          <w:ffData>
            <w:enabled/>
            <w:calcOnExit w:val="0"/>
            <w:textInput/>
          </w:ffData>
        </w:fldChar>
      </w:r>
      <w:r>
        <w:instrText xml:space="preserve"> FORMTEXT </w:instrText>
      </w:r>
      <w:r>
        <w:fldChar w:fldCharType="separate"/>
      </w:r>
      <w:r>
        <w:rPr>
          <w:rFonts w:hint="eastAsia"/>
        </w:rPr>
        <w:t>中华人民共和国工业和信息化部</w:t>
      </w:r>
      <w:r>
        <w:fldChar w:fldCharType="end"/>
      </w:r>
      <w:bookmarkEnd w:id="10"/>
      <w:r>
        <w:t xml:space="preserve">  </w:t>
      </w:r>
      <w:r>
        <w:rPr>
          <w:rStyle w:val="37"/>
          <w:rFonts w:hint="eastAsia"/>
          <w:color w:val="000000" w:themeColor="text1"/>
          <w14:textFill>
            <w14:solidFill>
              <w14:schemeClr w14:val="tx1"/>
            </w14:solidFill>
          </w14:textFill>
        </w:rPr>
        <w:t>发布</w:t>
      </w:r>
    </w:p>
    <w:p w14:paraId="2BEB229C">
      <w:pPr>
        <w:sectPr>
          <w:headerReference r:id="rId3" w:type="even"/>
          <w:footerReference r:id="rId4" w:type="even"/>
          <w:pgSz w:w="11906" w:h="16838"/>
          <w:pgMar w:top="1440" w:right="1800" w:bottom="1440" w:left="1800" w:header="0" w:footer="0" w:gutter="0"/>
          <w:pgBorders>
            <w:top w:val="none" w:sz="0" w:space="0"/>
            <w:left w:val="none" w:sz="0" w:space="0"/>
            <w:bottom w:val="none" w:sz="0" w:space="0"/>
            <w:right w:val="none" w:sz="0" w:space="0"/>
          </w:pgBorders>
          <w:pgNumType w:fmt="upperRoman" w:start="1"/>
          <w:cols w:space="720" w:num="1"/>
          <w:docGrid w:type="lines" w:linePitch="312" w:charSpace="0"/>
        </w:sectPr>
      </w:pPr>
      <w:r>
        <mc:AlternateContent>
          <mc:Choice Requires="wps">
            <w:drawing>
              <wp:anchor distT="0" distB="0" distL="114300" distR="114300" simplePos="0" relativeHeight="251664384" behindDoc="0" locked="1" layoutInCell="1" allowOverlap="1">
                <wp:simplePos x="0" y="0"/>
                <wp:positionH relativeFrom="column">
                  <wp:posOffset>-346710</wp:posOffset>
                </wp:positionH>
                <wp:positionV relativeFrom="page">
                  <wp:posOffset>9430385</wp:posOffset>
                </wp:positionV>
                <wp:extent cx="6120130" cy="0"/>
                <wp:effectExtent l="0" t="0" r="33020" b="19050"/>
                <wp:wrapNone/>
                <wp:docPr id="28" name="直接连接符 28"/>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27.3pt;margin-top:742.55pt;height:0pt;width:481.9pt;mso-position-vertical-relative:page;z-index:251664384;mso-width-relative:page;mso-height-relative:page;" filled="f" stroked="t" coordsize="21600,21600" o:gfxdata="UEsDBAoAAAAAAIdO4kAAAAAAAAAAAAAAAAAEAAAAZHJzL1BLAwQUAAAACACHTuJAb8Jd+dgAAAAN&#10;AQAADwAAAGRycy9kb3ducmV2LnhtbE2PPU/DQAyGdyT+w8lILFV7l9BWbcilA5CNhQJidROTROR8&#10;ae76Ab8eMyAY7ffR68f55ux6daQxdJ4tJDMDirjydceNhZfncroCFSJyjb1nsvBJATbF5UWOWe1P&#10;/ETHbWyUlHDI0EIb45BpHaqWHIaZH4gle/ejwyjj2Oh6xJOUu16nxiy1w47lQosD3bVUfWwPzkIo&#10;X2lffk2qiXm7aTyl+/vHB7T2+ioxt6AineMfDD/6og6FOO38geugegvTxXwpqATz1SIBJcjarFNQ&#10;u9+VLnL9/4viG1BLAwQUAAAACACHTuJAEoJRcuwBAADaAwAADgAAAGRycy9lMm9Eb2MueG1srVPN&#10;bhMxEL4j8Q6W72SToFawyqaHhnJBEAl4gInt3bXkP3ncbPISvAASNzhx5M7b0D4GY2+aQnvJoXvw&#10;jj0z38z3eby42FnDtiqi9q7hs8mUM+WEl9p1Df/86erFK84wgZNgvFMN3yvkF8vnzxZDqNXc995I&#10;FRmBOKyH0PA+pVBXFYpeWcCJD8qRs/XRQqJt7CoZYSB0a6r5dHpeDT7KEL1QiHS6Gp38gBhPAfRt&#10;q4VaeXFtlUsjalQGElHCXgfky9Jt2yqRPrQtqsRMw4lpKisVIXuT12q5gLqLEHotDi3AKS084GRB&#10;Oyp6hFpBAnYd9SMoq0X06Ns0Ed5WI5GiCLGYTR9o87GHoAoXkhrDUXR8OljxfruOTMuGz+neHVi6&#10;8Zuvv/58+X77+xutNz9/MPKQTEPAmqIv3ToedhjWMXPetdHmP7FhuyLt/iit2iUm6PB8Rvxekuri&#10;zlfdJ4aI6a3ylmWj4Ua7zBpq2L7DRMUo9C4kHxvHhoa/PpufERzQCLZ09WTaQDTQdSUXvdHyShuT&#10;MzB2m0sT2RbyGJQvUyLc/8JykRVgP8YV1zggvQL5xkmW9oH0cfQueG7BKsmZUfSMskWAUCfQ5pRI&#10;Km0cdZBVHXXM1sbLfZG3nNOVlx4P45ln6t99yb5/ksu/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b8Jd+dgAAAANAQAADwAAAAAAAAABACAAAAAiAAAAZHJzL2Rvd25yZXYueG1sUEsBAhQAFAAAAAgA&#10;h07iQBKCUXLsAQAA2gMAAA4AAAAAAAAAAQAgAAAAJwEAAGRycy9lMm9Eb2MueG1sUEsFBgAAAAAG&#10;AAYAWQEAAIUFAAAAAA==&#10;">
                <v:fill on="f" focussize="0,0"/>
                <v:stroke color="#000000" joinstyle="round"/>
                <v:imagedata o:title=""/>
                <o:lock v:ext="edit" aspectratio="f"/>
                <w10:anchorlock/>
              </v:line>
            </w:pict>
          </mc:Fallback>
        </mc:AlternateContent>
      </w:r>
    </w:p>
    <w:p w14:paraId="47D60C84">
      <w:pPr>
        <w:pStyle w:val="38"/>
        <w:tabs>
          <w:tab w:val="center" w:pos="4677"/>
          <w:tab w:val="left" w:pos="6823"/>
        </w:tabs>
        <w:jc w:val="left"/>
        <w:rPr>
          <w:color w:val="000000" w:themeColor="text1"/>
          <w14:textFill>
            <w14:solidFill>
              <w14:schemeClr w14:val="tx1"/>
            </w14:solidFill>
          </w14:textFill>
        </w:rPr>
      </w:pPr>
      <w:r>
        <w:rPr>
          <w:color w:val="000000" w:themeColor="text1"/>
          <w14:textFill>
            <w14:solidFill>
              <w14:schemeClr w14:val="tx1"/>
            </w14:solidFill>
          </w14:textFill>
        </w:rPr>
        <w:tab/>
      </w:r>
      <w:bookmarkStart w:id="11" w:name="_Toc172734459"/>
      <w:bookmarkStart w:id="12" w:name="_Toc31634"/>
      <w:bookmarkStart w:id="13" w:name="_Toc672"/>
      <w:bookmarkStart w:id="14" w:name="_Toc106631667"/>
      <w:bookmarkStart w:id="15" w:name="_Toc173100890"/>
      <w:bookmarkStart w:id="16" w:name="_Toc8253"/>
      <w:r>
        <w:rPr>
          <w:rFonts w:ascii="Times New Roman" w:hAnsi="Times New Roman"/>
          <w:color w:val="000000" w:themeColor="text1"/>
          <w14:textFill>
            <w14:solidFill>
              <w14:schemeClr w14:val="tx1"/>
            </w14:solidFill>
          </w14:textFill>
        </w:rPr>
        <w:t>目  次</w:t>
      </w:r>
      <w:bookmarkEnd w:id="11"/>
      <w:bookmarkEnd w:id="12"/>
      <w:bookmarkEnd w:id="13"/>
      <w:bookmarkEnd w:id="14"/>
      <w:bookmarkEnd w:id="15"/>
      <w:bookmarkEnd w:id="16"/>
      <w:r>
        <w:rPr>
          <w:rFonts w:hint="eastAsia" w:ascii="Times New Roman" w:hAnsi="Times New Roman"/>
          <w:color w:val="000000" w:themeColor="text1"/>
          <w14:textFill>
            <w14:solidFill>
              <w14:schemeClr w14:val="tx1"/>
            </w14:solidFill>
          </w14:textFill>
        </w:rPr>
        <w:tab/>
      </w:r>
    </w:p>
    <w:sdt>
      <w:sdtPr>
        <w:rPr>
          <w:rFonts w:ascii="宋体" w:hAnsi="宋体"/>
        </w:rPr>
        <w:id w:val="147472600"/>
        <w15:color w:val="DBDBDB"/>
        <w:docPartObj>
          <w:docPartGallery w:val="Table of Contents"/>
          <w:docPartUnique/>
        </w:docPartObj>
      </w:sdtPr>
      <w:sdtEndPr>
        <w:rPr>
          <w:rFonts w:ascii="Times New Roman" w:hAnsi="Times New Roman"/>
        </w:rPr>
      </w:sdtEndPr>
      <w:sdtContent>
        <w:p w14:paraId="36983485">
          <w:pPr>
            <w:pStyle w:val="11"/>
            <w:tabs>
              <w:tab w:val="right" w:leader="dot" w:pos="9344"/>
            </w:tabs>
            <w:jc w:val="left"/>
            <w:rPr>
              <w:rFonts w:ascii="宋体" w:hAnsi="宋体" w:cs="宋体"/>
              <w:kern w:val="2"/>
            </w:rPr>
          </w:pPr>
          <w:r>
            <w:rPr>
              <w:rFonts w:ascii="宋体" w:hAnsi="宋体"/>
              <w:szCs w:val="20"/>
            </w:rPr>
            <w:fldChar w:fldCharType="begin"/>
          </w:r>
          <w:r>
            <w:rPr>
              <w:rFonts w:ascii="宋体" w:hAnsi="宋体"/>
            </w:rPr>
            <w:instrText xml:space="preserve">TOC \o "1-1" \h \u </w:instrText>
          </w:r>
          <w:r>
            <w:rPr>
              <w:rFonts w:ascii="宋体" w:hAnsi="宋体"/>
              <w:szCs w:val="20"/>
            </w:rPr>
            <w:fldChar w:fldCharType="separate"/>
          </w:r>
          <w:r>
            <w:fldChar w:fldCharType="begin"/>
          </w:r>
          <w:r>
            <w:instrText xml:space="preserve"> HYPERLINK \l "_Toc173100891" </w:instrText>
          </w:r>
          <w:r>
            <w:fldChar w:fldCharType="separate"/>
          </w:r>
          <w:r>
            <w:rPr>
              <w:rFonts w:hint="eastAsia" w:ascii="宋体" w:hAnsi="宋体" w:cs="宋体"/>
              <w:kern w:val="2"/>
            </w:rPr>
            <w:t>前言</w:t>
          </w:r>
          <w:r>
            <w:rPr>
              <w:rFonts w:hint="eastAsia" w:ascii="宋体" w:hAnsi="宋体" w:cs="宋体"/>
              <w:kern w:val="2"/>
            </w:rPr>
            <w:tab/>
          </w:r>
          <w:r>
            <w:rPr>
              <w:rFonts w:hint="eastAsia" w:ascii="宋体" w:hAnsi="宋体" w:cs="宋体"/>
              <w:kern w:val="2"/>
            </w:rPr>
            <w:fldChar w:fldCharType="begin"/>
          </w:r>
          <w:r>
            <w:rPr>
              <w:rFonts w:hint="eastAsia" w:ascii="宋体" w:hAnsi="宋体" w:cs="宋体"/>
              <w:kern w:val="2"/>
            </w:rPr>
            <w:instrText xml:space="preserve"> PAGEREF _Toc173100891 \h </w:instrText>
          </w:r>
          <w:r>
            <w:rPr>
              <w:rFonts w:hint="eastAsia" w:ascii="宋体" w:hAnsi="宋体" w:cs="宋体"/>
              <w:kern w:val="2"/>
            </w:rPr>
            <w:fldChar w:fldCharType="separate"/>
          </w:r>
          <w:r>
            <w:rPr>
              <w:rFonts w:hint="eastAsia" w:ascii="宋体" w:hAnsi="宋体" w:cs="宋体"/>
              <w:kern w:val="2"/>
            </w:rPr>
            <w:t>II</w:t>
          </w:r>
          <w:r>
            <w:rPr>
              <w:rFonts w:hint="eastAsia" w:ascii="宋体" w:hAnsi="宋体" w:cs="宋体"/>
              <w:kern w:val="2"/>
            </w:rPr>
            <w:fldChar w:fldCharType="end"/>
          </w:r>
          <w:r>
            <w:rPr>
              <w:rFonts w:hint="eastAsia" w:ascii="宋体" w:hAnsi="宋体" w:cs="宋体"/>
              <w:kern w:val="2"/>
            </w:rPr>
            <w:fldChar w:fldCharType="end"/>
          </w:r>
        </w:p>
        <w:p w14:paraId="64566BC7">
          <w:pPr>
            <w:pStyle w:val="11"/>
            <w:tabs>
              <w:tab w:val="right" w:leader="dot" w:pos="9344"/>
            </w:tabs>
            <w:jc w:val="left"/>
            <w:rPr>
              <w:rFonts w:ascii="宋体" w:hAnsi="宋体" w:cs="宋体"/>
              <w:kern w:val="2"/>
            </w:rPr>
          </w:pPr>
          <w:r>
            <w:fldChar w:fldCharType="begin"/>
          </w:r>
          <w:r>
            <w:instrText xml:space="preserve"> HYPERLINK \l "_Toc173100893" </w:instrText>
          </w:r>
          <w:r>
            <w:fldChar w:fldCharType="separate"/>
          </w:r>
          <w:r>
            <w:rPr>
              <w:rFonts w:hint="eastAsia" w:ascii="宋体" w:hAnsi="宋体" w:cs="宋体"/>
              <w:kern w:val="2"/>
            </w:rPr>
            <w:t>1 范围</w:t>
          </w:r>
          <w:r>
            <w:rPr>
              <w:rFonts w:hint="eastAsia" w:ascii="宋体" w:hAnsi="宋体" w:cs="宋体"/>
              <w:kern w:val="2"/>
            </w:rPr>
            <w:tab/>
          </w:r>
          <w:r>
            <w:rPr>
              <w:rFonts w:hint="eastAsia" w:ascii="宋体" w:hAnsi="宋体" w:cs="宋体"/>
              <w:kern w:val="2"/>
            </w:rPr>
            <w:fldChar w:fldCharType="begin"/>
          </w:r>
          <w:r>
            <w:rPr>
              <w:rFonts w:hint="eastAsia" w:ascii="宋体" w:hAnsi="宋体" w:cs="宋体"/>
              <w:kern w:val="2"/>
            </w:rPr>
            <w:instrText xml:space="preserve"> PAGEREF _Toc173100893 \h </w:instrText>
          </w:r>
          <w:r>
            <w:rPr>
              <w:rFonts w:hint="eastAsia" w:ascii="宋体" w:hAnsi="宋体" w:cs="宋体"/>
              <w:kern w:val="2"/>
            </w:rPr>
            <w:fldChar w:fldCharType="separate"/>
          </w:r>
          <w:r>
            <w:rPr>
              <w:rFonts w:hint="eastAsia" w:ascii="宋体" w:hAnsi="宋体" w:cs="宋体"/>
              <w:kern w:val="2"/>
            </w:rPr>
            <w:t>1</w:t>
          </w:r>
          <w:r>
            <w:rPr>
              <w:rFonts w:hint="eastAsia" w:ascii="宋体" w:hAnsi="宋体" w:cs="宋体"/>
              <w:kern w:val="2"/>
            </w:rPr>
            <w:fldChar w:fldCharType="end"/>
          </w:r>
          <w:r>
            <w:rPr>
              <w:rFonts w:hint="eastAsia" w:ascii="宋体" w:hAnsi="宋体" w:cs="宋体"/>
              <w:kern w:val="2"/>
            </w:rPr>
            <w:fldChar w:fldCharType="end"/>
          </w:r>
        </w:p>
        <w:p w14:paraId="25587B43">
          <w:pPr>
            <w:pStyle w:val="11"/>
            <w:tabs>
              <w:tab w:val="right" w:leader="dot" w:pos="9344"/>
            </w:tabs>
            <w:jc w:val="left"/>
            <w:rPr>
              <w:rFonts w:ascii="宋体" w:hAnsi="宋体" w:cs="宋体"/>
              <w:kern w:val="2"/>
            </w:rPr>
          </w:pPr>
          <w:r>
            <w:fldChar w:fldCharType="begin"/>
          </w:r>
          <w:r>
            <w:instrText xml:space="preserve"> HYPERLINK \l "_Toc173100894" </w:instrText>
          </w:r>
          <w:r>
            <w:fldChar w:fldCharType="separate"/>
          </w:r>
          <w:r>
            <w:rPr>
              <w:rFonts w:hint="eastAsia" w:ascii="宋体" w:hAnsi="宋体" w:cs="宋体"/>
              <w:kern w:val="2"/>
            </w:rPr>
            <w:t>2 规范性引用文件</w:t>
          </w:r>
          <w:r>
            <w:rPr>
              <w:rFonts w:hint="eastAsia" w:ascii="宋体" w:hAnsi="宋体" w:cs="宋体"/>
              <w:kern w:val="2"/>
            </w:rPr>
            <w:tab/>
          </w:r>
          <w:r>
            <w:rPr>
              <w:rFonts w:hint="eastAsia" w:ascii="宋体" w:hAnsi="宋体" w:cs="宋体"/>
              <w:kern w:val="2"/>
            </w:rPr>
            <w:fldChar w:fldCharType="begin"/>
          </w:r>
          <w:r>
            <w:rPr>
              <w:rFonts w:hint="eastAsia" w:ascii="宋体" w:hAnsi="宋体" w:cs="宋体"/>
              <w:kern w:val="2"/>
            </w:rPr>
            <w:instrText xml:space="preserve"> PAGEREF _Toc173100894 \h </w:instrText>
          </w:r>
          <w:r>
            <w:rPr>
              <w:rFonts w:hint="eastAsia" w:ascii="宋体" w:hAnsi="宋体" w:cs="宋体"/>
              <w:kern w:val="2"/>
            </w:rPr>
            <w:fldChar w:fldCharType="separate"/>
          </w:r>
          <w:r>
            <w:rPr>
              <w:rFonts w:hint="eastAsia" w:ascii="宋体" w:hAnsi="宋体" w:cs="宋体"/>
              <w:kern w:val="2"/>
            </w:rPr>
            <w:t>1</w:t>
          </w:r>
          <w:r>
            <w:rPr>
              <w:rFonts w:hint="eastAsia" w:ascii="宋体" w:hAnsi="宋体" w:cs="宋体"/>
              <w:kern w:val="2"/>
            </w:rPr>
            <w:fldChar w:fldCharType="end"/>
          </w:r>
          <w:r>
            <w:rPr>
              <w:rFonts w:hint="eastAsia" w:ascii="宋体" w:hAnsi="宋体" w:cs="宋体"/>
              <w:kern w:val="2"/>
            </w:rPr>
            <w:fldChar w:fldCharType="end"/>
          </w:r>
        </w:p>
        <w:p w14:paraId="1AB735B7">
          <w:pPr>
            <w:pStyle w:val="11"/>
            <w:tabs>
              <w:tab w:val="right" w:leader="dot" w:pos="9344"/>
            </w:tabs>
            <w:jc w:val="left"/>
            <w:rPr>
              <w:rFonts w:ascii="宋体" w:hAnsi="宋体" w:cs="宋体"/>
              <w:kern w:val="2"/>
            </w:rPr>
          </w:pPr>
          <w:r>
            <w:fldChar w:fldCharType="begin"/>
          </w:r>
          <w:r>
            <w:instrText xml:space="preserve"> HYPERLINK \l "_Toc173100895" </w:instrText>
          </w:r>
          <w:r>
            <w:fldChar w:fldCharType="separate"/>
          </w:r>
          <w:r>
            <w:rPr>
              <w:rFonts w:hint="eastAsia" w:ascii="宋体" w:hAnsi="宋体" w:cs="宋体"/>
              <w:kern w:val="2"/>
            </w:rPr>
            <w:t>3 术语和定义</w:t>
          </w:r>
          <w:r>
            <w:rPr>
              <w:rFonts w:hint="eastAsia" w:ascii="宋体" w:hAnsi="宋体" w:cs="宋体"/>
              <w:kern w:val="2"/>
            </w:rPr>
            <w:tab/>
          </w:r>
          <w:r>
            <w:rPr>
              <w:rFonts w:hint="eastAsia" w:ascii="宋体" w:hAnsi="宋体" w:cs="宋体"/>
              <w:kern w:val="2"/>
            </w:rPr>
            <w:fldChar w:fldCharType="begin"/>
          </w:r>
          <w:r>
            <w:rPr>
              <w:rFonts w:hint="eastAsia" w:ascii="宋体" w:hAnsi="宋体" w:cs="宋体"/>
              <w:kern w:val="2"/>
            </w:rPr>
            <w:instrText xml:space="preserve"> PAGEREF _Toc173100895 \h </w:instrText>
          </w:r>
          <w:r>
            <w:rPr>
              <w:rFonts w:hint="eastAsia" w:ascii="宋体" w:hAnsi="宋体" w:cs="宋体"/>
              <w:kern w:val="2"/>
            </w:rPr>
            <w:fldChar w:fldCharType="separate"/>
          </w:r>
          <w:r>
            <w:rPr>
              <w:rFonts w:hint="eastAsia" w:ascii="宋体" w:hAnsi="宋体" w:cs="宋体"/>
              <w:kern w:val="2"/>
            </w:rPr>
            <w:t>1</w:t>
          </w:r>
          <w:r>
            <w:rPr>
              <w:rFonts w:hint="eastAsia" w:ascii="宋体" w:hAnsi="宋体" w:cs="宋体"/>
              <w:kern w:val="2"/>
            </w:rPr>
            <w:fldChar w:fldCharType="end"/>
          </w:r>
          <w:r>
            <w:rPr>
              <w:rFonts w:hint="eastAsia" w:ascii="宋体" w:hAnsi="宋体" w:cs="宋体"/>
              <w:kern w:val="2"/>
            </w:rPr>
            <w:fldChar w:fldCharType="end"/>
          </w:r>
        </w:p>
        <w:p w14:paraId="3C0DDE46">
          <w:pPr>
            <w:pStyle w:val="11"/>
            <w:tabs>
              <w:tab w:val="right" w:leader="dot" w:pos="9344"/>
            </w:tabs>
            <w:jc w:val="left"/>
            <w:rPr>
              <w:rFonts w:ascii="宋体" w:hAnsi="宋体" w:cs="宋体"/>
              <w:kern w:val="2"/>
            </w:rPr>
          </w:pPr>
          <w:r>
            <w:fldChar w:fldCharType="begin"/>
          </w:r>
          <w:r>
            <w:instrText xml:space="preserve"> HYPERLINK \l "_Toc173100896" </w:instrText>
          </w:r>
          <w:r>
            <w:fldChar w:fldCharType="separate"/>
          </w:r>
          <w:r>
            <w:rPr>
              <w:rFonts w:hint="eastAsia" w:ascii="宋体" w:hAnsi="宋体" w:cs="宋体"/>
              <w:kern w:val="2"/>
            </w:rPr>
            <w:t>4 分类</w:t>
          </w:r>
          <w:r>
            <w:rPr>
              <w:rFonts w:hint="eastAsia" w:ascii="宋体" w:hAnsi="宋体" w:cs="宋体"/>
              <w:kern w:val="2"/>
            </w:rPr>
            <w:tab/>
          </w:r>
          <w:r>
            <w:rPr>
              <w:rFonts w:hint="eastAsia" w:ascii="宋体" w:hAnsi="宋体" w:cs="宋体"/>
              <w:kern w:val="2"/>
            </w:rPr>
            <w:fldChar w:fldCharType="begin"/>
          </w:r>
          <w:r>
            <w:rPr>
              <w:rFonts w:hint="eastAsia" w:ascii="宋体" w:hAnsi="宋体" w:cs="宋体"/>
              <w:kern w:val="2"/>
            </w:rPr>
            <w:instrText xml:space="preserve"> PAGEREF _Toc173100896 \h </w:instrText>
          </w:r>
          <w:r>
            <w:rPr>
              <w:rFonts w:hint="eastAsia" w:ascii="宋体" w:hAnsi="宋体" w:cs="宋体"/>
              <w:kern w:val="2"/>
            </w:rPr>
            <w:fldChar w:fldCharType="separate"/>
          </w:r>
          <w:r>
            <w:rPr>
              <w:rFonts w:hint="eastAsia" w:ascii="宋体" w:hAnsi="宋体" w:cs="宋体"/>
              <w:kern w:val="2"/>
            </w:rPr>
            <w:t>1</w:t>
          </w:r>
          <w:r>
            <w:rPr>
              <w:rFonts w:hint="eastAsia" w:ascii="宋体" w:hAnsi="宋体" w:cs="宋体"/>
              <w:kern w:val="2"/>
            </w:rPr>
            <w:fldChar w:fldCharType="end"/>
          </w:r>
          <w:r>
            <w:rPr>
              <w:rFonts w:hint="eastAsia" w:ascii="宋体" w:hAnsi="宋体" w:cs="宋体"/>
              <w:kern w:val="2"/>
            </w:rPr>
            <w:fldChar w:fldCharType="end"/>
          </w:r>
        </w:p>
        <w:p w14:paraId="6921491A">
          <w:pPr>
            <w:pStyle w:val="11"/>
            <w:tabs>
              <w:tab w:val="right" w:leader="dot" w:pos="9344"/>
            </w:tabs>
            <w:jc w:val="left"/>
            <w:rPr>
              <w:rFonts w:ascii="宋体" w:hAnsi="宋体" w:cs="宋体"/>
              <w:kern w:val="2"/>
            </w:rPr>
          </w:pPr>
          <w:r>
            <w:fldChar w:fldCharType="begin"/>
          </w:r>
          <w:r>
            <w:instrText xml:space="preserve"> HYPERLINK \l "_Toc173100897" </w:instrText>
          </w:r>
          <w:r>
            <w:fldChar w:fldCharType="separate"/>
          </w:r>
          <w:r>
            <w:rPr>
              <w:rFonts w:hint="eastAsia" w:ascii="宋体" w:hAnsi="宋体" w:cs="宋体"/>
              <w:kern w:val="2"/>
            </w:rPr>
            <w:t>5 技术要求</w:t>
          </w:r>
          <w:r>
            <w:rPr>
              <w:rFonts w:hint="eastAsia" w:ascii="宋体" w:hAnsi="宋体" w:cs="宋体"/>
              <w:kern w:val="2"/>
            </w:rPr>
            <w:tab/>
          </w:r>
          <w:r>
            <w:rPr>
              <w:rFonts w:hint="eastAsia" w:ascii="宋体" w:hAnsi="宋体" w:cs="宋体"/>
              <w:kern w:val="2"/>
            </w:rPr>
            <w:t>1</w:t>
          </w:r>
          <w:r>
            <w:rPr>
              <w:rFonts w:hint="eastAsia" w:ascii="宋体" w:hAnsi="宋体" w:cs="宋体"/>
              <w:kern w:val="2"/>
            </w:rPr>
            <w:fldChar w:fldCharType="end"/>
          </w:r>
        </w:p>
        <w:p w14:paraId="689F8CD9">
          <w:pPr>
            <w:pStyle w:val="11"/>
            <w:tabs>
              <w:tab w:val="right" w:leader="dot" w:pos="9344"/>
            </w:tabs>
            <w:jc w:val="left"/>
            <w:rPr>
              <w:rFonts w:ascii="宋体" w:hAnsi="宋体" w:cs="宋体"/>
              <w:kern w:val="2"/>
            </w:rPr>
          </w:pPr>
          <w:r>
            <w:fldChar w:fldCharType="begin"/>
          </w:r>
          <w:r>
            <w:instrText xml:space="preserve"> HYPERLINK \l "_Toc173100898" </w:instrText>
          </w:r>
          <w:r>
            <w:fldChar w:fldCharType="separate"/>
          </w:r>
          <w:r>
            <w:rPr>
              <w:rFonts w:hint="eastAsia" w:ascii="宋体" w:hAnsi="宋体" w:cs="宋体"/>
              <w:kern w:val="2"/>
            </w:rPr>
            <w:t>6 试验方法</w:t>
          </w:r>
          <w:r>
            <w:rPr>
              <w:rFonts w:hint="eastAsia" w:ascii="宋体" w:hAnsi="宋体" w:cs="宋体"/>
              <w:kern w:val="2"/>
            </w:rPr>
            <w:tab/>
          </w:r>
          <w:r>
            <w:rPr>
              <w:rFonts w:hint="eastAsia" w:ascii="宋体" w:hAnsi="宋体" w:cs="宋体"/>
              <w:kern w:val="2"/>
            </w:rPr>
            <w:t>2</w:t>
          </w:r>
          <w:r>
            <w:rPr>
              <w:rFonts w:hint="eastAsia" w:ascii="宋体" w:hAnsi="宋体" w:cs="宋体"/>
              <w:kern w:val="2"/>
            </w:rPr>
            <w:fldChar w:fldCharType="end"/>
          </w:r>
        </w:p>
        <w:p w14:paraId="7DF78324">
          <w:pPr>
            <w:pStyle w:val="11"/>
            <w:tabs>
              <w:tab w:val="right" w:leader="dot" w:pos="9344"/>
            </w:tabs>
            <w:jc w:val="left"/>
            <w:rPr>
              <w:rFonts w:ascii="宋体" w:hAnsi="宋体" w:cs="宋体"/>
              <w:kern w:val="2"/>
            </w:rPr>
          </w:pPr>
          <w:r>
            <w:fldChar w:fldCharType="begin"/>
          </w:r>
          <w:r>
            <w:instrText xml:space="preserve"> HYPERLINK \l "_Toc173100899" </w:instrText>
          </w:r>
          <w:r>
            <w:fldChar w:fldCharType="separate"/>
          </w:r>
          <w:r>
            <w:rPr>
              <w:rFonts w:hint="eastAsia" w:ascii="宋体" w:hAnsi="宋体" w:cs="宋体"/>
              <w:kern w:val="2"/>
            </w:rPr>
            <w:t>7 检验规则</w:t>
          </w:r>
          <w:r>
            <w:rPr>
              <w:rFonts w:hint="eastAsia" w:ascii="宋体" w:hAnsi="宋体" w:cs="宋体"/>
              <w:kern w:val="2"/>
            </w:rPr>
            <w:tab/>
          </w:r>
          <w:r>
            <w:rPr>
              <w:rFonts w:hint="eastAsia" w:ascii="宋体" w:hAnsi="宋体" w:cs="宋体"/>
              <w:kern w:val="2"/>
            </w:rPr>
            <w:fldChar w:fldCharType="begin"/>
          </w:r>
          <w:r>
            <w:rPr>
              <w:rFonts w:hint="eastAsia" w:ascii="宋体" w:hAnsi="宋体" w:cs="宋体"/>
              <w:kern w:val="2"/>
            </w:rPr>
            <w:instrText xml:space="preserve"> PAGEREF _Toc173100899 \h </w:instrText>
          </w:r>
          <w:r>
            <w:rPr>
              <w:rFonts w:hint="eastAsia" w:ascii="宋体" w:hAnsi="宋体" w:cs="宋体"/>
              <w:kern w:val="2"/>
            </w:rPr>
            <w:fldChar w:fldCharType="separate"/>
          </w:r>
          <w:r>
            <w:rPr>
              <w:rFonts w:hint="eastAsia" w:ascii="宋体" w:hAnsi="宋体" w:cs="宋体"/>
              <w:kern w:val="2"/>
            </w:rPr>
            <w:t>3</w:t>
          </w:r>
          <w:r>
            <w:rPr>
              <w:rFonts w:hint="eastAsia" w:ascii="宋体" w:hAnsi="宋体" w:cs="宋体"/>
              <w:kern w:val="2"/>
            </w:rPr>
            <w:fldChar w:fldCharType="end"/>
          </w:r>
          <w:r>
            <w:rPr>
              <w:rFonts w:hint="eastAsia" w:ascii="宋体" w:hAnsi="宋体" w:cs="宋体"/>
              <w:kern w:val="2"/>
            </w:rPr>
            <w:fldChar w:fldCharType="end"/>
          </w:r>
        </w:p>
        <w:p w14:paraId="2B8C271F">
          <w:pPr>
            <w:pStyle w:val="5"/>
            <w:tabs>
              <w:tab w:val="clear" w:pos="670"/>
            </w:tabs>
            <w:ind w:firstLine="210" w:firstLineChars="100"/>
            <w:jc w:val="both"/>
            <w:rPr>
              <w:rFonts w:ascii="宋体" w:hAnsi="宋体" w:cs="宋体"/>
            </w:rPr>
          </w:pPr>
          <w:r>
            <w:fldChar w:fldCharType="begin"/>
          </w:r>
          <w:r>
            <w:instrText xml:space="preserve"> HYPERLINK \l "_Toc171205203" </w:instrText>
          </w:r>
          <w:r>
            <w:fldChar w:fldCharType="separate"/>
          </w:r>
          <w:r>
            <w:rPr>
              <w:rStyle w:val="18"/>
              <w:rFonts w:hint="eastAsia" w:ascii="宋体" w:hAnsi="宋体" w:cs="宋体"/>
            </w:rPr>
            <w:t>7.1 检验分类</w:t>
          </w:r>
          <w:r>
            <w:rPr>
              <w:rFonts w:hint="eastAsia" w:ascii="宋体" w:hAnsi="宋体" w:cs="宋体"/>
            </w:rPr>
            <w:tab/>
          </w:r>
          <w:r>
            <w:rPr>
              <w:rFonts w:hint="eastAsia" w:ascii="宋体" w:hAnsi="宋体" w:cs="宋体"/>
            </w:rPr>
            <w:t>3</w:t>
          </w:r>
          <w:r>
            <w:rPr>
              <w:rFonts w:hint="eastAsia" w:ascii="宋体" w:hAnsi="宋体" w:cs="宋体"/>
            </w:rPr>
            <w:fldChar w:fldCharType="end"/>
          </w:r>
        </w:p>
        <w:p w14:paraId="3816E2A2">
          <w:pPr>
            <w:pStyle w:val="5"/>
            <w:tabs>
              <w:tab w:val="clear" w:pos="670"/>
            </w:tabs>
            <w:ind w:firstLine="210" w:firstLineChars="100"/>
            <w:jc w:val="both"/>
          </w:pPr>
          <w:r>
            <w:fldChar w:fldCharType="begin"/>
          </w:r>
          <w:r>
            <w:instrText xml:space="preserve"> HYPERLINK \l "_Toc171205204" </w:instrText>
          </w:r>
          <w:r>
            <w:fldChar w:fldCharType="separate"/>
          </w:r>
          <w:r>
            <w:rPr>
              <w:rStyle w:val="18"/>
              <w:rFonts w:hint="eastAsia" w:ascii="宋体" w:hAnsi="宋体" w:cs="宋体"/>
            </w:rPr>
            <w:t>7.2 组批与抽样</w:t>
          </w:r>
          <w:r>
            <w:rPr>
              <w:rFonts w:hint="eastAsia" w:ascii="宋体" w:hAnsi="宋体" w:cs="宋体"/>
            </w:rPr>
            <w:tab/>
          </w:r>
          <w:r>
            <w:rPr>
              <w:rFonts w:hint="eastAsia" w:ascii="宋体" w:hAnsi="宋体" w:cs="宋体"/>
            </w:rPr>
            <w:t>3</w:t>
          </w:r>
          <w:r>
            <w:rPr>
              <w:rFonts w:hint="eastAsia" w:ascii="宋体" w:hAnsi="宋体" w:cs="宋体"/>
            </w:rPr>
            <w:fldChar w:fldCharType="end"/>
          </w:r>
        </w:p>
        <w:p w14:paraId="49419F43">
          <w:pPr>
            <w:pStyle w:val="5"/>
            <w:tabs>
              <w:tab w:val="clear" w:pos="670"/>
            </w:tabs>
            <w:ind w:firstLine="210" w:firstLineChars="100"/>
            <w:jc w:val="both"/>
            <w:rPr>
              <w:rFonts w:ascii="宋体" w:hAnsi="宋体" w:cs="宋体"/>
            </w:rPr>
          </w:pPr>
          <w:r>
            <w:fldChar w:fldCharType="begin"/>
          </w:r>
          <w:r>
            <w:instrText xml:space="preserve"> HYPERLINK \l "_Toc171205204" </w:instrText>
          </w:r>
          <w:r>
            <w:fldChar w:fldCharType="separate"/>
          </w:r>
          <w:r>
            <w:rPr>
              <w:rStyle w:val="18"/>
              <w:rFonts w:hint="eastAsia" w:ascii="宋体" w:hAnsi="宋体" w:cs="宋体"/>
            </w:rPr>
            <w:t>7.3 合格判定规则</w:t>
          </w:r>
          <w:r>
            <w:rPr>
              <w:rFonts w:hint="eastAsia" w:ascii="宋体" w:hAnsi="宋体" w:cs="宋体"/>
            </w:rPr>
            <w:tab/>
          </w:r>
          <w:r>
            <w:rPr>
              <w:rFonts w:hint="eastAsia" w:ascii="宋体" w:hAnsi="宋体" w:cs="宋体"/>
            </w:rPr>
            <w:t>3</w:t>
          </w:r>
          <w:r>
            <w:rPr>
              <w:rFonts w:hint="eastAsia" w:ascii="宋体" w:hAnsi="宋体" w:cs="宋体"/>
            </w:rPr>
            <w:fldChar w:fldCharType="end"/>
          </w:r>
        </w:p>
        <w:p w14:paraId="51EF5F18">
          <w:pPr>
            <w:pStyle w:val="11"/>
            <w:tabs>
              <w:tab w:val="right" w:leader="dot" w:pos="9344"/>
            </w:tabs>
            <w:jc w:val="left"/>
            <w:rPr>
              <w:rFonts w:ascii="宋体" w:hAnsi="宋体" w:cs="宋体"/>
              <w:kern w:val="2"/>
            </w:rPr>
          </w:pPr>
          <w:r>
            <w:fldChar w:fldCharType="begin"/>
          </w:r>
          <w:r>
            <w:instrText xml:space="preserve"> HYPERLINK \l "_Toc173100900" </w:instrText>
          </w:r>
          <w:r>
            <w:fldChar w:fldCharType="separate"/>
          </w:r>
          <w:r>
            <w:rPr>
              <w:rFonts w:hint="eastAsia" w:ascii="宋体" w:hAnsi="宋体" w:cs="宋体"/>
              <w:kern w:val="2"/>
            </w:rPr>
            <w:t>8 包装、标志、运输、储存及质量证明书</w:t>
          </w:r>
          <w:r>
            <w:rPr>
              <w:rFonts w:hint="eastAsia" w:ascii="宋体" w:hAnsi="宋体" w:cs="宋体"/>
              <w:kern w:val="2"/>
            </w:rPr>
            <w:tab/>
          </w:r>
          <w:r>
            <w:rPr>
              <w:rFonts w:hint="eastAsia" w:ascii="宋体" w:hAnsi="宋体" w:cs="宋体"/>
              <w:kern w:val="2"/>
            </w:rPr>
            <w:t>3</w:t>
          </w:r>
          <w:r>
            <w:rPr>
              <w:rFonts w:hint="eastAsia" w:ascii="宋体" w:hAnsi="宋体" w:cs="宋体"/>
              <w:kern w:val="2"/>
            </w:rPr>
            <w:fldChar w:fldCharType="end"/>
          </w:r>
        </w:p>
        <w:p w14:paraId="7C236015">
          <w:pPr>
            <w:pStyle w:val="11"/>
            <w:tabs>
              <w:tab w:val="right" w:leader="dot" w:pos="9344"/>
            </w:tabs>
            <w:jc w:val="left"/>
          </w:pPr>
          <w:r>
            <w:fldChar w:fldCharType="begin"/>
          </w:r>
          <w:r>
            <w:instrText xml:space="preserve"> HYPERLINK \l "_Toc173100899" </w:instrText>
          </w:r>
          <w:r>
            <w:fldChar w:fldCharType="separate"/>
          </w:r>
          <w:r>
            <w:rPr>
              <w:rFonts w:hint="eastAsia" w:ascii="宋体" w:hAnsi="宋体" w:cs="宋体"/>
              <w:kern w:val="2"/>
            </w:rPr>
            <w:t>附录A（规范性）水泥窑用微晶耐火制品 常温耐压试验方法</w:t>
          </w:r>
          <w:r>
            <w:rPr>
              <w:rFonts w:hint="eastAsia" w:ascii="宋体" w:hAnsi="宋体" w:cs="宋体"/>
              <w:kern w:val="2"/>
            </w:rPr>
            <w:tab/>
          </w:r>
          <w:r>
            <w:rPr>
              <w:rFonts w:hint="eastAsia" w:ascii="宋体" w:hAnsi="宋体" w:cs="宋体"/>
              <w:kern w:val="2"/>
            </w:rPr>
            <w:t>4</w:t>
          </w:r>
          <w:r>
            <w:rPr>
              <w:rFonts w:hint="eastAsia" w:ascii="宋体" w:hAnsi="宋体" w:cs="宋体"/>
              <w:kern w:val="2"/>
            </w:rPr>
            <w:fldChar w:fldCharType="end"/>
          </w:r>
        </w:p>
        <w:p w14:paraId="2660D659">
          <w:pPr>
            <w:pStyle w:val="11"/>
            <w:tabs>
              <w:tab w:val="right" w:leader="dot" w:pos="9344"/>
            </w:tabs>
            <w:jc w:val="left"/>
          </w:pPr>
          <w:r>
            <w:rPr>
              <w:rFonts w:ascii="宋体" w:hAnsi="宋体"/>
            </w:rPr>
            <w:fldChar w:fldCharType="end"/>
          </w:r>
          <w:r>
            <w:fldChar w:fldCharType="begin"/>
          </w:r>
          <w:r>
            <w:instrText xml:space="preserve"> HYPERLINK \l "_Toc173100899" </w:instrText>
          </w:r>
          <w:r>
            <w:fldChar w:fldCharType="separate"/>
          </w:r>
          <w:r>
            <w:rPr>
              <w:rFonts w:hint="eastAsia" w:ascii="宋体" w:hAnsi="宋体" w:cs="宋体"/>
              <w:kern w:val="2"/>
            </w:rPr>
            <w:t>附录B（资料性）水泥窑用微晶耐火制品用连接件</w:t>
          </w:r>
          <w:r>
            <w:rPr>
              <w:rFonts w:hint="eastAsia" w:ascii="宋体" w:hAnsi="宋体" w:cs="宋体"/>
              <w:kern w:val="2"/>
            </w:rPr>
            <w:tab/>
          </w:r>
          <w:r>
            <w:rPr>
              <w:rFonts w:hint="eastAsia" w:ascii="宋体" w:hAnsi="宋体" w:cs="宋体"/>
              <w:kern w:val="2"/>
            </w:rPr>
            <w:t>5</w:t>
          </w:r>
          <w:r>
            <w:rPr>
              <w:rFonts w:hint="eastAsia" w:ascii="宋体" w:hAnsi="宋体" w:cs="宋体"/>
              <w:kern w:val="2"/>
            </w:rPr>
            <w:fldChar w:fldCharType="end"/>
          </w:r>
        </w:p>
      </w:sdtContent>
    </w:sdt>
    <w:p w14:paraId="569303A7">
      <w:pPr>
        <w:rPr>
          <w:rFonts w:ascii="黑体" w:hAnsi="Calibri" w:eastAsia="黑体"/>
          <w:sz w:val="32"/>
          <w:szCs w:val="22"/>
        </w:rPr>
      </w:pPr>
      <w:r>
        <w:br w:type="page"/>
      </w:r>
    </w:p>
    <w:p w14:paraId="10C9FD53">
      <w:pPr>
        <w:pStyle w:val="38"/>
        <w:tabs>
          <w:tab w:val="left" w:pos="955"/>
          <w:tab w:val="center" w:pos="4677"/>
          <w:tab w:val="left" w:pos="7092"/>
        </w:tabs>
        <w:jc w:val="left"/>
        <w:rPr>
          <w:color w:val="000000" w:themeColor="text1"/>
          <w14:textFill>
            <w14:solidFill>
              <w14:schemeClr w14:val="tx1"/>
            </w14:solidFill>
          </w14:textFill>
        </w:rPr>
      </w:pPr>
      <w:r>
        <w:rPr>
          <w:color w:val="000000" w:themeColor="text1"/>
          <w14:textFill>
            <w14:solidFill>
              <w14:schemeClr w14:val="tx1"/>
            </w14:solidFill>
          </w14:textFill>
        </w:rPr>
        <w:tab/>
      </w:r>
      <w:r>
        <w:rPr>
          <w:color w:val="000000" w:themeColor="text1"/>
          <w14:textFill>
            <w14:solidFill>
              <w14:schemeClr w14:val="tx1"/>
            </w14:solidFill>
          </w14:textFill>
        </w:rPr>
        <w:tab/>
      </w:r>
      <w:bookmarkStart w:id="17" w:name="_Toc173100891"/>
      <w:r>
        <w:rPr>
          <w:rFonts w:hint="eastAsia"/>
          <w:color w:val="000000" w:themeColor="text1"/>
          <w14:textFill>
            <w14:solidFill>
              <w14:schemeClr w14:val="tx1"/>
            </w14:solidFill>
          </w14:textFill>
        </w:rPr>
        <w:t>前</w:t>
      </w:r>
      <w:bookmarkStart w:id="18" w:name="BKQY"/>
      <w:r>
        <w:rPr>
          <w:rFonts w:ascii="Times New Roman" w:hAnsi="Times New Roman"/>
          <w:color w:val="000000" w:themeColor="text1"/>
          <w14:textFill>
            <w14:solidFill>
              <w14:schemeClr w14:val="tx1"/>
            </w14:solidFill>
          </w14:textFill>
        </w:rPr>
        <w:t>  </w:t>
      </w:r>
      <w:r>
        <w:rPr>
          <w:rFonts w:hint="eastAsia"/>
          <w:color w:val="000000" w:themeColor="text1"/>
          <w14:textFill>
            <w14:solidFill>
              <w14:schemeClr w14:val="tx1"/>
            </w14:solidFill>
          </w14:textFill>
        </w:rPr>
        <w:t>言</w:t>
      </w:r>
      <w:bookmarkEnd w:id="17"/>
      <w:bookmarkEnd w:id="18"/>
    </w:p>
    <w:p w14:paraId="20CD7E39">
      <w:pPr>
        <w:pStyle w:val="36"/>
        <w:autoSpaceDE/>
        <w:autoSpaceDN/>
        <w:rPr>
          <w:rFonts w:ascii="Times New Roman" w:hAnsi="Times New Roman" w:eastAsia="宋体" w:cs="宋体"/>
          <w:color w:val="FF0000"/>
        </w:rPr>
      </w:pPr>
      <w:r>
        <w:rPr>
          <w:rFonts w:hint="eastAsia" w:ascii="Times New Roman" w:hAnsi="Times New Roman" w:eastAsia="宋体" w:cs="宋体"/>
          <w:color w:val="000000" w:themeColor="text1"/>
          <w14:textFill>
            <w14:solidFill>
              <w14:schemeClr w14:val="tx1"/>
            </w14:solidFill>
          </w14:textFill>
        </w:rPr>
        <w:t>本文件按照GB/T</w:t>
      </w:r>
      <w:r>
        <w:rPr>
          <w:rFonts w:hint="eastAsia" w:cs="宋体" w:asciiTheme="minorEastAsia" w:hAnsiTheme="minorEastAsia" w:eastAsiaTheme="minorEastAsia"/>
          <w:color w:val="000000" w:themeColor="text1"/>
          <w14:textFill>
            <w14:solidFill>
              <w14:schemeClr w14:val="tx1"/>
            </w14:solidFill>
          </w14:textFill>
        </w:rPr>
        <w:t xml:space="preserve"> </w:t>
      </w:r>
      <w:r>
        <w:rPr>
          <w:rFonts w:hint="eastAsia" w:hAnsi="宋体" w:eastAsia="宋体" w:cs="宋体"/>
          <w:color w:val="000000" w:themeColor="text1"/>
          <w14:textFill>
            <w14:solidFill>
              <w14:schemeClr w14:val="tx1"/>
            </w14:solidFill>
          </w14:textFill>
        </w:rPr>
        <w:t>1.1-2020</w:t>
      </w:r>
      <w:r>
        <w:rPr>
          <w:rFonts w:hint="eastAsia" w:ascii="Times New Roman" w:hAnsi="Times New Roman" w:eastAsia="宋体" w:cs="宋体"/>
          <w:color w:val="000000" w:themeColor="text1"/>
          <w14:textFill>
            <w14:solidFill>
              <w14:schemeClr w14:val="tx1"/>
            </w14:solidFill>
          </w14:textFill>
        </w:rPr>
        <w:t>《标准化工作导则 第</w:t>
      </w:r>
      <w:r>
        <w:rPr>
          <w:rFonts w:hint="eastAsia" w:hAnsi="宋体" w:eastAsia="宋体" w:cs="宋体"/>
          <w:color w:val="000000" w:themeColor="text1"/>
          <w14:textFill>
            <w14:solidFill>
              <w14:schemeClr w14:val="tx1"/>
            </w14:solidFill>
          </w14:textFill>
        </w:rPr>
        <w:t>1</w:t>
      </w:r>
      <w:r>
        <w:rPr>
          <w:rFonts w:hint="eastAsia" w:ascii="Times New Roman" w:hAnsi="Times New Roman" w:eastAsia="宋体" w:cs="宋体"/>
          <w:color w:val="000000" w:themeColor="text1"/>
          <w14:textFill>
            <w14:solidFill>
              <w14:schemeClr w14:val="tx1"/>
            </w14:solidFill>
          </w14:textFill>
        </w:rPr>
        <w:t>部分：标准化文件的结构和起草规则》的规定起草。</w:t>
      </w:r>
    </w:p>
    <w:p w14:paraId="2AF6853E">
      <w:pPr>
        <w:pStyle w:val="36"/>
        <w:autoSpaceDE/>
        <w:autoSpaceDN/>
        <w:rPr>
          <w:rFonts w:ascii="Times New Roman" w:hAnsi="Times New Roman" w:eastAsia="宋体" w:cs="宋体"/>
          <w:color w:val="000000" w:themeColor="text1"/>
          <w14:textFill>
            <w14:solidFill>
              <w14:schemeClr w14:val="tx1"/>
            </w14:solidFill>
          </w14:textFill>
        </w:rPr>
      </w:pPr>
      <w:r>
        <w:rPr>
          <w:rFonts w:hint="eastAsia" w:ascii="Times New Roman" w:hAnsi="Times New Roman" w:eastAsia="宋体" w:cs="宋体"/>
          <w:color w:val="000000" w:themeColor="text1"/>
          <w14:textFill>
            <w14:solidFill>
              <w14:schemeClr w14:val="tx1"/>
            </w14:solidFill>
          </w14:textFill>
        </w:rPr>
        <w:t>请注意本文件的某些内容可能涉及专利。本文件的发布机构不承担识别专利的责任。</w:t>
      </w:r>
    </w:p>
    <w:p w14:paraId="2915F36E">
      <w:pPr>
        <w:pStyle w:val="36"/>
        <w:autoSpaceDE/>
        <w:autoSpaceDN/>
        <w:rPr>
          <w:rFonts w:ascii="Times New Roman" w:hAnsi="Times New Roman" w:eastAsia="宋体" w:cs="宋体"/>
        </w:rPr>
      </w:pPr>
      <w:r>
        <w:rPr>
          <w:rFonts w:hint="eastAsia" w:ascii="Times New Roman" w:hAnsi="Times New Roman" w:eastAsia="宋体" w:cs="宋体"/>
        </w:rPr>
        <w:t>本文件由中国建筑材料联合会提出。</w:t>
      </w:r>
    </w:p>
    <w:p w14:paraId="38C1AAB6">
      <w:pPr>
        <w:pStyle w:val="36"/>
        <w:rPr>
          <w:rFonts w:ascii="Times New Roman" w:hAnsi="Times New Roman"/>
        </w:rPr>
      </w:pPr>
      <w:r>
        <w:rPr>
          <w:rFonts w:ascii="Times New Roman" w:hAnsi="Times New Roman" w:eastAsia="宋体"/>
        </w:rPr>
        <w:t>本文件由建材工业综合标准化技术委员会归口。</w:t>
      </w:r>
    </w:p>
    <w:p w14:paraId="235222E4">
      <w:pPr>
        <w:pStyle w:val="36"/>
        <w:rPr>
          <w:rFonts w:ascii="Times New Roman" w:hAnsi="Times New Roman"/>
        </w:rPr>
      </w:pPr>
      <w:r>
        <w:rPr>
          <w:rFonts w:ascii="Times New Roman" w:hAnsi="Times New Roman" w:eastAsia="宋体"/>
        </w:rPr>
        <w:t>本文件起草单位：中国国检测试控股集团股份有限公司</w:t>
      </w:r>
    </w:p>
    <w:p w14:paraId="36F6B9DD">
      <w:pPr>
        <w:pStyle w:val="36"/>
        <w:rPr>
          <w:rFonts w:ascii="Times New Roman" w:hAnsi="Times New Roman" w:eastAsia="宋体" w:cs="宋体"/>
        </w:rPr>
      </w:pPr>
      <w:r>
        <w:rPr>
          <w:rFonts w:ascii="Times New Roman" w:hAnsi="Times New Roman" w:eastAsia="宋体"/>
        </w:rPr>
        <w:t>本文件主要起草人：</w:t>
      </w:r>
    </w:p>
    <w:p w14:paraId="22E403A6">
      <w:pPr>
        <w:sectPr>
          <w:headerReference r:id="rId5" w:type="default"/>
          <w:footerReference r:id="rId6" w:type="default"/>
          <w:pgSz w:w="11906" w:h="16838"/>
          <w:pgMar w:top="567" w:right="1134" w:bottom="1134" w:left="1418" w:header="1418" w:footer="1134" w:gutter="0"/>
          <w:pgBorders>
            <w:top w:val="none" w:sz="0" w:space="0"/>
            <w:left w:val="none" w:sz="0" w:space="0"/>
            <w:bottom w:val="none" w:sz="0" w:space="0"/>
            <w:right w:val="none" w:sz="0" w:space="0"/>
          </w:pgBorders>
          <w:pgNumType w:fmt="upperRoman" w:start="1"/>
          <w:cols w:space="425" w:num="1"/>
          <w:formProt w:val="0"/>
          <w:docGrid w:type="lines" w:linePitch="312" w:charSpace="0"/>
        </w:sectPr>
      </w:pPr>
      <w:r>
        <w:tab/>
      </w:r>
    </w:p>
    <w:p w14:paraId="1AE7F89D">
      <w:pPr>
        <w:pStyle w:val="13"/>
        <w:ind w:left="93"/>
        <w:rPr>
          <w:rFonts w:eastAsia="黑体"/>
          <w:b w:val="0"/>
          <w:bCs w:val="0"/>
          <w:kern w:val="2"/>
        </w:rPr>
      </w:pPr>
      <w:bookmarkStart w:id="19" w:name="_Toc3402"/>
      <w:bookmarkStart w:id="20" w:name="_Toc173100892"/>
      <w:bookmarkStart w:id="21" w:name="_Toc172734461"/>
      <w:r>
        <w:rPr>
          <w:rFonts w:hint="eastAsia" w:eastAsia="黑体"/>
          <w:b w:val="0"/>
          <w:bCs w:val="0"/>
          <w:kern w:val="2"/>
        </w:rPr>
        <w:t>水泥窑用微晶</w:t>
      </w:r>
      <w:bookmarkEnd w:id="19"/>
      <w:r>
        <w:rPr>
          <w:rFonts w:hint="eastAsia" w:eastAsia="黑体"/>
          <w:b w:val="0"/>
          <w:bCs w:val="0"/>
          <w:kern w:val="2"/>
        </w:rPr>
        <w:t>耐火制品</w:t>
      </w:r>
      <w:bookmarkEnd w:id="20"/>
      <w:bookmarkEnd w:id="21"/>
    </w:p>
    <w:p w14:paraId="68832D36">
      <w:pPr>
        <w:pStyle w:val="40"/>
        <w:spacing w:before="312" w:after="312"/>
        <w:outlineLvl w:val="0"/>
      </w:pPr>
      <w:bookmarkStart w:id="22" w:name="_Toc5696"/>
      <w:bookmarkStart w:id="23" w:name="_Toc173100893"/>
      <w:r>
        <w:rPr>
          <w:rFonts w:hint="eastAsia"/>
        </w:rPr>
        <w:t>1   范围</w:t>
      </w:r>
      <w:bookmarkEnd w:id="22"/>
      <w:bookmarkEnd w:id="23"/>
    </w:p>
    <w:p w14:paraId="7E9371D3">
      <w:pPr>
        <w:pStyle w:val="36"/>
      </w:pPr>
      <w:r>
        <w:t>本</w:t>
      </w:r>
      <w:r>
        <w:rPr>
          <w:rFonts w:hint="eastAsia" w:eastAsia="宋体"/>
        </w:rPr>
        <w:t>文件</w:t>
      </w:r>
      <w:r>
        <w:t>中规定了</w:t>
      </w:r>
      <w:r>
        <w:rPr>
          <w:rFonts w:hint="eastAsia"/>
          <w:szCs w:val="21"/>
        </w:rPr>
        <w:t>水泥窑用</w:t>
      </w:r>
      <w:r>
        <w:rPr>
          <w:szCs w:val="21"/>
        </w:rPr>
        <w:t>微晶</w:t>
      </w:r>
      <w:r>
        <w:rPr>
          <w:rFonts w:hint="eastAsia"/>
          <w:szCs w:val="21"/>
        </w:rPr>
        <w:t>耐火制品</w:t>
      </w:r>
      <w:r>
        <w:t>的</w:t>
      </w:r>
      <w:r>
        <w:rPr>
          <w:rFonts w:hint="eastAsia"/>
        </w:rPr>
        <w:t>分类</w:t>
      </w:r>
      <w:r>
        <w:rPr>
          <w:rFonts w:ascii="Times New Roman" w:hAnsi="Arial"/>
          <w:szCs w:val="21"/>
        </w:rPr>
        <w:t>、</w:t>
      </w:r>
      <w:r>
        <w:rPr>
          <w:rFonts w:hint="eastAsia" w:ascii="Times New Roman" w:hAnsi="Arial"/>
          <w:szCs w:val="21"/>
        </w:rPr>
        <w:t>技术</w:t>
      </w:r>
      <w:r>
        <w:rPr>
          <w:rFonts w:ascii="Times New Roman" w:hAnsi="Arial"/>
          <w:szCs w:val="21"/>
        </w:rPr>
        <w:t>要求、试验方法、</w:t>
      </w:r>
      <w:r>
        <w:rPr>
          <w:rFonts w:hint="eastAsia" w:ascii="Times New Roman" w:hAnsi="Arial"/>
          <w:szCs w:val="21"/>
        </w:rPr>
        <w:t>检验规则</w:t>
      </w:r>
      <w:r>
        <w:rPr>
          <w:rFonts w:ascii="Times New Roman" w:hAnsi="Arial"/>
          <w:szCs w:val="21"/>
        </w:rPr>
        <w:t>、包装、标志、运输、储存及质量证明书</w:t>
      </w:r>
      <w:r>
        <w:rPr>
          <w:rFonts w:hint="eastAsia" w:ascii="Times New Roman" w:hAnsi="Arial"/>
          <w:szCs w:val="21"/>
        </w:rPr>
        <w:t>的要求</w:t>
      </w:r>
      <w:r>
        <w:rPr>
          <w:rFonts w:ascii="Times New Roman" w:hAnsi="Arial"/>
          <w:szCs w:val="21"/>
        </w:rPr>
        <w:t>。</w:t>
      </w:r>
    </w:p>
    <w:p w14:paraId="6B0D239C">
      <w:pPr>
        <w:pStyle w:val="36"/>
        <w:rPr>
          <w:rFonts w:eastAsia="宋体"/>
        </w:rPr>
      </w:pPr>
      <w:r>
        <w:t>本</w:t>
      </w:r>
      <w:r>
        <w:rPr>
          <w:rFonts w:hint="eastAsia"/>
        </w:rPr>
        <w:t>文件适用于水泥窑用微晶耐火制品</w:t>
      </w:r>
      <w:r>
        <w:rPr>
          <w:rFonts w:hint="eastAsia" w:eastAsia="宋体"/>
        </w:rPr>
        <w:t>。</w:t>
      </w:r>
    </w:p>
    <w:p w14:paraId="7A159F51">
      <w:pPr>
        <w:pStyle w:val="36"/>
        <w:spacing w:before="312" w:beforeLines="100" w:after="312" w:afterLines="100"/>
        <w:ind w:firstLine="0" w:firstLineChars="0"/>
        <w:outlineLvl w:val="0"/>
        <w:rPr>
          <w:rFonts w:ascii="黑体" w:hAnsi="黑体" w:eastAsia="黑体" w:cs="黑体"/>
        </w:rPr>
      </w:pPr>
      <w:bookmarkStart w:id="24" w:name="_Toc173100894"/>
      <w:bookmarkStart w:id="25" w:name="_Toc2525"/>
      <w:r>
        <w:rPr>
          <w:rFonts w:hint="eastAsia" w:ascii="黑体" w:hAnsi="黑体" w:eastAsia="黑体" w:cs="黑体"/>
        </w:rPr>
        <w:t>2   规范性引用文件</w:t>
      </w:r>
      <w:bookmarkEnd w:id="24"/>
      <w:bookmarkEnd w:id="25"/>
    </w:p>
    <w:p w14:paraId="3F564D0D">
      <w:pPr>
        <w:pStyle w:val="36"/>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9AF670A">
      <w:pPr>
        <w:pStyle w:val="36"/>
        <w:rPr>
          <w:rFonts w:ascii="Times New Roman" w:hAnsi="Times New Roman" w:eastAsiaTheme="minorEastAsia"/>
        </w:rPr>
      </w:pPr>
      <w:r>
        <w:rPr>
          <w:rFonts w:ascii="Times New Roman" w:hAnsi="Times New Roman" w:eastAsiaTheme="minorEastAsia"/>
        </w:rPr>
        <w:t>GB/T</w:t>
      </w:r>
      <w:r>
        <w:rPr>
          <w:rFonts w:hint="eastAsia" w:hAnsi="宋体" w:eastAsia="宋体" w:cs="宋体"/>
        </w:rPr>
        <w:t xml:space="preserve"> 2997</w:t>
      </w:r>
      <w:r>
        <w:rPr>
          <w:rFonts w:ascii="Times New Roman" w:hAnsi="Times New Roman" w:eastAsiaTheme="minorEastAsia"/>
        </w:rPr>
        <w:t xml:space="preserve">  致密定形耐火制品体积密度、显气孔率和真气孔率试验方法</w:t>
      </w:r>
    </w:p>
    <w:p w14:paraId="4445DC5E">
      <w:pPr>
        <w:pStyle w:val="36"/>
        <w:rPr>
          <w:rFonts w:ascii="Times New Roman" w:hAnsi="Times New Roman" w:eastAsiaTheme="minorEastAsia"/>
        </w:rPr>
      </w:pPr>
      <w:r>
        <w:rPr>
          <w:rFonts w:ascii="Times New Roman" w:hAnsi="Times New Roman" w:eastAsiaTheme="minorEastAsia"/>
        </w:rPr>
        <w:t>GB/T</w:t>
      </w:r>
      <w:r>
        <w:rPr>
          <w:rFonts w:hint="eastAsia" w:hAnsi="宋体" w:eastAsia="宋体" w:cs="宋体"/>
        </w:rPr>
        <w:t xml:space="preserve"> </w:t>
      </w:r>
      <w:r>
        <w:rPr>
          <w:rFonts w:asciiTheme="minorEastAsia" w:hAnsiTheme="minorEastAsia" w:eastAsiaTheme="minorEastAsia"/>
        </w:rPr>
        <w:t>3001</w:t>
      </w:r>
      <w:r>
        <w:rPr>
          <w:rFonts w:ascii="Times New Roman" w:hAnsi="Times New Roman" w:eastAsiaTheme="minorEastAsia"/>
        </w:rPr>
        <w:t xml:space="preserve">  耐火材料 常温抗折强度试验方法</w:t>
      </w:r>
    </w:p>
    <w:p w14:paraId="2A4552DC">
      <w:pPr>
        <w:pStyle w:val="36"/>
        <w:rPr>
          <w:rFonts w:ascii="Times New Roman" w:hAnsi="Times New Roman" w:eastAsiaTheme="minorEastAsia"/>
        </w:rPr>
      </w:pPr>
      <w:r>
        <w:rPr>
          <w:rFonts w:ascii="Times New Roman" w:hAnsi="Times New Roman" w:eastAsiaTheme="minorEastAsia"/>
        </w:rPr>
        <w:t>GB/T</w:t>
      </w:r>
      <w:r>
        <w:rPr>
          <w:rFonts w:hint="eastAsia" w:hAnsi="宋体" w:eastAsia="宋体" w:cs="宋体"/>
        </w:rPr>
        <w:t xml:space="preserve"> </w:t>
      </w:r>
      <w:r>
        <w:rPr>
          <w:rFonts w:asciiTheme="minorEastAsia" w:hAnsiTheme="minorEastAsia" w:eastAsiaTheme="minorEastAsia"/>
        </w:rPr>
        <w:t>5072</w:t>
      </w:r>
      <w:r>
        <w:rPr>
          <w:rFonts w:ascii="Times New Roman" w:hAnsi="Times New Roman" w:eastAsiaTheme="minorEastAsia"/>
        </w:rPr>
        <w:t xml:space="preserve">  耐火材料 常温耐压强度试验方法</w:t>
      </w:r>
    </w:p>
    <w:p w14:paraId="1A2129F9">
      <w:pPr>
        <w:pStyle w:val="36"/>
        <w:rPr>
          <w:rFonts w:ascii="Times New Roman" w:hAnsi="Times New Roman" w:eastAsiaTheme="minorEastAsia"/>
        </w:rPr>
      </w:pPr>
      <w:r>
        <w:rPr>
          <w:rFonts w:ascii="Times New Roman" w:hAnsi="Times New Roman" w:eastAsiaTheme="minorEastAsia"/>
        </w:rPr>
        <w:t>GB/T</w:t>
      </w:r>
      <w:r>
        <w:rPr>
          <w:rFonts w:hint="eastAsia" w:hAnsi="宋体" w:eastAsia="宋体" w:cs="宋体"/>
        </w:rPr>
        <w:t xml:space="preserve"> </w:t>
      </w:r>
      <w:r>
        <w:rPr>
          <w:rFonts w:asciiTheme="minorEastAsia" w:hAnsiTheme="minorEastAsia" w:eastAsiaTheme="minorEastAsia"/>
        </w:rPr>
        <w:t>7321</w:t>
      </w:r>
      <w:r>
        <w:rPr>
          <w:rFonts w:ascii="Times New Roman" w:hAnsi="Times New Roman" w:eastAsiaTheme="minorEastAsia"/>
        </w:rPr>
        <w:t xml:space="preserve">  定形耐火制品试样制备方法</w:t>
      </w:r>
    </w:p>
    <w:p w14:paraId="460392F3">
      <w:pPr>
        <w:pStyle w:val="36"/>
        <w:rPr>
          <w:rFonts w:ascii="Times New Roman" w:hAnsi="Times New Roman" w:eastAsiaTheme="minorEastAsia"/>
        </w:rPr>
      </w:pPr>
      <w:r>
        <w:rPr>
          <w:rFonts w:ascii="Times New Roman" w:hAnsi="Times New Roman" w:eastAsiaTheme="minorEastAsia"/>
        </w:rPr>
        <w:t>GB/T</w:t>
      </w:r>
      <w:r>
        <w:rPr>
          <w:rFonts w:hint="eastAsia" w:hAnsi="宋体" w:eastAsia="宋体" w:cs="宋体"/>
        </w:rPr>
        <w:t xml:space="preserve"> </w:t>
      </w:r>
      <w:r>
        <w:rPr>
          <w:rFonts w:asciiTheme="minorEastAsia" w:hAnsiTheme="minorEastAsia" w:eastAsiaTheme="minorEastAsia"/>
        </w:rPr>
        <w:t>10325</w:t>
      </w:r>
      <w:r>
        <w:rPr>
          <w:rFonts w:ascii="Times New Roman" w:hAnsi="Times New Roman" w:eastAsiaTheme="minorEastAsia"/>
        </w:rPr>
        <w:t xml:space="preserve"> 定形耐火制品验收抽样检验规则</w:t>
      </w:r>
    </w:p>
    <w:p w14:paraId="4ECF54D6">
      <w:pPr>
        <w:pStyle w:val="36"/>
        <w:rPr>
          <w:rFonts w:ascii="Times New Roman" w:hAnsi="Times New Roman" w:eastAsiaTheme="minorEastAsia"/>
        </w:rPr>
      </w:pPr>
      <w:r>
        <w:rPr>
          <w:rFonts w:ascii="Times New Roman" w:hAnsi="Times New Roman" w:eastAsiaTheme="minorEastAsia"/>
        </w:rPr>
        <w:t>GB/T</w:t>
      </w:r>
      <w:r>
        <w:rPr>
          <w:rFonts w:hint="eastAsia" w:hAnsi="宋体" w:eastAsia="宋体" w:cs="宋体"/>
        </w:rPr>
        <w:t xml:space="preserve"> </w:t>
      </w:r>
      <w:r>
        <w:rPr>
          <w:rFonts w:asciiTheme="minorEastAsia" w:hAnsiTheme="minorEastAsia" w:eastAsiaTheme="minorEastAsia"/>
        </w:rPr>
        <w:t>10326</w:t>
      </w:r>
      <w:r>
        <w:rPr>
          <w:rFonts w:ascii="Times New Roman" w:hAnsi="Times New Roman" w:eastAsiaTheme="minorEastAsia"/>
        </w:rPr>
        <w:t xml:space="preserve"> 定形耐火制品尺寸、外观及断面的检查方法</w:t>
      </w:r>
    </w:p>
    <w:p w14:paraId="27D169EE">
      <w:pPr>
        <w:pStyle w:val="36"/>
        <w:rPr>
          <w:rFonts w:ascii="Times New Roman" w:hAnsi="Times New Roman" w:eastAsiaTheme="minorEastAsia"/>
        </w:rPr>
      </w:pPr>
      <w:r>
        <w:rPr>
          <w:rFonts w:ascii="Times New Roman" w:hAnsi="Times New Roman" w:eastAsiaTheme="minorEastAsia"/>
        </w:rPr>
        <w:t>GB/T</w:t>
      </w:r>
      <w:r>
        <w:rPr>
          <w:rFonts w:hint="eastAsia" w:hAnsi="宋体" w:eastAsia="宋体" w:cs="宋体"/>
        </w:rPr>
        <w:t xml:space="preserve"> </w:t>
      </w:r>
      <w:r>
        <w:rPr>
          <w:rFonts w:asciiTheme="minorEastAsia" w:hAnsiTheme="minorEastAsia" w:eastAsiaTheme="minorEastAsia"/>
        </w:rPr>
        <w:t>16546</w:t>
      </w:r>
      <w:r>
        <w:rPr>
          <w:rFonts w:ascii="Times New Roman" w:hAnsi="Times New Roman" w:eastAsiaTheme="minorEastAsia"/>
        </w:rPr>
        <w:t xml:space="preserve"> 定形耐火材料包装、标志、运输、储存和质量证明书的一般规定</w:t>
      </w:r>
    </w:p>
    <w:p w14:paraId="51059743">
      <w:pPr>
        <w:pStyle w:val="36"/>
        <w:rPr>
          <w:rFonts w:ascii="Times New Roman" w:hAnsi="Times New Roman" w:eastAsiaTheme="minorEastAsia"/>
        </w:rPr>
      </w:pPr>
      <w:r>
        <w:rPr>
          <w:rFonts w:ascii="Times New Roman" w:hAnsi="Times New Roman" w:eastAsiaTheme="minorEastAsia"/>
        </w:rPr>
        <w:t>GB/T</w:t>
      </w:r>
      <w:r>
        <w:rPr>
          <w:rFonts w:hint="eastAsia" w:hAnsi="宋体" w:eastAsia="宋体" w:cs="宋体"/>
        </w:rPr>
        <w:t xml:space="preserve"> </w:t>
      </w:r>
      <w:r>
        <w:rPr>
          <w:rFonts w:hint="eastAsia" w:asciiTheme="minorEastAsia" w:hAnsiTheme="minorEastAsia" w:eastAsiaTheme="minorEastAsia"/>
        </w:rPr>
        <w:t>16555</w:t>
      </w:r>
      <w:r>
        <w:rPr>
          <w:rFonts w:ascii="Times New Roman" w:hAnsi="Times New Roman" w:eastAsiaTheme="minorEastAsia"/>
        </w:rPr>
        <w:t xml:space="preserve"> </w:t>
      </w:r>
      <w:r>
        <w:rPr>
          <w:rFonts w:hint="eastAsia" w:ascii="Times New Roman" w:hAnsi="Times New Roman" w:eastAsiaTheme="minorEastAsia"/>
        </w:rPr>
        <w:t>含碳、碳化硅、氮化物耐火材料化学分析方法</w:t>
      </w:r>
    </w:p>
    <w:p w14:paraId="454F4998">
      <w:pPr>
        <w:pStyle w:val="36"/>
        <w:rPr>
          <w:rFonts w:ascii="Times New Roman" w:hAnsi="Times New Roman" w:eastAsiaTheme="minorEastAsia"/>
        </w:rPr>
      </w:pPr>
      <w:r>
        <w:rPr>
          <w:rFonts w:ascii="Times New Roman" w:hAnsi="Times New Roman" w:eastAsiaTheme="minorEastAsia"/>
        </w:rPr>
        <w:t>GB/T</w:t>
      </w:r>
      <w:r>
        <w:rPr>
          <w:rFonts w:hint="eastAsia" w:hAnsi="宋体" w:eastAsia="宋体" w:cs="宋体"/>
        </w:rPr>
        <w:t xml:space="preserve"> </w:t>
      </w:r>
      <w:r>
        <w:rPr>
          <w:rFonts w:asciiTheme="minorEastAsia" w:hAnsiTheme="minorEastAsia" w:eastAsiaTheme="minorEastAsia"/>
        </w:rPr>
        <w:t>18301</w:t>
      </w:r>
      <w:r>
        <w:rPr>
          <w:rFonts w:ascii="Times New Roman" w:hAnsi="Times New Roman" w:eastAsiaTheme="minorEastAsia"/>
        </w:rPr>
        <w:t xml:space="preserve"> 耐火材料 常温耐磨性试验方法</w:t>
      </w:r>
    </w:p>
    <w:p w14:paraId="1234BE70">
      <w:pPr>
        <w:pStyle w:val="36"/>
        <w:rPr>
          <w:rFonts w:hAnsi="宋体"/>
        </w:rPr>
      </w:pPr>
      <w:r>
        <w:rPr>
          <w:rFonts w:ascii="Times New Roman" w:hAnsi="Times New Roman"/>
        </w:rPr>
        <w:t>GB/T</w:t>
      </w:r>
      <w:r>
        <w:rPr>
          <w:rFonts w:hAnsi="宋体"/>
        </w:rPr>
        <w:t xml:space="preserve"> 18930 耐火材料术语</w:t>
      </w:r>
    </w:p>
    <w:p w14:paraId="2738393D">
      <w:pPr>
        <w:pStyle w:val="36"/>
        <w:spacing w:before="312" w:beforeLines="100" w:after="312" w:afterLines="100"/>
        <w:ind w:firstLine="0" w:firstLineChars="0"/>
        <w:outlineLvl w:val="0"/>
        <w:rPr>
          <w:rFonts w:ascii="黑体" w:hAnsi="黑体" w:eastAsia="黑体" w:cs="黑体"/>
        </w:rPr>
      </w:pPr>
      <w:bookmarkStart w:id="26" w:name="_Toc3576"/>
      <w:bookmarkStart w:id="27" w:name="_Toc173100895"/>
      <w:r>
        <w:rPr>
          <w:rFonts w:hint="eastAsia" w:ascii="黑体" w:hAnsi="黑体" w:eastAsia="黑体" w:cs="黑体"/>
        </w:rPr>
        <w:t>3   术语</w:t>
      </w:r>
      <w:bookmarkEnd w:id="26"/>
      <w:r>
        <w:rPr>
          <w:rFonts w:hint="eastAsia" w:ascii="黑体" w:hAnsi="黑体" w:eastAsia="黑体" w:cs="黑体"/>
        </w:rPr>
        <w:t>和定义</w:t>
      </w:r>
      <w:bookmarkEnd w:id="27"/>
    </w:p>
    <w:p w14:paraId="2554E73E">
      <w:pPr>
        <w:ind w:firstLine="420" w:firstLineChars="200"/>
        <w:jc w:val="left"/>
      </w:pPr>
      <w:r>
        <w:rPr>
          <w:rFonts w:hint="eastAsia"/>
        </w:rPr>
        <w:t xml:space="preserve">GB/T </w:t>
      </w:r>
      <w:r>
        <w:rPr>
          <w:rFonts w:hint="eastAsia" w:ascii="宋体" w:hAnsi="宋体" w:eastAsia="Times New Roman"/>
          <w:szCs w:val="22"/>
        </w:rPr>
        <w:t>18930</w:t>
      </w:r>
      <w:r>
        <w:rPr>
          <w:rFonts w:hint="eastAsia"/>
        </w:rPr>
        <w:t>界定的术语和定义适用于本文件。</w:t>
      </w:r>
    </w:p>
    <w:p w14:paraId="7C964E7D">
      <w:pPr>
        <w:pStyle w:val="40"/>
        <w:spacing w:before="312" w:after="312"/>
        <w:outlineLvl w:val="0"/>
      </w:pPr>
      <w:bookmarkStart w:id="28" w:name="_Toc91060966"/>
      <w:bookmarkStart w:id="29" w:name="_Toc173100896"/>
      <w:bookmarkStart w:id="30" w:name="_Toc1412"/>
      <w:r>
        <w:rPr>
          <w:rFonts w:hint="eastAsia"/>
        </w:rPr>
        <w:t>4   分类</w:t>
      </w:r>
      <w:bookmarkEnd w:id="28"/>
      <w:bookmarkEnd w:id="29"/>
      <w:bookmarkEnd w:id="30"/>
    </w:p>
    <w:p w14:paraId="0A1BCD2B">
      <w:pPr>
        <w:pStyle w:val="50"/>
        <w:numPr>
          <w:ilvl w:val="0"/>
          <w:numId w:val="5"/>
        </w:numPr>
        <w:rPr>
          <w:rFonts w:ascii="Times New Roman" w:hAnsi="宋体"/>
        </w:rPr>
      </w:pPr>
      <w:bookmarkStart w:id="31" w:name="_Toc28051"/>
      <w:bookmarkStart w:id="32" w:name="_Toc23595"/>
      <w:r>
        <w:rPr>
          <w:rFonts w:hint="eastAsia" w:ascii="Times New Roman" w:eastAsia="宋体"/>
          <w:szCs w:val="20"/>
        </w:rPr>
        <w:t>制</w:t>
      </w:r>
      <w:r>
        <w:rPr>
          <w:rFonts w:ascii="Times New Roman" w:eastAsia="宋体"/>
          <w:szCs w:val="20"/>
        </w:rPr>
        <w:t>品</w:t>
      </w:r>
      <w:r>
        <w:rPr>
          <w:rFonts w:ascii="Times New Roman" w:eastAsia="宋体"/>
          <w:szCs w:val="20"/>
          <w:lang w:val="zh-CN"/>
        </w:rPr>
        <w:t>按</w:t>
      </w:r>
      <w:r>
        <w:rPr>
          <w:rFonts w:hint="eastAsia" w:ascii="Times New Roman" w:eastAsia="宋体"/>
          <w:szCs w:val="20"/>
        </w:rPr>
        <w:t>碳化硅</w:t>
      </w:r>
      <w:r>
        <w:rPr>
          <w:rFonts w:ascii="Times New Roman" w:eastAsia="宋体"/>
          <w:szCs w:val="20"/>
        </w:rPr>
        <w:t>含量分为</w:t>
      </w:r>
      <w:r>
        <w:rPr>
          <w:rFonts w:hint="eastAsia" w:asciiTheme="minorEastAsia" w:hAnsiTheme="minorEastAsia" w:eastAsiaTheme="minorEastAsia"/>
          <w:szCs w:val="20"/>
        </w:rPr>
        <w:t>3</w:t>
      </w:r>
      <w:r>
        <w:rPr>
          <w:rFonts w:ascii="Times New Roman" w:eastAsia="宋体"/>
          <w:szCs w:val="20"/>
        </w:rPr>
        <w:t>个牌号，分别标记为</w:t>
      </w:r>
      <w:r>
        <w:rPr>
          <w:rFonts w:hint="eastAsia" w:ascii="Times New Roman" w:eastAsia="宋体"/>
          <w:szCs w:val="20"/>
        </w:rPr>
        <w:t>WJ</w:t>
      </w:r>
      <w:r>
        <w:rPr>
          <w:rFonts w:ascii="Times New Roman" w:eastAsia="宋体"/>
          <w:szCs w:val="20"/>
        </w:rPr>
        <w:t>-</w:t>
      </w:r>
      <w:r>
        <w:rPr>
          <w:rFonts w:hint="eastAsia" w:asciiTheme="minorEastAsia" w:hAnsiTheme="minorEastAsia" w:eastAsiaTheme="minorEastAsia"/>
          <w:szCs w:val="20"/>
        </w:rPr>
        <w:t>67</w:t>
      </w:r>
      <w:r>
        <w:rPr>
          <w:rFonts w:hint="eastAsia" w:ascii="宋体" w:hAnsi="宋体" w:eastAsia="宋体" w:cs="宋体"/>
          <w:szCs w:val="20"/>
        </w:rPr>
        <w:t>、</w:t>
      </w:r>
      <w:r>
        <w:rPr>
          <w:rFonts w:hint="eastAsia" w:ascii="Times New Roman" w:eastAsia="宋体"/>
          <w:szCs w:val="20"/>
        </w:rPr>
        <w:t>WJ</w:t>
      </w:r>
      <w:r>
        <w:rPr>
          <w:rFonts w:ascii="Times New Roman" w:eastAsia="宋体"/>
          <w:szCs w:val="20"/>
        </w:rPr>
        <w:t>-</w:t>
      </w:r>
      <w:r>
        <w:rPr>
          <w:rFonts w:hint="eastAsia" w:cs="宋体" w:asciiTheme="minorEastAsia" w:hAnsiTheme="minorEastAsia" w:eastAsiaTheme="minorEastAsia"/>
          <w:szCs w:val="20"/>
        </w:rPr>
        <w:t>80</w:t>
      </w:r>
      <w:r>
        <w:rPr>
          <w:rFonts w:hint="eastAsia" w:ascii="宋体" w:hAnsi="宋体" w:eastAsia="宋体" w:cs="宋体"/>
          <w:szCs w:val="20"/>
        </w:rPr>
        <w:t>和</w:t>
      </w:r>
      <w:r>
        <w:rPr>
          <w:rFonts w:ascii="Times New Roman" w:hAnsi="Times New Roman" w:eastAsia="宋体" w:cs="Times New Roman"/>
          <w:szCs w:val="20"/>
        </w:rPr>
        <w:t>WJ-</w:t>
      </w:r>
      <w:r>
        <w:rPr>
          <w:rFonts w:hint="eastAsia" w:cs="宋体" w:asciiTheme="minorEastAsia" w:hAnsiTheme="minorEastAsia" w:eastAsiaTheme="minorEastAsia"/>
          <w:szCs w:val="20"/>
        </w:rPr>
        <w:t>85</w:t>
      </w:r>
      <w:r>
        <w:rPr>
          <w:rFonts w:hint="eastAsia" w:ascii="宋体" w:hAnsi="宋体" w:eastAsia="宋体" w:cs="宋体"/>
          <w:szCs w:val="20"/>
        </w:rPr>
        <w:t>。</w:t>
      </w:r>
      <w:r>
        <w:rPr>
          <w:rFonts w:hint="eastAsia" w:ascii="Times New Roman" w:eastAsia="宋体"/>
          <w:szCs w:val="20"/>
        </w:rPr>
        <w:t>其中WJ代表微晶耐火制品</w:t>
      </w:r>
      <w:r>
        <w:rPr>
          <w:rFonts w:ascii="Times New Roman" w:eastAsia="宋体"/>
          <w:szCs w:val="20"/>
        </w:rPr>
        <w:t>，阿拉伯数字为</w:t>
      </w:r>
      <w:r>
        <w:rPr>
          <w:rFonts w:hint="eastAsia" w:ascii="Times New Roman" w:eastAsia="宋体"/>
          <w:szCs w:val="20"/>
        </w:rPr>
        <w:t>碳化硅</w:t>
      </w:r>
      <w:r>
        <w:rPr>
          <w:rFonts w:ascii="Times New Roman" w:eastAsia="宋体"/>
          <w:szCs w:val="20"/>
        </w:rPr>
        <w:t>的</w:t>
      </w:r>
      <w:r>
        <w:rPr>
          <w:rFonts w:hint="eastAsia" w:ascii="Times New Roman" w:eastAsia="宋体"/>
          <w:szCs w:val="20"/>
        </w:rPr>
        <w:t>质量分数。</w:t>
      </w:r>
      <w:bookmarkEnd w:id="31"/>
      <w:bookmarkEnd w:id="32"/>
    </w:p>
    <w:p w14:paraId="6D2DAE09">
      <w:pPr>
        <w:pStyle w:val="40"/>
        <w:spacing w:before="312" w:after="312"/>
        <w:outlineLvl w:val="0"/>
      </w:pPr>
      <w:bookmarkStart w:id="33" w:name="_Toc91060969"/>
      <w:bookmarkStart w:id="34" w:name="_Toc28980"/>
      <w:bookmarkStart w:id="35" w:name="_Toc173100897"/>
      <w:r>
        <w:rPr>
          <w:rFonts w:hint="eastAsia"/>
        </w:rPr>
        <w:t>5   技术要求</w:t>
      </w:r>
      <w:bookmarkEnd w:id="33"/>
      <w:bookmarkEnd w:id="34"/>
      <w:bookmarkEnd w:id="35"/>
    </w:p>
    <w:p w14:paraId="3C93805B">
      <w:pPr>
        <w:widowControl/>
        <w:spacing w:before="156" w:beforeLines="50" w:after="156" w:afterLines="50"/>
        <w:jc w:val="both"/>
        <w:outlineLvl w:val="2"/>
        <w:rPr>
          <w:rFonts w:asciiTheme="minorEastAsia" w:hAnsiTheme="minorEastAsia" w:eastAsiaTheme="minorEastAsia"/>
        </w:rPr>
      </w:pPr>
      <w:bookmarkStart w:id="36" w:name="_Toc91060970"/>
      <w:r>
        <w:rPr>
          <w:rFonts w:hint="eastAsia" w:ascii="黑体" w:hAnsi="黑体" w:eastAsia="黑体" w:cs="黑体"/>
        </w:rPr>
        <w:t xml:space="preserve">5.1 </w:t>
      </w:r>
      <w:r>
        <w:rPr>
          <w:rFonts w:hint="eastAsia" w:asciiTheme="minorEastAsia" w:hAnsiTheme="minorEastAsia" w:eastAsiaTheme="minorEastAsia"/>
        </w:rPr>
        <w:t>制品的理化指标应符合表</w:t>
      </w:r>
      <w:r>
        <w:rPr>
          <w:rFonts w:asciiTheme="minorEastAsia" w:hAnsiTheme="minorEastAsia" w:eastAsiaTheme="minorEastAsia"/>
        </w:rPr>
        <w:t>1</w:t>
      </w:r>
      <w:r>
        <w:rPr>
          <w:rFonts w:hint="eastAsia" w:asciiTheme="minorEastAsia" w:hAnsiTheme="minorEastAsia" w:eastAsiaTheme="minorEastAsia"/>
        </w:rPr>
        <w:t>的规定</w:t>
      </w:r>
      <w:bookmarkEnd w:id="36"/>
      <w:r>
        <w:rPr>
          <w:rFonts w:hint="eastAsia" w:asciiTheme="minorEastAsia" w:hAnsiTheme="minorEastAsia" w:eastAsiaTheme="minorEastAsia"/>
        </w:rPr>
        <w:t>。</w:t>
      </w:r>
    </w:p>
    <w:p w14:paraId="68A9C4BA">
      <w:pPr>
        <w:widowControl/>
        <w:spacing w:before="156" w:beforeLines="50" w:after="156" w:afterLines="50"/>
        <w:jc w:val="both"/>
        <w:outlineLvl w:val="2"/>
        <w:rPr>
          <w:rFonts w:asciiTheme="minorEastAsia" w:hAnsiTheme="minorEastAsia" w:eastAsiaTheme="minorEastAsia"/>
        </w:rPr>
      </w:pPr>
    </w:p>
    <w:p w14:paraId="53D2BFD8">
      <w:pPr>
        <w:widowControl/>
        <w:spacing w:before="156" w:beforeLines="50" w:after="156" w:afterLines="50"/>
        <w:jc w:val="both"/>
        <w:outlineLvl w:val="2"/>
        <w:rPr>
          <w:rFonts w:asciiTheme="minorEastAsia" w:hAnsiTheme="minorEastAsia" w:eastAsiaTheme="minorEastAsia"/>
        </w:rPr>
      </w:pPr>
    </w:p>
    <w:p w14:paraId="29D65556">
      <w:pPr>
        <w:widowControl/>
        <w:spacing w:before="156" w:beforeLines="50" w:after="156" w:afterLines="50"/>
        <w:jc w:val="both"/>
        <w:outlineLvl w:val="2"/>
        <w:rPr>
          <w:rFonts w:asciiTheme="minorEastAsia" w:hAnsiTheme="minorEastAsia" w:eastAsiaTheme="minorEastAsia"/>
        </w:rPr>
      </w:pPr>
    </w:p>
    <w:p w14:paraId="6FE551C2">
      <w:pPr>
        <w:widowControl/>
        <w:spacing w:before="156" w:beforeLines="50" w:after="156" w:afterLines="50"/>
        <w:outlineLvl w:val="2"/>
        <w:rPr>
          <w:rFonts w:ascii="黑体" w:hAnsi="黑体" w:eastAsia="黑体"/>
          <w:kern w:val="2"/>
          <w:szCs w:val="22"/>
        </w:rPr>
      </w:pPr>
      <w:r>
        <w:rPr>
          <w:rFonts w:hint="eastAsia" w:ascii="黑体" w:hAnsi="黑体" w:eastAsia="黑体"/>
          <w:kern w:val="2"/>
          <w:szCs w:val="22"/>
        </w:rPr>
        <w:t>表1 制品的理化指标</w:t>
      </w:r>
    </w:p>
    <w:tbl>
      <w:tblPr>
        <w:tblStyle w:val="16"/>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949"/>
        <w:gridCol w:w="1083"/>
        <w:gridCol w:w="1741"/>
        <w:gridCol w:w="1741"/>
        <w:gridCol w:w="1741"/>
      </w:tblGrid>
      <w:tr w14:paraId="37269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979" w:type="dxa"/>
            <w:gridSpan w:val="3"/>
            <w:vMerge w:val="restart"/>
            <w:tcBorders>
              <w:top w:val="single" w:color="000000" w:sz="8" w:space="0"/>
              <w:left w:val="single" w:color="000000" w:sz="8" w:space="0"/>
              <w:bottom w:val="single" w:color="000000" w:sz="8" w:space="0"/>
              <w:right w:val="single" w:color="000000" w:sz="4" w:space="0"/>
            </w:tcBorders>
            <w:vAlign w:val="center"/>
          </w:tcPr>
          <w:p w14:paraId="7E81C195">
            <w:pPr>
              <w:rPr>
                <w:sz w:val="18"/>
                <w:szCs w:val="18"/>
              </w:rPr>
            </w:pPr>
            <w:r>
              <w:rPr>
                <w:rFonts w:hint="eastAsia"/>
                <w:sz w:val="18"/>
                <w:szCs w:val="18"/>
              </w:rPr>
              <w:t>项目</w:t>
            </w:r>
          </w:p>
        </w:tc>
        <w:tc>
          <w:tcPr>
            <w:tcW w:w="5223" w:type="dxa"/>
            <w:gridSpan w:val="3"/>
            <w:tcBorders>
              <w:top w:val="single" w:color="000000" w:sz="8" w:space="0"/>
              <w:left w:val="single" w:color="000000" w:sz="4" w:space="0"/>
              <w:bottom w:val="single" w:color="000000" w:sz="4" w:space="0"/>
              <w:right w:val="single" w:color="000000" w:sz="8" w:space="0"/>
            </w:tcBorders>
            <w:vAlign w:val="center"/>
          </w:tcPr>
          <w:p w14:paraId="52DD2AF6">
            <w:pPr>
              <w:rPr>
                <w:sz w:val="18"/>
                <w:szCs w:val="18"/>
              </w:rPr>
            </w:pPr>
            <w:r>
              <w:rPr>
                <w:rFonts w:hint="eastAsia"/>
                <w:sz w:val="18"/>
                <w:szCs w:val="18"/>
              </w:rPr>
              <w:t>指标</w:t>
            </w:r>
          </w:p>
        </w:tc>
      </w:tr>
      <w:tr w14:paraId="744BF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979" w:type="dxa"/>
            <w:gridSpan w:val="3"/>
            <w:vMerge w:val="continue"/>
            <w:tcBorders>
              <w:top w:val="single" w:color="000000" w:sz="8" w:space="0"/>
              <w:left w:val="single" w:color="000000" w:sz="8" w:space="0"/>
              <w:bottom w:val="single" w:color="000000" w:sz="8" w:space="0"/>
              <w:right w:val="single" w:color="000000" w:sz="4" w:space="0"/>
            </w:tcBorders>
            <w:vAlign w:val="center"/>
          </w:tcPr>
          <w:p w14:paraId="15396EC9">
            <w:pPr>
              <w:rPr>
                <w:sz w:val="18"/>
                <w:szCs w:val="18"/>
              </w:rPr>
            </w:pPr>
          </w:p>
        </w:tc>
        <w:tc>
          <w:tcPr>
            <w:tcW w:w="1741" w:type="dxa"/>
            <w:tcBorders>
              <w:top w:val="single" w:color="000000" w:sz="4" w:space="0"/>
              <w:left w:val="single" w:color="000000" w:sz="4" w:space="0"/>
              <w:bottom w:val="single" w:color="000000" w:sz="8" w:space="0"/>
              <w:right w:val="single" w:color="000000" w:sz="4" w:space="0"/>
            </w:tcBorders>
            <w:vAlign w:val="center"/>
          </w:tcPr>
          <w:p w14:paraId="0767736E">
            <w:pPr>
              <w:rPr>
                <w:sz w:val="18"/>
                <w:szCs w:val="18"/>
              </w:rPr>
            </w:pPr>
            <w:r>
              <w:rPr>
                <w:rFonts w:hint="eastAsia"/>
                <w:sz w:val="18"/>
                <w:szCs w:val="18"/>
              </w:rPr>
              <w:t>WJ-</w:t>
            </w:r>
            <w:r>
              <w:rPr>
                <w:rFonts w:hint="eastAsia" w:asciiTheme="minorEastAsia" w:hAnsiTheme="minorEastAsia" w:eastAsiaTheme="minorEastAsia"/>
                <w:sz w:val="18"/>
                <w:szCs w:val="18"/>
              </w:rPr>
              <w:t>67</w:t>
            </w:r>
          </w:p>
        </w:tc>
        <w:tc>
          <w:tcPr>
            <w:tcW w:w="1741" w:type="dxa"/>
            <w:tcBorders>
              <w:top w:val="single" w:color="000000" w:sz="4" w:space="0"/>
              <w:left w:val="single" w:color="000000" w:sz="4" w:space="0"/>
              <w:bottom w:val="single" w:color="000000" w:sz="8" w:space="0"/>
              <w:right w:val="single" w:color="000000" w:sz="4" w:space="0"/>
            </w:tcBorders>
            <w:vAlign w:val="center"/>
          </w:tcPr>
          <w:p w14:paraId="340AD400">
            <w:pPr>
              <w:rPr>
                <w:sz w:val="18"/>
                <w:szCs w:val="18"/>
              </w:rPr>
            </w:pPr>
            <w:r>
              <w:rPr>
                <w:rFonts w:hint="eastAsia"/>
                <w:sz w:val="18"/>
                <w:szCs w:val="18"/>
              </w:rPr>
              <w:t>WJ-</w:t>
            </w:r>
            <w:r>
              <w:rPr>
                <w:rFonts w:hint="eastAsia" w:asciiTheme="minorEastAsia" w:hAnsiTheme="minorEastAsia" w:eastAsiaTheme="minorEastAsia"/>
                <w:sz w:val="18"/>
                <w:szCs w:val="18"/>
              </w:rPr>
              <w:t>80</w:t>
            </w:r>
          </w:p>
        </w:tc>
        <w:tc>
          <w:tcPr>
            <w:tcW w:w="1741" w:type="dxa"/>
            <w:tcBorders>
              <w:top w:val="single" w:color="000000" w:sz="4" w:space="0"/>
              <w:left w:val="single" w:color="000000" w:sz="4" w:space="0"/>
              <w:bottom w:val="single" w:color="000000" w:sz="8" w:space="0"/>
              <w:right w:val="single" w:color="000000" w:sz="8" w:space="0"/>
            </w:tcBorders>
            <w:vAlign w:val="center"/>
          </w:tcPr>
          <w:p w14:paraId="78420335">
            <w:pPr>
              <w:rPr>
                <w:sz w:val="18"/>
                <w:szCs w:val="18"/>
              </w:rPr>
            </w:pPr>
            <w:r>
              <w:rPr>
                <w:rFonts w:hint="eastAsia"/>
                <w:sz w:val="18"/>
                <w:szCs w:val="18"/>
              </w:rPr>
              <w:t>WJ-</w:t>
            </w:r>
            <w:r>
              <w:rPr>
                <w:rFonts w:hint="eastAsia" w:asciiTheme="minorEastAsia" w:hAnsiTheme="minorEastAsia" w:eastAsiaTheme="minorEastAsia"/>
                <w:sz w:val="18"/>
                <w:szCs w:val="18"/>
              </w:rPr>
              <w:t>85</w:t>
            </w:r>
          </w:p>
        </w:tc>
      </w:tr>
      <w:tr w14:paraId="26738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47" w:type="dxa"/>
            <w:vMerge w:val="restart"/>
            <w:tcBorders>
              <w:top w:val="single" w:color="000000" w:sz="8" w:space="0"/>
              <w:left w:val="single" w:color="000000" w:sz="8" w:space="0"/>
              <w:bottom w:val="single" w:color="000000" w:sz="4" w:space="0"/>
              <w:right w:val="single" w:color="000000" w:sz="4" w:space="0"/>
            </w:tcBorders>
            <w:vAlign w:val="center"/>
          </w:tcPr>
          <w:p w14:paraId="07830E3E">
            <w:pPr>
              <w:rPr>
                <w:rFonts w:ascii="宋体"/>
                <w:sz w:val="18"/>
                <w:szCs w:val="18"/>
              </w:rPr>
            </w:pPr>
            <w:r>
              <w:rPr>
                <w:rFonts w:hint="eastAsia" w:ascii="宋体"/>
                <w:sz w:val="18"/>
                <w:szCs w:val="18"/>
              </w:rPr>
              <w:t>化学成分</w:t>
            </w:r>
          </w:p>
        </w:tc>
        <w:tc>
          <w:tcPr>
            <w:tcW w:w="1949" w:type="dxa"/>
            <w:tcBorders>
              <w:top w:val="single" w:color="000000" w:sz="8" w:space="0"/>
              <w:left w:val="single" w:color="000000" w:sz="4" w:space="0"/>
              <w:bottom w:val="single" w:color="000000" w:sz="4" w:space="0"/>
              <w:right w:val="single" w:color="000000" w:sz="4" w:space="0"/>
            </w:tcBorders>
            <w:vAlign w:val="center"/>
          </w:tcPr>
          <w:p w14:paraId="16E7E721">
            <w:pPr>
              <w:rPr>
                <w:sz w:val="18"/>
                <w:szCs w:val="18"/>
              </w:rPr>
            </w:pPr>
            <w:r>
              <w:rPr>
                <w:sz w:val="18"/>
                <w:szCs w:val="18"/>
              </w:rPr>
              <w:t>SiC</w:t>
            </w:r>
          </w:p>
        </w:tc>
        <w:tc>
          <w:tcPr>
            <w:tcW w:w="1083" w:type="dxa"/>
            <w:tcBorders>
              <w:top w:val="single" w:color="000000" w:sz="8" w:space="0"/>
              <w:left w:val="single" w:color="000000" w:sz="4" w:space="0"/>
              <w:bottom w:val="single" w:color="000000" w:sz="4" w:space="0"/>
              <w:right w:val="single" w:color="000000" w:sz="4" w:space="0"/>
            </w:tcBorders>
            <w:vAlign w:val="center"/>
          </w:tcPr>
          <w:p w14:paraId="2D73CD0B">
            <w:pPr>
              <w:rPr>
                <w:rFonts w:cstheme="minorBidi"/>
                <w:sz w:val="18"/>
                <w:szCs w:val="18"/>
              </w:rPr>
            </w:pPr>
            <w:r>
              <w:rPr>
                <w:rFonts w:cstheme="minorBidi"/>
                <w:sz w:val="18"/>
                <w:szCs w:val="18"/>
              </w:rPr>
              <w:t>µ</w:t>
            </w:r>
            <w:r>
              <w:rPr>
                <w:rFonts w:cstheme="minorBidi"/>
                <w:sz w:val="18"/>
                <w:szCs w:val="18"/>
                <w:vertAlign w:val="subscript"/>
              </w:rPr>
              <w:t>0</w:t>
            </w:r>
          </w:p>
        </w:tc>
        <w:tc>
          <w:tcPr>
            <w:tcW w:w="1741" w:type="dxa"/>
            <w:tcBorders>
              <w:top w:val="single" w:color="000000" w:sz="8" w:space="0"/>
              <w:left w:val="single" w:color="000000" w:sz="4" w:space="0"/>
              <w:bottom w:val="single" w:color="000000" w:sz="4" w:space="0"/>
              <w:right w:val="single" w:color="000000" w:sz="4" w:space="0"/>
            </w:tcBorders>
            <w:vAlign w:val="center"/>
          </w:tcPr>
          <w:p w14:paraId="0BA54D46">
            <w:pPr>
              <w:rPr>
                <w:rFonts w:asciiTheme="minorEastAsia" w:hAnsiTheme="minorEastAsia" w:eastAsiaTheme="minorEastAsia"/>
                <w:sz w:val="18"/>
                <w:szCs w:val="18"/>
              </w:rPr>
            </w:pPr>
            <w:r>
              <w:rPr>
                <w:rFonts w:hint="eastAsia" w:asciiTheme="minorEastAsia" w:hAnsiTheme="minorEastAsia" w:eastAsiaTheme="minorEastAsia"/>
                <w:sz w:val="18"/>
                <w:szCs w:val="18"/>
              </w:rPr>
              <w:t>≥67</w:t>
            </w:r>
            <w:r>
              <w:rPr>
                <w:rFonts w:eastAsiaTheme="minorEastAsia"/>
                <w:sz w:val="18"/>
                <w:szCs w:val="18"/>
              </w:rPr>
              <w:t>%</w:t>
            </w:r>
          </w:p>
        </w:tc>
        <w:tc>
          <w:tcPr>
            <w:tcW w:w="1741" w:type="dxa"/>
            <w:tcBorders>
              <w:top w:val="single" w:color="000000" w:sz="8" w:space="0"/>
              <w:left w:val="single" w:color="000000" w:sz="4" w:space="0"/>
              <w:bottom w:val="single" w:color="000000" w:sz="4" w:space="0"/>
              <w:right w:val="single" w:color="000000" w:sz="4" w:space="0"/>
            </w:tcBorders>
            <w:vAlign w:val="center"/>
          </w:tcPr>
          <w:p w14:paraId="7CB3759F">
            <w:pPr>
              <w:rPr>
                <w:rFonts w:asciiTheme="minorEastAsia" w:hAnsiTheme="minorEastAsia" w:eastAsiaTheme="minorEastAsia"/>
                <w:sz w:val="18"/>
                <w:szCs w:val="18"/>
              </w:rPr>
            </w:pPr>
            <w:r>
              <w:rPr>
                <w:rFonts w:hint="eastAsia" w:asciiTheme="minorEastAsia" w:hAnsiTheme="minorEastAsia" w:eastAsiaTheme="minorEastAsia"/>
                <w:sz w:val="18"/>
                <w:szCs w:val="18"/>
              </w:rPr>
              <w:t>≥80</w:t>
            </w:r>
            <w:r>
              <w:rPr>
                <w:rFonts w:eastAsiaTheme="minorEastAsia"/>
                <w:sz w:val="18"/>
                <w:szCs w:val="18"/>
              </w:rPr>
              <w:t>%</w:t>
            </w:r>
          </w:p>
        </w:tc>
        <w:tc>
          <w:tcPr>
            <w:tcW w:w="1741" w:type="dxa"/>
            <w:tcBorders>
              <w:top w:val="single" w:color="000000" w:sz="8" w:space="0"/>
              <w:left w:val="single" w:color="000000" w:sz="4" w:space="0"/>
              <w:bottom w:val="single" w:color="000000" w:sz="4" w:space="0"/>
              <w:right w:val="single" w:color="000000" w:sz="8" w:space="0"/>
            </w:tcBorders>
            <w:vAlign w:val="center"/>
          </w:tcPr>
          <w:p w14:paraId="128ADFCA">
            <w:pPr>
              <w:rPr>
                <w:rFonts w:asciiTheme="minorEastAsia" w:hAnsiTheme="minorEastAsia" w:eastAsiaTheme="minorEastAsia"/>
                <w:sz w:val="18"/>
                <w:szCs w:val="18"/>
              </w:rPr>
            </w:pPr>
            <w:r>
              <w:rPr>
                <w:rFonts w:hint="eastAsia" w:asciiTheme="minorEastAsia" w:hAnsiTheme="minorEastAsia" w:eastAsiaTheme="minorEastAsia"/>
                <w:sz w:val="18"/>
                <w:szCs w:val="18"/>
              </w:rPr>
              <w:t>≥85</w:t>
            </w:r>
            <w:r>
              <w:rPr>
                <w:rFonts w:eastAsiaTheme="minorEastAsia"/>
                <w:sz w:val="18"/>
                <w:szCs w:val="18"/>
              </w:rPr>
              <w:t>%</w:t>
            </w:r>
          </w:p>
        </w:tc>
      </w:tr>
      <w:tr w14:paraId="4543A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47" w:type="dxa"/>
            <w:vMerge w:val="continue"/>
            <w:tcBorders>
              <w:top w:val="single" w:color="000000" w:sz="4" w:space="0"/>
              <w:left w:val="single" w:color="000000" w:sz="8" w:space="0"/>
              <w:bottom w:val="single" w:color="000000" w:sz="4" w:space="0"/>
              <w:right w:val="single" w:color="000000" w:sz="4" w:space="0"/>
            </w:tcBorders>
            <w:vAlign w:val="center"/>
          </w:tcPr>
          <w:p w14:paraId="3AA8A05B">
            <w:pPr>
              <w:rPr>
                <w:rFonts w:ascii="宋体"/>
                <w:sz w:val="18"/>
                <w:szCs w:val="18"/>
              </w:rPr>
            </w:pPr>
          </w:p>
        </w:tc>
        <w:tc>
          <w:tcPr>
            <w:tcW w:w="1949" w:type="dxa"/>
            <w:tcBorders>
              <w:top w:val="single" w:color="000000" w:sz="4" w:space="0"/>
              <w:left w:val="single" w:color="000000" w:sz="4" w:space="0"/>
              <w:bottom w:val="single" w:color="000000" w:sz="4" w:space="0"/>
              <w:right w:val="single" w:color="000000" w:sz="4" w:space="0"/>
            </w:tcBorders>
            <w:vAlign w:val="center"/>
          </w:tcPr>
          <w:p w14:paraId="5E55538F">
            <w:pPr>
              <w:rPr>
                <w:sz w:val="18"/>
                <w:szCs w:val="18"/>
              </w:rPr>
            </w:pPr>
            <w:r>
              <w:rPr>
                <w:sz w:val="18"/>
                <w:szCs w:val="18"/>
              </w:rPr>
              <w:t>Si</w:t>
            </w:r>
            <w:r>
              <w:rPr>
                <w:sz w:val="18"/>
                <w:szCs w:val="18"/>
                <w:vertAlign w:val="subscript"/>
              </w:rPr>
              <w:t>3</w:t>
            </w:r>
            <w:r>
              <w:rPr>
                <w:sz w:val="18"/>
                <w:szCs w:val="18"/>
              </w:rPr>
              <w:t>N</w:t>
            </w:r>
            <w:r>
              <w:rPr>
                <w:sz w:val="18"/>
                <w:szCs w:val="18"/>
                <w:vertAlign w:val="subscript"/>
              </w:rPr>
              <w:t>4</w:t>
            </w:r>
          </w:p>
        </w:tc>
        <w:tc>
          <w:tcPr>
            <w:tcW w:w="1083" w:type="dxa"/>
            <w:tcBorders>
              <w:top w:val="single" w:color="000000" w:sz="4" w:space="0"/>
              <w:left w:val="single" w:color="000000" w:sz="4" w:space="0"/>
              <w:bottom w:val="single" w:color="000000" w:sz="4" w:space="0"/>
              <w:right w:val="single" w:color="000000" w:sz="4" w:space="0"/>
            </w:tcBorders>
            <w:vAlign w:val="center"/>
          </w:tcPr>
          <w:p w14:paraId="14133C52">
            <w:pPr>
              <w:rPr>
                <w:sz w:val="18"/>
                <w:szCs w:val="18"/>
              </w:rPr>
            </w:pPr>
            <w:r>
              <w:rPr>
                <w:rFonts w:cstheme="minorBidi"/>
                <w:sz w:val="18"/>
                <w:szCs w:val="18"/>
              </w:rPr>
              <w:t>µ</w:t>
            </w:r>
            <w:r>
              <w:rPr>
                <w:rFonts w:cstheme="minorBidi"/>
                <w:sz w:val="18"/>
                <w:szCs w:val="18"/>
                <w:vertAlign w:val="subscript"/>
              </w:rPr>
              <w:t>0</w:t>
            </w:r>
          </w:p>
        </w:tc>
        <w:tc>
          <w:tcPr>
            <w:tcW w:w="1741" w:type="dxa"/>
            <w:tcBorders>
              <w:top w:val="single" w:color="000000" w:sz="4" w:space="0"/>
              <w:left w:val="single" w:color="000000" w:sz="4" w:space="0"/>
              <w:bottom w:val="single" w:color="000000" w:sz="4" w:space="0"/>
              <w:right w:val="single" w:color="000000" w:sz="4" w:space="0"/>
            </w:tcBorders>
            <w:vAlign w:val="center"/>
          </w:tcPr>
          <w:p w14:paraId="55602C59">
            <w:pPr>
              <w:rPr>
                <w:rFonts w:asciiTheme="minorEastAsia" w:hAnsiTheme="minorEastAsia" w:eastAsiaTheme="minorEastAsia"/>
                <w:sz w:val="18"/>
                <w:szCs w:val="18"/>
              </w:rPr>
            </w:pPr>
            <w:r>
              <w:rPr>
                <w:rFonts w:hint="eastAsia" w:asciiTheme="minorEastAsia" w:hAnsiTheme="minorEastAsia" w:eastAsiaTheme="minorEastAsia"/>
                <w:sz w:val="18"/>
                <w:szCs w:val="18"/>
              </w:rPr>
              <w:t>≥20</w:t>
            </w:r>
            <w:r>
              <w:rPr>
                <w:rFonts w:eastAsiaTheme="minorEastAsia"/>
                <w:sz w:val="18"/>
                <w:szCs w:val="18"/>
              </w:rPr>
              <w:t>%</w:t>
            </w:r>
          </w:p>
        </w:tc>
        <w:tc>
          <w:tcPr>
            <w:tcW w:w="1741" w:type="dxa"/>
            <w:tcBorders>
              <w:top w:val="single" w:color="000000" w:sz="4" w:space="0"/>
              <w:left w:val="single" w:color="000000" w:sz="4" w:space="0"/>
              <w:bottom w:val="single" w:color="000000" w:sz="4" w:space="0"/>
              <w:right w:val="single" w:color="000000" w:sz="4" w:space="0"/>
            </w:tcBorders>
            <w:vAlign w:val="center"/>
          </w:tcPr>
          <w:p w14:paraId="0F18014B">
            <w:pPr>
              <w:rPr>
                <w:rFonts w:asciiTheme="minorEastAsia" w:hAnsiTheme="minorEastAsia" w:eastAsiaTheme="minorEastAsia"/>
                <w:sz w:val="18"/>
                <w:szCs w:val="18"/>
              </w:rPr>
            </w:pPr>
            <w:r>
              <w:rPr>
                <w:rFonts w:hint="eastAsia" w:asciiTheme="minorEastAsia" w:hAnsiTheme="minorEastAsia" w:eastAsiaTheme="minorEastAsia"/>
                <w:sz w:val="18"/>
                <w:szCs w:val="18"/>
              </w:rPr>
              <w:t>—</w:t>
            </w:r>
          </w:p>
        </w:tc>
        <w:tc>
          <w:tcPr>
            <w:tcW w:w="1741" w:type="dxa"/>
            <w:tcBorders>
              <w:top w:val="single" w:color="000000" w:sz="4" w:space="0"/>
              <w:left w:val="single" w:color="000000" w:sz="4" w:space="0"/>
              <w:bottom w:val="single" w:color="000000" w:sz="4" w:space="0"/>
              <w:right w:val="single" w:color="000000" w:sz="8" w:space="0"/>
            </w:tcBorders>
            <w:vAlign w:val="center"/>
          </w:tcPr>
          <w:p w14:paraId="13F68D62">
            <w:pPr>
              <w:rPr>
                <w:rFonts w:asciiTheme="minorEastAsia" w:hAnsiTheme="minorEastAsia" w:eastAsiaTheme="minorEastAsia"/>
                <w:sz w:val="18"/>
                <w:szCs w:val="18"/>
              </w:rPr>
            </w:pPr>
            <w:r>
              <w:rPr>
                <w:rFonts w:hint="eastAsia" w:asciiTheme="minorEastAsia" w:hAnsiTheme="minorEastAsia" w:eastAsiaTheme="minorEastAsia"/>
                <w:sz w:val="18"/>
                <w:szCs w:val="18"/>
              </w:rPr>
              <w:t>—</w:t>
            </w:r>
          </w:p>
        </w:tc>
      </w:tr>
      <w:tr w14:paraId="26295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47" w:type="dxa"/>
            <w:vMerge w:val="restart"/>
            <w:tcBorders>
              <w:top w:val="single" w:color="000000" w:sz="4" w:space="0"/>
              <w:left w:val="single" w:color="000000" w:sz="8" w:space="0"/>
              <w:bottom w:val="single" w:color="000000" w:sz="8" w:space="0"/>
              <w:right w:val="single" w:color="000000" w:sz="4" w:space="0"/>
            </w:tcBorders>
            <w:vAlign w:val="center"/>
          </w:tcPr>
          <w:p w14:paraId="0172FDA6">
            <w:pPr>
              <w:rPr>
                <w:sz w:val="18"/>
                <w:szCs w:val="18"/>
              </w:rPr>
            </w:pPr>
            <w:r>
              <w:rPr>
                <w:rFonts w:hint="eastAsia"/>
                <w:sz w:val="18"/>
                <w:szCs w:val="18"/>
              </w:rPr>
              <w:t>物理性能</w:t>
            </w:r>
          </w:p>
        </w:tc>
        <w:tc>
          <w:tcPr>
            <w:tcW w:w="1949" w:type="dxa"/>
            <w:vMerge w:val="restart"/>
            <w:tcBorders>
              <w:top w:val="single" w:color="000000" w:sz="4" w:space="0"/>
              <w:left w:val="single" w:color="000000" w:sz="4" w:space="0"/>
              <w:bottom w:val="single" w:color="000000" w:sz="4" w:space="0"/>
              <w:right w:val="single" w:color="000000" w:sz="4" w:space="0"/>
            </w:tcBorders>
            <w:vAlign w:val="center"/>
          </w:tcPr>
          <w:p w14:paraId="307B2E9A">
            <w:pPr>
              <w:rPr>
                <w:sz w:val="18"/>
                <w:szCs w:val="18"/>
              </w:rPr>
            </w:pPr>
            <w:r>
              <w:rPr>
                <w:rFonts w:hint="eastAsia"/>
                <w:sz w:val="18"/>
                <w:szCs w:val="18"/>
              </w:rPr>
              <w:t>体积密度/</w:t>
            </w:r>
            <w:r>
              <w:rPr>
                <w:rFonts w:hint="eastAsia" w:ascii="宋体" w:hAnsi="宋体" w:cs="宋体"/>
                <w:sz w:val="18"/>
                <w:szCs w:val="18"/>
              </w:rPr>
              <w:t>(</w:t>
            </w:r>
            <w:r>
              <w:rPr>
                <w:rFonts w:hint="eastAsia"/>
                <w:sz w:val="18"/>
                <w:szCs w:val="18"/>
              </w:rPr>
              <w:t>g/cm</w:t>
            </w:r>
            <w:r>
              <w:rPr>
                <w:rFonts w:hint="eastAsia"/>
                <w:sz w:val="18"/>
                <w:szCs w:val="18"/>
                <w:vertAlign w:val="superscript"/>
              </w:rPr>
              <w:t>3</w:t>
            </w:r>
            <w:r>
              <w:rPr>
                <w:rFonts w:hint="eastAsia" w:ascii="宋体" w:hAnsi="宋体" w:cs="宋体"/>
                <w:sz w:val="18"/>
                <w:szCs w:val="18"/>
              </w:rPr>
              <w:t>)</w:t>
            </w:r>
          </w:p>
        </w:tc>
        <w:tc>
          <w:tcPr>
            <w:tcW w:w="1083" w:type="dxa"/>
            <w:tcBorders>
              <w:top w:val="single" w:color="000000" w:sz="4" w:space="0"/>
              <w:left w:val="single" w:color="000000" w:sz="4" w:space="0"/>
              <w:bottom w:val="single" w:color="000000" w:sz="4" w:space="0"/>
              <w:right w:val="single" w:color="000000" w:sz="4" w:space="0"/>
            </w:tcBorders>
            <w:vAlign w:val="center"/>
          </w:tcPr>
          <w:p w14:paraId="2EAB093C">
            <w:pPr>
              <w:rPr>
                <w:sz w:val="18"/>
                <w:szCs w:val="18"/>
              </w:rPr>
            </w:pPr>
            <w:r>
              <w:rPr>
                <w:rFonts w:cstheme="minorBidi"/>
                <w:sz w:val="18"/>
                <w:szCs w:val="18"/>
              </w:rPr>
              <w:t>µ</w:t>
            </w:r>
            <w:r>
              <w:rPr>
                <w:rFonts w:cstheme="minorBidi"/>
                <w:sz w:val="18"/>
                <w:szCs w:val="18"/>
                <w:vertAlign w:val="subscript"/>
              </w:rPr>
              <w:t>0</w:t>
            </w:r>
          </w:p>
        </w:tc>
        <w:tc>
          <w:tcPr>
            <w:tcW w:w="3482" w:type="dxa"/>
            <w:gridSpan w:val="2"/>
            <w:tcBorders>
              <w:top w:val="single" w:color="000000" w:sz="4" w:space="0"/>
              <w:left w:val="single" w:color="000000" w:sz="4" w:space="0"/>
              <w:bottom w:val="single" w:color="000000" w:sz="4" w:space="0"/>
              <w:right w:val="single" w:color="000000" w:sz="4" w:space="0"/>
            </w:tcBorders>
            <w:vAlign w:val="center"/>
          </w:tcPr>
          <w:p w14:paraId="702C72FF">
            <w:pPr>
              <w:rPr>
                <w:rFonts w:asciiTheme="minorEastAsia" w:hAnsiTheme="minorEastAsia" w:eastAsiaTheme="minorEastAsia"/>
                <w:sz w:val="18"/>
                <w:szCs w:val="18"/>
              </w:rPr>
            </w:pPr>
            <w:r>
              <w:rPr>
                <w:rFonts w:hint="eastAsia" w:asciiTheme="minorEastAsia" w:hAnsiTheme="minorEastAsia" w:eastAsiaTheme="minorEastAsia"/>
                <w:sz w:val="18"/>
                <w:szCs w:val="18"/>
              </w:rPr>
              <w:t>≥2.60</w:t>
            </w:r>
          </w:p>
        </w:tc>
        <w:tc>
          <w:tcPr>
            <w:tcW w:w="1741" w:type="dxa"/>
            <w:tcBorders>
              <w:top w:val="single" w:color="000000" w:sz="4" w:space="0"/>
              <w:left w:val="single" w:color="000000" w:sz="4" w:space="0"/>
              <w:bottom w:val="single" w:color="000000" w:sz="4" w:space="0"/>
              <w:right w:val="single" w:color="000000" w:sz="8" w:space="0"/>
            </w:tcBorders>
            <w:vAlign w:val="center"/>
          </w:tcPr>
          <w:p w14:paraId="6EEA95B6">
            <w:pPr>
              <w:rPr>
                <w:rFonts w:asciiTheme="minorEastAsia" w:hAnsiTheme="minorEastAsia" w:eastAsiaTheme="minorEastAsia"/>
                <w:sz w:val="18"/>
                <w:szCs w:val="18"/>
              </w:rPr>
            </w:pPr>
            <w:r>
              <w:rPr>
                <w:rFonts w:hint="eastAsia" w:asciiTheme="minorEastAsia" w:hAnsiTheme="minorEastAsia" w:eastAsiaTheme="minorEastAsia"/>
                <w:sz w:val="18"/>
                <w:szCs w:val="18"/>
              </w:rPr>
              <w:t>≥2.70</w:t>
            </w:r>
          </w:p>
        </w:tc>
      </w:tr>
      <w:tr w14:paraId="784B9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47" w:type="dxa"/>
            <w:vMerge w:val="continue"/>
            <w:tcBorders>
              <w:top w:val="single" w:color="000000" w:sz="8" w:space="0"/>
              <w:left w:val="single" w:color="000000" w:sz="8" w:space="0"/>
              <w:bottom w:val="single" w:color="000000" w:sz="8" w:space="0"/>
              <w:right w:val="single" w:color="000000" w:sz="4" w:space="0"/>
            </w:tcBorders>
            <w:vAlign w:val="center"/>
          </w:tcPr>
          <w:p w14:paraId="260490F0">
            <w:pPr>
              <w:rPr>
                <w:sz w:val="18"/>
                <w:szCs w:val="18"/>
              </w:rPr>
            </w:pPr>
          </w:p>
        </w:tc>
        <w:tc>
          <w:tcPr>
            <w:tcW w:w="1949" w:type="dxa"/>
            <w:vMerge w:val="continue"/>
            <w:tcBorders>
              <w:top w:val="single" w:color="000000" w:sz="4" w:space="0"/>
              <w:left w:val="single" w:color="000000" w:sz="4" w:space="0"/>
              <w:bottom w:val="single" w:color="000000" w:sz="4" w:space="0"/>
              <w:right w:val="single" w:color="000000" w:sz="4" w:space="0"/>
            </w:tcBorders>
            <w:vAlign w:val="center"/>
          </w:tcPr>
          <w:p w14:paraId="6D9717B1">
            <w:pPr>
              <w:rPr>
                <w:sz w:val="18"/>
                <w:szCs w:val="18"/>
              </w:rPr>
            </w:pPr>
          </w:p>
        </w:tc>
        <w:tc>
          <w:tcPr>
            <w:tcW w:w="1083" w:type="dxa"/>
            <w:tcBorders>
              <w:top w:val="single" w:color="000000" w:sz="4" w:space="0"/>
              <w:left w:val="single" w:color="000000" w:sz="4" w:space="0"/>
              <w:bottom w:val="single" w:color="000000" w:sz="4" w:space="0"/>
              <w:right w:val="single" w:color="000000" w:sz="4" w:space="0"/>
            </w:tcBorders>
            <w:vAlign w:val="center"/>
          </w:tcPr>
          <w:p w14:paraId="7EF9D01A">
            <w:pPr>
              <w:rPr>
                <w:sz w:val="18"/>
                <w:szCs w:val="18"/>
              </w:rPr>
            </w:pPr>
            <w:r>
              <w:rPr>
                <w:rFonts w:cstheme="minorBidi"/>
                <w:sz w:val="18"/>
                <w:szCs w:val="18"/>
              </w:rPr>
              <w:t>σ</w:t>
            </w:r>
          </w:p>
        </w:tc>
        <w:tc>
          <w:tcPr>
            <w:tcW w:w="5223" w:type="dxa"/>
            <w:gridSpan w:val="3"/>
            <w:tcBorders>
              <w:top w:val="single" w:color="000000" w:sz="4" w:space="0"/>
              <w:left w:val="single" w:color="000000" w:sz="4" w:space="0"/>
              <w:bottom w:val="single" w:color="000000" w:sz="4" w:space="0"/>
              <w:right w:val="single" w:color="000000" w:sz="8" w:space="0"/>
            </w:tcBorders>
            <w:vAlign w:val="center"/>
          </w:tcPr>
          <w:p w14:paraId="1A393A95">
            <w:pPr>
              <w:rPr>
                <w:rFonts w:asciiTheme="minorEastAsia" w:hAnsiTheme="minorEastAsia" w:eastAsiaTheme="minorEastAsia"/>
                <w:sz w:val="18"/>
                <w:szCs w:val="18"/>
              </w:rPr>
            </w:pPr>
            <w:r>
              <w:rPr>
                <w:rFonts w:hint="eastAsia" w:asciiTheme="minorEastAsia" w:hAnsiTheme="minorEastAsia" w:eastAsiaTheme="minorEastAsia"/>
                <w:sz w:val="18"/>
                <w:szCs w:val="18"/>
              </w:rPr>
              <w:t>0.05</w:t>
            </w:r>
          </w:p>
        </w:tc>
      </w:tr>
      <w:tr w14:paraId="66386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47" w:type="dxa"/>
            <w:vMerge w:val="continue"/>
            <w:tcBorders>
              <w:top w:val="single" w:color="000000" w:sz="8" w:space="0"/>
              <w:left w:val="single" w:color="000000" w:sz="8" w:space="0"/>
              <w:bottom w:val="single" w:color="000000" w:sz="8" w:space="0"/>
              <w:right w:val="single" w:color="000000" w:sz="4" w:space="0"/>
            </w:tcBorders>
            <w:vAlign w:val="center"/>
          </w:tcPr>
          <w:p w14:paraId="1A796235">
            <w:pPr>
              <w:rPr>
                <w:sz w:val="18"/>
                <w:szCs w:val="18"/>
              </w:rPr>
            </w:pPr>
          </w:p>
        </w:tc>
        <w:tc>
          <w:tcPr>
            <w:tcW w:w="1949" w:type="dxa"/>
            <w:vMerge w:val="restart"/>
            <w:tcBorders>
              <w:top w:val="single" w:color="000000" w:sz="4" w:space="0"/>
              <w:left w:val="single" w:color="000000" w:sz="4" w:space="0"/>
              <w:bottom w:val="single" w:color="000000" w:sz="4" w:space="0"/>
              <w:right w:val="single" w:color="000000" w:sz="4" w:space="0"/>
            </w:tcBorders>
            <w:vAlign w:val="center"/>
          </w:tcPr>
          <w:p w14:paraId="2378F767">
            <w:pPr>
              <w:rPr>
                <w:sz w:val="18"/>
                <w:szCs w:val="18"/>
              </w:rPr>
            </w:pPr>
            <w:r>
              <w:rPr>
                <w:rFonts w:hint="eastAsia"/>
                <w:sz w:val="18"/>
                <w:szCs w:val="18"/>
              </w:rPr>
              <w:t>常温耐压强度</w:t>
            </w:r>
            <w:r>
              <w:rPr>
                <w:sz w:val="18"/>
                <w:szCs w:val="18"/>
              </w:rPr>
              <w:t>/MPa</w:t>
            </w:r>
          </w:p>
        </w:tc>
        <w:tc>
          <w:tcPr>
            <w:tcW w:w="1083" w:type="dxa"/>
            <w:tcBorders>
              <w:top w:val="single" w:color="000000" w:sz="4" w:space="0"/>
              <w:left w:val="single" w:color="000000" w:sz="4" w:space="0"/>
              <w:bottom w:val="single" w:color="000000" w:sz="4" w:space="0"/>
              <w:right w:val="single" w:color="000000" w:sz="4" w:space="0"/>
            </w:tcBorders>
            <w:vAlign w:val="center"/>
          </w:tcPr>
          <w:p w14:paraId="4305A91C">
            <w:pPr>
              <w:rPr>
                <w:rFonts w:hAnsi="宋体" w:cs="宋体"/>
                <w:sz w:val="18"/>
                <w:szCs w:val="18"/>
              </w:rPr>
            </w:pPr>
            <w:r>
              <w:rPr>
                <w:rFonts w:cstheme="minorBidi"/>
                <w:sz w:val="18"/>
                <w:szCs w:val="18"/>
              </w:rPr>
              <w:t>µ</w:t>
            </w:r>
            <w:r>
              <w:rPr>
                <w:rFonts w:cstheme="minorBidi"/>
                <w:sz w:val="18"/>
                <w:szCs w:val="18"/>
                <w:vertAlign w:val="subscript"/>
              </w:rPr>
              <w:t>0</w:t>
            </w:r>
          </w:p>
        </w:tc>
        <w:tc>
          <w:tcPr>
            <w:tcW w:w="1741" w:type="dxa"/>
            <w:tcBorders>
              <w:top w:val="single" w:color="000000" w:sz="4" w:space="0"/>
              <w:left w:val="single" w:color="000000" w:sz="4" w:space="0"/>
              <w:bottom w:val="single" w:color="000000" w:sz="4" w:space="0"/>
              <w:right w:val="single" w:color="000000" w:sz="4" w:space="0"/>
            </w:tcBorders>
            <w:vAlign w:val="center"/>
          </w:tcPr>
          <w:p w14:paraId="738496C4">
            <w:pPr>
              <w:rPr>
                <w:rFonts w:asciiTheme="minorEastAsia" w:hAnsiTheme="minorEastAsia" w:eastAsiaTheme="minorEastAsia"/>
                <w:sz w:val="18"/>
                <w:szCs w:val="18"/>
              </w:rPr>
            </w:pPr>
            <w:r>
              <w:rPr>
                <w:rFonts w:hint="eastAsia" w:asciiTheme="minorEastAsia" w:hAnsiTheme="minorEastAsia" w:eastAsiaTheme="minorEastAsia"/>
                <w:sz w:val="18"/>
                <w:szCs w:val="18"/>
              </w:rPr>
              <w:t>≥13</w:t>
            </w:r>
            <w:r>
              <w:rPr>
                <w:rFonts w:asciiTheme="minorEastAsia" w:hAnsiTheme="minorEastAsia" w:eastAsiaTheme="minorEastAsia"/>
                <w:sz w:val="18"/>
                <w:szCs w:val="18"/>
              </w:rPr>
              <w:t>0</w:t>
            </w:r>
          </w:p>
        </w:tc>
        <w:tc>
          <w:tcPr>
            <w:tcW w:w="1741" w:type="dxa"/>
            <w:tcBorders>
              <w:top w:val="single" w:color="000000" w:sz="4" w:space="0"/>
              <w:left w:val="single" w:color="000000" w:sz="4" w:space="0"/>
              <w:bottom w:val="single" w:color="000000" w:sz="4" w:space="0"/>
              <w:right w:val="single" w:color="000000" w:sz="4" w:space="0"/>
            </w:tcBorders>
            <w:vAlign w:val="center"/>
          </w:tcPr>
          <w:p w14:paraId="0E432FA3">
            <w:pPr>
              <w:rPr>
                <w:rFonts w:asciiTheme="minorEastAsia" w:hAnsiTheme="minorEastAsia" w:eastAsiaTheme="minorEastAsia"/>
                <w:sz w:val="18"/>
                <w:szCs w:val="18"/>
              </w:rPr>
            </w:pPr>
            <w:r>
              <w:rPr>
                <w:rFonts w:hint="eastAsia" w:asciiTheme="minorEastAsia" w:hAnsiTheme="minorEastAsia" w:eastAsiaTheme="minorEastAsia"/>
                <w:sz w:val="18"/>
                <w:szCs w:val="18"/>
              </w:rPr>
              <w:t>≥10</w:t>
            </w:r>
            <w:r>
              <w:rPr>
                <w:rFonts w:asciiTheme="minorEastAsia" w:hAnsiTheme="minorEastAsia" w:eastAsiaTheme="minorEastAsia"/>
                <w:sz w:val="18"/>
                <w:szCs w:val="18"/>
              </w:rPr>
              <w:t>0</w:t>
            </w:r>
          </w:p>
        </w:tc>
        <w:tc>
          <w:tcPr>
            <w:tcW w:w="1741" w:type="dxa"/>
            <w:tcBorders>
              <w:top w:val="single" w:color="000000" w:sz="4" w:space="0"/>
              <w:left w:val="single" w:color="000000" w:sz="4" w:space="0"/>
              <w:bottom w:val="single" w:color="000000" w:sz="4" w:space="0"/>
              <w:right w:val="single" w:color="000000" w:sz="8" w:space="0"/>
            </w:tcBorders>
            <w:vAlign w:val="center"/>
          </w:tcPr>
          <w:p w14:paraId="5FEC7EE9">
            <w:pPr>
              <w:rPr>
                <w:rFonts w:asciiTheme="minorEastAsia" w:hAnsiTheme="minorEastAsia" w:eastAsiaTheme="minorEastAsia"/>
                <w:sz w:val="18"/>
                <w:szCs w:val="18"/>
              </w:rPr>
            </w:pPr>
            <w:bookmarkStart w:id="56" w:name="_GoBack"/>
            <w:bookmarkEnd w:id="56"/>
            <w:r>
              <w:rPr>
                <w:rFonts w:hint="eastAsia" w:asciiTheme="minorEastAsia" w:hAnsiTheme="minorEastAsia" w:eastAsiaTheme="minorEastAsia"/>
                <w:sz w:val="18"/>
                <w:szCs w:val="18"/>
              </w:rPr>
              <w:t>≥260</w:t>
            </w:r>
          </w:p>
        </w:tc>
      </w:tr>
      <w:tr w14:paraId="70C26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47" w:type="dxa"/>
            <w:vMerge w:val="continue"/>
            <w:tcBorders>
              <w:top w:val="single" w:color="000000" w:sz="8" w:space="0"/>
              <w:left w:val="single" w:color="000000" w:sz="8" w:space="0"/>
              <w:bottom w:val="single" w:color="000000" w:sz="8" w:space="0"/>
              <w:right w:val="single" w:color="000000" w:sz="4" w:space="0"/>
            </w:tcBorders>
            <w:vAlign w:val="center"/>
          </w:tcPr>
          <w:p w14:paraId="22BEC9CA">
            <w:pPr>
              <w:rPr>
                <w:sz w:val="18"/>
                <w:szCs w:val="18"/>
              </w:rPr>
            </w:pPr>
          </w:p>
        </w:tc>
        <w:tc>
          <w:tcPr>
            <w:tcW w:w="1949" w:type="dxa"/>
            <w:vMerge w:val="continue"/>
            <w:tcBorders>
              <w:top w:val="single" w:color="000000" w:sz="4" w:space="0"/>
              <w:left w:val="single" w:color="000000" w:sz="4" w:space="0"/>
              <w:bottom w:val="single" w:color="000000" w:sz="4" w:space="0"/>
              <w:right w:val="single" w:color="000000" w:sz="4" w:space="0"/>
            </w:tcBorders>
            <w:vAlign w:val="center"/>
          </w:tcPr>
          <w:p w14:paraId="3A6B69FB">
            <w:pPr>
              <w:rPr>
                <w:sz w:val="18"/>
                <w:szCs w:val="18"/>
              </w:rPr>
            </w:pPr>
          </w:p>
        </w:tc>
        <w:tc>
          <w:tcPr>
            <w:tcW w:w="1083" w:type="dxa"/>
            <w:tcBorders>
              <w:top w:val="single" w:color="000000" w:sz="4" w:space="0"/>
              <w:left w:val="single" w:color="000000" w:sz="4" w:space="0"/>
              <w:bottom w:val="single" w:color="000000" w:sz="4" w:space="0"/>
              <w:right w:val="single" w:color="000000" w:sz="4" w:space="0"/>
            </w:tcBorders>
            <w:vAlign w:val="center"/>
          </w:tcPr>
          <w:p w14:paraId="3398A05F">
            <w:pPr>
              <w:rPr>
                <w:sz w:val="18"/>
                <w:szCs w:val="18"/>
              </w:rPr>
            </w:pPr>
            <w:r>
              <w:rPr>
                <w:rFonts w:cstheme="minorBidi"/>
                <w:sz w:val="18"/>
                <w:szCs w:val="18"/>
              </w:rPr>
              <w:t>σ</w:t>
            </w:r>
          </w:p>
        </w:tc>
        <w:tc>
          <w:tcPr>
            <w:tcW w:w="5223" w:type="dxa"/>
            <w:gridSpan w:val="3"/>
            <w:tcBorders>
              <w:top w:val="single" w:color="000000" w:sz="4" w:space="0"/>
              <w:left w:val="single" w:color="000000" w:sz="4" w:space="0"/>
              <w:bottom w:val="single" w:color="000000" w:sz="4" w:space="0"/>
              <w:right w:val="single" w:color="000000" w:sz="8" w:space="0"/>
            </w:tcBorders>
            <w:vAlign w:val="center"/>
          </w:tcPr>
          <w:p w14:paraId="3E116601">
            <w:pPr>
              <w:rPr>
                <w:rFonts w:asciiTheme="minorEastAsia" w:hAnsiTheme="minorEastAsia" w:eastAsiaTheme="minorEastAsia"/>
                <w:sz w:val="18"/>
                <w:szCs w:val="18"/>
              </w:rPr>
            </w:pPr>
            <w:r>
              <w:rPr>
                <w:rFonts w:hint="eastAsia" w:asciiTheme="minorEastAsia" w:hAnsiTheme="minorEastAsia" w:eastAsiaTheme="minorEastAsia"/>
                <w:sz w:val="18"/>
                <w:szCs w:val="18"/>
              </w:rPr>
              <w:t>10</w:t>
            </w:r>
          </w:p>
        </w:tc>
      </w:tr>
      <w:tr w14:paraId="25D2C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47" w:type="dxa"/>
            <w:vMerge w:val="continue"/>
            <w:tcBorders>
              <w:top w:val="single" w:color="000000" w:sz="8" w:space="0"/>
              <w:left w:val="single" w:color="000000" w:sz="8" w:space="0"/>
              <w:bottom w:val="single" w:color="000000" w:sz="8" w:space="0"/>
              <w:right w:val="single" w:color="000000" w:sz="4" w:space="0"/>
            </w:tcBorders>
            <w:vAlign w:val="center"/>
          </w:tcPr>
          <w:p w14:paraId="1AB25983">
            <w:pPr>
              <w:rPr>
                <w:sz w:val="18"/>
                <w:szCs w:val="18"/>
              </w:rPr>
            </w:pPr>
          </w:p>
        </w:tc>
        <w:tc>
          <w:tcPr>
            <w:tcW w:w="1949" w:type="dxa"/>
            <w:vMerge w:val="restart"/>
            <w:tcBorders>
              <w:top w:val="single" w:color="000000" w:sz="4" w:space="0"/>
              <w:left w:val="single" w:color="000000" w:sz="4" w:space="0"/>
              <w:bottom w:val="single" w:color="000000" w:sz="4" w:space="0"/>
              <w:right w:val="single" w:color="000000" w:sz="4" w:space="0"/>
            </w:tcBorders>
            <w:vAlign w:val="center"/>
          </w:tcPr>
          <w:p w14:paraId="23FBA6C4">
            <w:pPr>
              <w:rPr>
                <w:sz w:val="18"/>
                <w:szCs w:val="18"/>
              </w:rPr>
            </w:pPr>
            <w:r>
              <w:rPr>
                <w:rFonts w:hint="eastAsia"/>
                <w:sz w:val="18"/>
                <w:szCs w:val="18"/>
              </w:rPr>
              <w:t>常温抗折强度</w:t>
            </w:r>
            <w:r>
              <w:rPr>
                <w:sz w:val="18"/>
                <w:szCs w:val="18"/>
              </w:rPr>
              <w:t>/MPa</w:t>
            </w:r>
          </w:p>
        </w:tc>
        <w:tc>
          <w:tcPr>
            <w:tcW w:w="1083" w:type="dxa"/>
            <w:tcBorders>
              <w:top w:val="single" w:color="000000" w:sz="4" w:space="0"/>
              <w:left w:val="single" w:color="000000" w:sz="4" w:space="0"/>
              <w:bottom w:val="single" w:color="000000" w:sz="4" w:space="0"/>
              <w:right w:val="single" w:color="000000" w:sz="4" w:space="0"/>
            </w:tcBorders>
            <w:vAlign w:val="center"/>
          </w:tcPr>
          <w:p w14:paraId="067CDC05">
            <w:pPr>
              <w:rPr>
                <w:sz w:val="18"/>
                <w:szCs w:val="18"/>
              </w:rPr>
            </w:pPr>
            <w:r>
              <w:rPr>
                <w:rFonts w:cstheme="minorBidi"/>
                <w:sz w:val="18"/>
                <w:szCs w:val="18"/>
              </w:rPr>
              <w:t>µ</w:t>
            </w:r>
            <w:r>
              <w:rPr>
                <w:rFonts w:cstheme="minorBidi"/>
                <w:sz w:val="18"/>
                <w:szCs w:val="18"/>
                <w:vertAlign w:val="subscript"/>
              </w:rPr>
              <w:t>0</w:t>
            </w:r>
          </w:p>
        </w:tc>
        <w:tc>
          <w:tcPr>
            <w:tcW w:w="1741" w:type="dxa"/>
            <w:tcBorders>
              <w:top w:val="single" w:color="000000" w:sz="4" w:space="0"/>
              <w:left w:val="single" w:color="000000" w:sz="4" w:space="0"/>
              <w:bottom w:val="single" w:color="000000" w:sz="4" w:space="0"/>
              <w:right w:val="single" w:color="000000" w:sz="4" w:space="0"/>
            </w:tcBorders>
            <w:vAlign w:val="center"/>
          </w:tcPr>
          <w:p w14:paraId="3FB5171F">
            <w:pPr>
              <w:rPr>
                <w:rFonts w:asciiTheme="minorEastAsia" w:hAnsiTheme="minorEastAsia" w:eastAsiaTheme="minorEastAsia"/>
                <w:sz w:val="18"/>
                <w:szCs w:val="18"/>
              </w:rPr>
            </w:pPr>
            <w:r>
              <w:rPr>
                <w:rFonts w:hint="eastAsia" w:asciiTheme="minorEastAsia" w:hAnsiTheme="minorEastAsia" w:eastAsiaTheme="minorEastAsia"/>
                <w:sz w:val="18"/>
                <w:szCs w:val="18"/>
              </w:rPr>
              <w:t>≥30</w:t>
            </w:r>
          </w:p>
        </w:tc>
        <w:tc>
          <w:tcPr>
            <w:tcW w:w="1741" w:type="dxa"/>
            <w:tcBorders>
              <w:top w:val="single" w:color="000000" w:sz="4" w:space="0"/>
              <w:left w:val="single" w:color="000000" w:sz="4" w:space="0"/>
              <w:bottom w:val="single" w:color="000000" w:sz="4" w:space="0"/>
              <w:right w:val="single" w:color="000000" w:sz="4" w:space="0"/>
            </w:tcBorders>
            <w:vAlign w:val="center"/>
          </w:tcPr>
          <w:p w14:paraId="1B52E606">
            <w:pPr>
              <w:rPr>
                <w:rFonts w:asciiTheme="minorEastAsia" w:hAnsiTheme="minorEastAsia" w:eastAsiaTheme="minorEastAsia"/>
                <w:sz w:val="18"/>
                <w:szCs w:val="18"/>
              </w:rPr>
            </w:pPr>
            <w:r>
              <w:rPr>
                <w:rFonts w:hint="eastAsia" w:asciiTheme="minorEastAsia" w:hAnsiTheme="minorEastAsia" w:eastAsiaTheme="minorEastAsia"/>
                <w:sz w:val="18"/>
                <w:szCs w:val="18"/>
              </w:rPr>
              <w:t>≥20</w:t>
            </w:r>
          </w:p>
        </w:tc>
        <w:tc>
          <w:tcPr>
            <w:tcW w:w="1741" w:type="dxa"/>
            <w:tcBorders>
              <w:top w:val="single" w:color="000000" w:sz="4" w:space="0"/>
              <w:left w:val="single" w:color="000000" w:sz="4" w:space="0"/>
              <w:bottom w:val="single" w:color="000000" w:sz="4" w:space="0"/>
              <w:right w:val="single" w:color="000000" w:sz="8" w:space="0"/>
            </w:tcBorders>
            <w:vAlign w:val="center"/>
          </w:tcPr>
          <w:p w14:paraId="44511407">
            <w:pPr>
              <w:rPr>
                <w:rFonts w:asciiTheme="minorEastAsia" w:hAnsiTheme="minorEastAsia" w:eastAsiaTheme="minorEastAsia"/>
                <w:sz w:val="18"/>
                <w:szCs w:val="18"/>
              </w:rPr>
            </w:pPr>
            <w:r>
              <w:rPr>
                <w:rFonts w:hint="eastAsia" w:asciiTheme="minorEastAsia" w:hAnsiTheme="minorEastAsia" w:eastAsiaTheme="minorEastAsia"/>
                <w:sz w:val="18"/>
                <w:szCs w:val="18"/>
              </w:rPr>
              <w:t>≥60</w:t>
            </w:r>
          </w:p>
        </w:tc>
      </w:tr>
      <w:tr w14:paraId="77C45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47" w:type="dxa"/>
            <w:vMerge w:val="continue"/>
            <w:tcBorders>
              <w:top w:val="single" w:color="000000" w:sz="8" w:space="0"/>
              <w:left w:val="single" w:color="000000" w:sz="8" w:space="0"/>
              <w:bottom w:val="single" w:color="000000" w:sz="8" w:space="0"/>
              <w:right w:val="single" w:color="000000" w:sz="4" w:space="0"/>
            </w:tcBorders>
            <w:vAlign w:val="center"/>
          </w:tcPr>
          <w:p w14:paraId="053BBAAB">
            <w:pPr>
              <w:rPr>
                <w:sz w:val="18"/>
                <w:szCs w:val="18"/>
              </w:rPr>
            </w:pPr>
          </w:p>
        </w:tc>
        <w:tc>
          <w:tcPr>
            <w:tcW w:w="1949" w:type="dxa"/>
            <w:vMerge w:val="continue"/>
            <w:tcBorders>
              <w:top w:val="single" w:color="000000" w:sz="4" w:space="0"/>
              <w:left w:val="single" w:color="000000" w:sz="4" w:space="0"/>
              <w:bottom w:val="single" w:color="000000" w:sz="4" w:space="0"/>
              <w:right w:val="single" w:color="000000" w:sz="4" w:space="0"/>
            </w:tcBorders>
            <w:vAlign w:val="center"/>
          </w:tcPr>
          <w:p w14:paraId="34EC615B">
            <w:pPr>
              <w:rPr>
                <w:sz w:val="18"/>
                <w:szCs w:val="18"/>
              </w:rPr>
            </w:pPr>
          </w:p>
        </w:tc>
        <w:tc>
          <w:tcPr>
            <w:tcW w:w="1083" w:type="dxa"/>
            <w:tcBorders>
              <w:top w:val="single" w:color="000000" w:sz="4" w:space="0"/>
              <w:left w:val="single" w:color="000000" w:sz="4" w:space="0"/>
              <w:bottom w:val="single" w:color="000000" w:sz="4" w:space="0"/>
              <w:right w:val="single" w:color="000000" w:sz="4" w:space="0"/>
            </w:tcBorders>
            <w:vAlign w:val="center"/>
          </w:tcPr>
          <w:p w14:paraId="43FDE7AB">
            <w:pPr>
              <w:rPr>
                <w:sz w:val="18"/>
                <w:szCs w:val="18"/>
              </w:rPr>
            </w:pPr>
            <w:r>
              <w:rPr>
                <w:rFonts w:cstheme="minorBidi"/>
                <w:sz w:val="18"/>
                <w:szCs w:val="18"/>
              </w:rPr>
              <w:t>σ</w:t>
            </w:r>
          </w:p>
        </w:tc>
        <w:tc>
          <w:tcPr>
            <w:tcW w:w="1741" w:type="dxa"/>
            <w:tcBorders>
              <w:top w:val="single" w:color="000000" w:sz="4" w:space="0"/>
              <w:left w:val="single" w:color="000000" w:sz="4" w:space="0"/>
              <w:bottom w:val="single" w:color="000000" w:sz="4" w:space="0"/>
              <w:right w:val="single" w:color="000000" w:sz="4" w:space="0"/>
            </w:tcBorders>
            <w:vAlign w:val="center"/>
          </w:tcPr>
          <w:p w14:paraId="0C929DC3">
            <w:pPr>
              <w:rPr>
                <w:rFonts w:asciiTheme="minorEastAsia" w:hAnsiTheme="minorEastAsia" w:eastAsiaTheme="minorEastAsia"/>
                <w:sz w:val="18"/>
                <w:szCs w:val="18"/>
              </w:rPr>
            </w:pPr>
            <w:r>
              <w:rPr>
                <w:rFonts w:hint="eastAsia" w:asciiTheme="minorEastAsia" w:hAnsiTheme="minorEastAsia" w:eastAsiaTheme="minorEastAsia"/>
                <w:sz w:val="18"/>
                <w:szCs w:val="18"/>
              </w:rPr>
              <w:t>3</w:t>
            </w:r>
          </w:p>
        </w:tc>
        <w:tc>
          <w:tcPr>
            <w:tcW w:w="1741" w:type="dxa"/>
            <w:tcBorders>
              <w:top w:val="single" w:color="000000" w:sz="4" w:space="0"/>
              <w:left w:val="single" w:color="000000" w:sz="4" w:space="0"/>
              <w:bottom w:val="single" w:color="000000" w:sz="4" w:space="0"/>
              <w:right w:val="single" w:color="000000" w:sz="4" w:space="0"/>
            </w:tcBorders>
            <w:vAlign w:val="center"/>
          </w:tcPr>
          <w:p w14:paraId="3B75E6EE">
            <w:pPr>
              <w:rPr>
                <w:rFonts w:asciiTheme="minorEastAsia" w:hAnsiTheme="minorEastAsia" w:eastAsiaTheme="minorEastAsia"/>
                <w:sz w:val="18"/>
                <w:szCs w:val="18"/>
              </w:rPr>
            </w:pPr>
            <w:r>
              <w:rPr>
                <w:rFonts w:hint="eastAsia" w:asciiTheme="minorEastAsia" w:hAnsiTheme="minorEastAsia" w:eastAsiaTheme="minorEastAsia"/>
                <w:sz w:val="18"/>
                <w:szCs w:val="18"/>
              </w:rPr>
              <w:t>2</w:t>
            </w:r>
          </w:p>
        </w:tc>
        <w:tc>
          <w:tcPr>
            <w:tcW w:w="1741" w:type="dxa"/>
            <w:tcBorders>
              <w:top w:val="single" w:color="000000" w:sz="4" w:space="0"/>
              <w:left w:val="single" w:color="000000" w:sz="4" w:space="0"/>
              <w:bottom w:val="single" w:color="000000" w:sz="4" w:space="0"/>
              <w:right w:val="single" w:color="000000" w:sz="8" w:space="0"/>
            </w:tcBorders>
            <w:vAlign w:val="center"/>
          </w:tcPr>
          <w:p w14:paraId="600C85DB">
            <w:pPr>
              <w:rPr>
                <w:rFonts w:asciiTheme="minorEastAsia" w:hAnsiTheme="minorEastAsia" w:eastAsiaTheme="minorEastAsia"/>
                <w:sz w:val="18"/>
                <w:szCs w:val="18"/>
              </w:rPr>
            </w:pPr>
            <w:r>
              <w:rPr>
                <w:rFonts w:hint="eastAsia" w:asciiTheme="minorEastAsia" w:hAnsiTheme="minorEastAsia" w:eastAsiaTheme="minorEastAsia"/>
                <w:sz w:val="18"/>
                <w:szCs w:val="18"/>
              </w:rPr>
              <w:t>5</w:t>
            </w:r>
          </w:p>
        </w:tc>
      </w:tr>
      <w:tr w14:paraId="6E15E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47" w:type="dxa"/>
            <w:vMerge w:val="continue"/>
            <w:tcBorders>
              <w:top w:val="single" w:color="000000" w:sz="8" w:space="0"/>
              <w:left w:val="single" w:color="000000" w:sz="8" w:space="0"/>
              <w:bottom w:val="single" w:color="000000" w:sz="8" w:space="0"/>
              <w:right w:val="single" w:color="000000" w:sz="4" w:space="0"/>
            </w:tcBorders>
            <w:vAlign w:val="center"/>
          </w:tcPr>
          <w:p w14:paraId="567458DA">
            <w:pPr>
              <w:rPr>
                <w:sz w:val="18"/>
                <w:szCs w:val="18"/>
              </w:rPr>
            </w:pPr>
          </w:p>
        </w:tc>
        <w:tc>
          <w:tcPr>
            <w:tcW w:w="1949" w:type="dxa"/>
            <w:tcBorders>
              <w:top w:val="single" w:color="000000" w:sz="4" w:space="0"/>
              <w:left w:val="single" w:color="000000" w:sz="4" w:space="0"/>
              <w:bottom w:val="single" w:color="000000" w:sz="8" w:space="0"/>
              <w:right w:val="single" w:color="000000" w:sz="4" w:space="0"/>
            </w:tcBorders>
            <w:vAlign w:val="center"/>
          </w:tcPr>
          <w:p w14:paraId="73D24FDD">
            <w:pPr>
              <w:rPr>
                <w:sz w:val="18"/>
                <w:szCs w:val="18"/>
              </w:rPr>
            </w:pPr>
            <w:r>
              <w:rPr>
                <w:rFonts w:hint="eastAsia"/>
                <w:sz w:val="18"/>
                <w:szCs w:val="18"/>
              </w:rPr>
              <w:t>常温耐磨性</w:t>
            </w:r>
            <w:r>
              <w:rPr>
                <w:sz w:val="18"/>
                <w:szCs w:val="18"/>
              </w:rPr>
              <w:t>/cm</w:t>
            </w:r>
            <w:r>
              <w:rPr>
                <w:sz w:val="18"/>
                <w:szCs w:val="18"/>
                <w:vertAlign w:val="superscript"/>
              </w:rPr>
              <w:t>3</w:t>
            </w:r>
          </w:p>
        </w:tc>
        <w:tc>
          <w:tcPr>
            <w:tcW w:w="1083" w:type="dxa"/>
            <w:tcBorders>
              <w:top w:val="single" w:color="000000" w:sz="4" w:space="0"/>
              <w:left w:val="single" w:color="000000" w:sz="4" w:space="0"/>
              <w:bottom w:val="single" w:color="000000" w:sz="8" w:space="0"/>
              <w:right w:val="single" w:color="000000" w:sz="4" w:space="0"/>
            </w:tcBorders>
            <w:vAlign w:val="center"/>
          </w:tcPr>
          <w:p w14:paraId="09642323">
            <w:pPr>
              <w:rPr>
                <w:sz w:val="18"/>
                <w:szCs w:val="18"/>
              </w:rPr>
            </w:pPr>
            <w:r>
              <w:rPr>
                <w:rFonts w:cstheme="minorBidi"/>
                <w:sz w:val="18"/>
                <w:szCs w:val="18"/>
              </w:rPr>
              <w:t>µ</w:t>
            </w:r>
            <w:r>
              <w:rPr>
                <w:rFonts w:cstheme="minorBidi"/>
                <w:sz w:val="18"/>
                <w:szCs w:val="18"/>
                <w:vertAlign w:val="subscript"/>
              </w:rPr>
              <w:t>0</w:t>
            </w:r>
          </w:p>
        </w:tc>
        <w:tc>
          <w:tcPr>
            <w:tcW w:w="1741" w:type="dxa"/>
            <w:tcBorders>
              <w:top w:val="single" w:color="000000" w:sz="4" w:space="0"/>
              <w:left w:val="single" w:color="000000" w:sz="4" w:space="0"/>
              <w:bottom w:val="single" w:color="000000" w:sz="8" w:space="0"/>
              <w:right w:val="single" w:color="000000" w:sz="4" w:space="0"/>
            </w:tcBorders>
            <w:vAlign w:val="center"/>
          </w:tcPr>
          <w:p w14:paraId="35488BA9">
            <w:pPr>
              <w:rPr>
                <w:rFonts w:asciiTheme="minorEastAsia" w:hAnsiTheme="minorEastAsia" w:eastAsiaTheme="minorEastAsia"/>
                <w:sz w:val="18"/>
                <w:szCs w:val="18"/>
              </w:rPr>
            </w:pPr>
            <w:r>
              <w:rPr>
                <w:rFonts w:hint="eastAsia" w:asciiTheme="minorEastAsia" w:hAnsiTheme="minorEastAsia" w:eastAsiaTheme="minorEastAsia"/>
                <w:sz w:val="18"/>
                <w:szCs w:val="18"/>
              </w:rPr>
              <w:t>≤3.8</w:t>
            </w:r>
          </w:p>
        </w:tc>
        <w:tc>
          <w:tcPr>
            <w:tcW w:w="1741" w:type="dxa"/>
            <w:tcBorders>
              <w:top w:val="single" w:color="000000" w:sz="4" w:space="0"/>
              <w:left w:val="single" w:color="000000" w:sz="4" w:space="0"/>
              <w:bottom w:val="single" w:color="000000" w:sz="8" w:space="0"/>
              <w:right w:val="single" w:color="000000" w:sz="4" w:space="0"/>
            </w:tcBorders>
            <w:vAlign w:val="center"/>
          </w:tcPr>
          <w:p w14:paraId="7E578793">
            <w:pPr>
              <w:rPr>
                <w:rFonts w:asciiTheme="minorEastAsia" w:hAnsiTheme="minorEastAsia" w:eastAsiaTheme="minorEastAsia"/>
                <w:sz w:val="18"/>
                <w:szCs w:val="18"/>
              </w:rPr>
            </w:pPr>
            <w:r>
              <w:rPr>
                <w:rFonts w:hint="eastAsia" w:asciiTheme="minorEastAsia" w:hAnsiTheme="minorEastAsia" w:eastAsiaTheme="minorEastAsia"/>
                <w:sz w:val="18"/>
                <w:szCs w:val="18"/>
              </w:rPr>
              <w:t>≤4.0</w:t>
            </w:r>
          </w:p>
        </w:tc>
        <w:tc>
          <w:tcPr>
            <w:tcW w:w="1741" w:type="dxa"/>
            <w:tcBorders>
              <w:top w:val="single" w:color="000000" w:sz="4" w:space="0"/>
              <w:left w:val="single" w:color="000000" w:sz="4" w:space="0"/>
              <w:bottom w:val="single" w:color="000000" w:sz="8" w:space="0"/>
              <w:right w:val="single" w:color="000000" w:sz="8" w:space="0"/>
            </w:tcBorders>
            <w:vAlign w:val="center"/>
          </w:tcPr>
          <w:p w14:paraId="71AB791E">
            <w:pPr>
              <w:rPr>
                <w:rFonts w:asciiTheme="minorEastAsia" w:hAnsiTheme="minorEastAsia" w:eastAsiaTheme="minorEastAsia"/>
                <w:sz w:val="18"/>
                <w:szCs w:val="18"/>
              </w:rPr>
            </w:pPr>
            <w:r>
              <w:rPr>
                <w:rFonts w:hint="eastAsia" w:asciiTheme="minorEastAsia" w:hAnsiTheme="minorEastAsia" w:eastAsiaTheme="minorEastAsia"/>
                <w:sz w:val="18"/>
                <w:szCs w:val="18"/>
              </w:rPr>
              <w:t>≤0.1</w:t>
            </w:r>
          </w:p>
        </w:tc>
      </w:tr>
    </w:tbl>
    <w:p w14:paraId="00263986">
      <w:pPr>
        <w:spacing w:line="360" w:lineRule="auto"/>
        <w:jc w:val="left"/>
      </w:pPr>
      <w:r>
        <w:rPr>
          <w:rFonts w:hint="eastAsia" w:ascii="黑体" w:hAnsi="黑体" w:eastAsia="黑体" w:cs="黑体"/>
        </w:rPr>
        <w:t>5.2</w:t>
      </w:r>
      <w:r>
        <w:rPr>
          <w:rFonts w:hint="eastAsia"/>
        </w:rPr>
        <w:t xml:space="preserve"> </w:t>
      </w:r>
      <w:r>
        <w:rPr>
          <w:rFonts w:hint="eastAsia" w:hAnsi="宋体"/>
          <w:kern w:val="2"/>
        </w:rPr>
        <w:t>制品的尺寸允许偏差、外观质量及断面检查应符合表</w:t>
      </w:r>
      <w:r>
        <w:rPr>
          <w:rFonts w:hint="eastAsia" w:ascii="宋体" w:hAnsi="宋体" w:cs="宋体"/>
          <w:kern w:val="2"/>
        </w:rPr>
        <w:t>2</w:t>
      </w:r>
      <w:r>
        <w:rPr>
          <w:rFonts w:hint="eastAsia" w:hAnsi="宋体"/>
          <w:kern w:val="2"/>
        </w:rPr>
        <w:t>的规定，有特殊要求的由供需方商定。</w:t>
      </w:r>
    </w:p>
    <w:p w14:paraId="559F3FD2">
      <w:pPr>
        <w:widowControl/>
        <w:spacing w:before="156" w:beforeLines="50" w:after="156" w:afterLines="50"/>
        <w:outlineLvl w:val="2"/>
        <w:rPr>
          <w:rFonts w:ascii="黑体" w:hAnsi="黑体" w:eastAsia="黑体"/>
          <w:kern w:val="2"/>
          <w:szCs w:val="22"/>
        </w:rPr>
      </w:pPr>
      <w:r>
        <w:rPr>
          <w:rFonts w:hint="eastAsia" w:ascii="黑体" w:hAnsi="黑体" w:eastAsia="黑体"/>
          <w:kern w:val="2"/>
          <w:szCs w:val="22"/>
        </w:rPr>
        <w:t>表2 制品的尺寸允许偏差、外观质量及断面</w:t>
      </w:r>
    </w:p>
    <w:p w14:paraId="328664FB">
      <w:pPr>
        <w:rPr>
          <w:rFonts w:ascii="黑体" w:hAnsi="黑体" w:eastAsia="黑体"/>
          <w:sz w:val="18"/>
          <w:szCs w:val="18"/>
        </w:rPr>
      </w:pPr>
      <w:r>
        <w:rPr>
          <w:rFonts w:hint="eastAsia"/>
        </w:rPr>
        <w:t xml:space="preserve">                                                                              </w:t>
      </w:r>
      <w:r>
        <w:rPr>
          <w:rFonts w:hint="eastAsia" w:ascii="黑体" w:hAnsi="黑体" w:eastAsia="黑体"/>
          <w:sz w:val="18"/>
          <w:szCs w:val="18"/>
        </w:rPr>
        <w:t xml:space="preserve"> </w:t>
      </w:r>
      <w:r>
        <w:rPr>
          <w:rFonts w:hint="eastAsia" w:ascii="宋体" w:hAnsi="宋体" w:cs="宋体"/>
          <w:sz w:val="18"/>
          <w:szCs w:val="18"/>
        </w:rPr>
        <w:t>单位为毫米</w:t>
      </w:r>
    </w:p>
    <w:tbl>
      <w:tblPr>
        <w:tblStyle w:val="68"/>
        <w:tblW w:w="9255" w:type="dxa"/>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14" w:type="dxa"/>
          <w:left w:w="189" w:type="dxa"/>
          <w:bottom w:w="0" w:type="dxa"/>
          <w:right w:w="115" w:type="dxa"/>
        </w:tblCellMar>
      </w:tblPr>
      <w:tblGrid>
        <w:gridCol w:w="2941"/>
        <w:gridCol w:w="2867"/>
        <w:gridCol w:w="3447"/>
      </w:tblGrid>
      <w:tr w14:paraId="6465AAB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4" w:type="dxa"/>
            <w:left w:w="189" w:type="dxa"/>
            <w:bottom w:w="0" w:type="dxa"/>
            <w:right w:w="115" w:type="dxa"/>
          </w:tblCellMar>
        </w:tblPrEx>
        <w:trPr>
          <w:trHeight w:val="363" w:hRule="atLeast"/>
          <w:jc w:val="center"/>
        </w:trPr>
        <w:tc>
          <w:tcPr>
            <w:tcW w:w="5808" w:type="dxa"/>
            <w:gridSpan w:val="2"/>
            <w:tcBorders>
              <w:top w:val="single" w:color="auto" w:sz="8" w:space="0"/>
              <w:left w:val="single" w:color="auto" w:sz="8" w:space="0"/>
              <w:bottom w:val="single" w:color="auto" w:sz="8" w:space="0"/>
              <w:right w:val="single" w:color="auto" w:sz="4" w:space="0"/>
            </w:tcBorders>
            <w:vAlign w:val="center"/>
          </w:tcPr>
          <w:p w14:paraId="2DF78C56">
            <w:pPr>
              <w:rPr>
                <w:rFonts w:asciiTheme="minorHAnsi" w:hAnsiTheme="minorHAnsi" w:eastAsiaTheme="minorEastAsia" w:cstheme="minorBidi"/>
                <w:kern w:val="2"/>
                <w:sz w:val="18"/>
                <w:szCs w:val="18"/>
              </w:rPr>
            </w:pPr>
            <w:r>
              <w:rPr>
                <w:rFonts w:asciiTheme="minorHAnsi" w:hAnsiTheme="minorHAnsi" w:eastAsiaTheme="minorEastAsia" w:cstheme="minorBidi"/>
                <w:kern w:val="2"/>
                <w:sz w:val="18"/>
                <w:szCs w:val="18"/>
              </w:rPr>
              <w:t>项目</w:t>
            </w:r>
          </w:p>
        </w:tc>
        <w:tc>
          <w:tcPr>
            <w:tcW w:w="3447" w:type="dxa"/>
            <w:tcBorders>
              <w:top w:val="single" w:color="auto" w:sz="8" w:space="0"/>
              <w:left w:val="single" w:color="auto" w:sz="4" w:space="0"/>
              <w:bottom w:val="single" w:color="auto" w:sz="8" w:space="0"/>
              <w:right w:val="single" w:color="auto" w:sz="8" w:space="0"/>
            </w:tcBorders>
          </w:tcPr>
          <w:p w14:paraId="09E1FF1F">
            <w:pPr>
              <w:rPr>
                <w:rFonts w:asciiTheme="minorHAnsi" w:hAnsiTheme="minorHAnsi" w:eastAsiaTheme="minorEastAsia" w:cstheme="minorBidi"/>
                <w:kern w:val="2"/>
                <w:sz w:val="18"/>
                <w:szCs w:val="18"/>
              </w:rPr>
            </w:pPr>
            <w:r>
              <w:rPr>
                <w:rFonts w:asciiTheme="minorHAnsi" w:hAnsiTheme="minorHAnsi" w:eastAsiaTheme="minorEastAsia" w:cstheme="minorBidi"/>
                <w:kern w:val="2"/>
                <w:sz w:val="18"/>
                <w:szCs w:val="18"/>
              </w:rPr>
              <w:t>指标</w:t>
            </w:r>
          </w:p>
        </w:tc>
      </w:tr>
      <w:tr w14:paraId="6C414AF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4" w:type="dxa"/>
            <w:left w:w="189" w:type="dxa"/>
            <w:bottom w:w="0" w:type="dxa"/>
            <w:right w:w="115" w:type="dxa"/>
          </w:tblCellMar>
        </w:tblPrEx>
        <w:trPr>
          <w:trHeight w:val="363" w:hRule="atLeast"/>
          <w:jc w:val="center"/>
        </w:trPr>
        <w:tc>
          <w:tcPr>
            <w:tcW w:w="2941" w:type="dxa"/>
            <w:vMerge w:val="restart"/>
            <w:tcBorders>
              <w:top w:val="single" w:color="auto" w:sz="8" w:space="0"/>
              <w:left w:val="single" w:color="auto" w:sz="8" w:space="0"/>
              <w:bottom w:val="single" w:color="000000" w:sz="4" w:space="0"/>
              <w:right w:val="single" w:color="000000" w:sz="4" w:space="0"/>
            </w:tcBorders>
            <w:vAlign w:val="center"/>
          </w:tcPr>
          <w:p w14:paraId="280B8898">
            <w:pPr>
              <w:rPr>
                <w:rFonts w:asciiTheme="minorHAnsi" w:hAnsiTheme="minorHAnsi" w:eastAsiaTheme="minorEastAsia" w:cstheme="minorBidi"/>
                <w:kern w:val="2"/>
                <w:sz w:val="18"/>
                <w:szCs w:val="18"/>
              </w:rPr>
            </w:pPr>
            <w:r>
              <w:rPr>
                <w:rFonts w:asciiTheme="minorHAnsi" w:hAnsiTheme="minorHAnsi" w:eastAsiaTheme="minorEastAsia" w:cstheme="minorBidi"/>
                <w:kern w:val="2"/>
                <w:sz w:val="18"/>
                <w:szCs w:val="18"/>
              </w:rPr>
              <w:t>尺寸允许偏差</w:t>
            </w:r>
          </w:p>
        </w:tc>
        <w:tc>
          <w:tcPr>
            <w:tcW w:w="2867" w:type="dxa"/>
            <w:tcBorders>
              <w:top w:val="single" w:color="auto" w:sz="8" w:space="0"/>
              <w:left w:val="single" w:color="000000" w:sz="4" w:space="0"/>
              <w:bottom w:val="single" w:color="000000" w:sz="4" w:space="0"/>
              <w:right w:val="single" w:color="000000" w:sz="4" w:space="0"/>
            </w:tcBorders>
            <w:vAlign w:val="center"/>
          </w:tcPr>
          <w:p w14:paraId="08031404">
            <w:pPr>
              <w:rPr>
                <w:rFonts w:asciiTheme="minorHAnsi" w:hAnsiTheme="minorHAnsi" w:eastAsiaTheme="minorEastAsia" w:cstheme="minorBidi"/>
                <w:kern w:val="2"/>
                <w:sz w:val="18"/>
                <w:szCs w:val="18"/>
              </w:rPr>
            </w:pPr>
            <w:r>
              <w:rPr>
                <w:rFonts w:asciiTheme="minorHAnsi" w:hAnsiTheme="minorHAnsi" w:eastAsiaTheme="minorEastAsia" w:cstheme="minorBidi"/>
                <w:kern w:val="2"/>
                <w:sz w:val="18"/>
                <w:szCs w:val="18"/>
              </w:rPr>
              <w:t>尺寸</w:t>
            </w:r>
            <w:r>
              <w:rPr>
                <w:rFonts w:ascii="宋体" w:hAnsi="宋体" w:eastAsiaTheme="minorEastAsia" w:cstheme="minorBidi"/>
                <w:kern w:val="2"/>
                <w:sz w:val="18"/>
                <w:szCs w:val="18"/>
              </w:rPr>
              <w:t>≤</w:t>
            </w:r>
            <w:r>
              <w:rPr>
                <w:rFonts w:hint="eastAsia" w:asciiTheme="minorEastAsia" w:hAnsiTheme="minorEastAsia" w:eastAsiaTheme="minorEastAsia" w:cstheme="minorBidi"/>
                <w:kern w:val="2"/>
                <w:sz w:val="18"/>
                <w:szCs w:val="18"/>
              </w:rPr>
              <w:t>2</w:t>
            </w:r>
            <w:r>
              <w:rPr>
                <w:rFonts w:asciiTheme="minorEastAsia" w:hAnsiTheme="minorEastAsia" w:eastAsiaTheme="minorEastAsia" w:cstheme="minorBidi"/>
                <w:kern w:val="2"/>
                <w:sz w:val="18"/>
                <w:szCs w:val="18"/>
              </w:rPr>
              <w:t>00</w:t>
            </w:r>
          </w:p>
        </w:tc>
        <w:tc>
          <w:tcPr>
            <w:tcW w:w="3447" w:type="dxa"/>
            <w:tcBorders>
              <w:top w:val="single" w:color="auto" w:sz="8" w:space="0"/>
              <w:left w:val="single" w:color="000000" w:sz="4" w:space="0"/>
              <w:bottom w:val="single" w:color="000000" w:sz="4" w:space="0"/>
              <w:right w:val="single" w:color="auto" w:sz="8" w:space="0"/>
            </w:tcBorders>
          </w:tcPr>
          <w:p w14:paraId="737B3509">
            <w:pPr>
              <w:rPr>
                <w:rFonts w:asciiTheme="minorHAnsi" w:hAnsiTheme="minorHAnsi" w:eastAsiaTheme="minorEastAsia" w:cstheme="minorBidi"/>
                <w:kern w:val="2"/>
                <w:sz w:val="18"/>
                <w:szCs w:val="18"/>
              </w:rPr>
            </w:pPr>
            <w:r>
              <w:rPr>
                <w:rFonts w:hint="eastAsia" w:ascii="宋体" w:hAnsi="宋体" w:cs="宋体" w:eastAsiaTheme="minorEastAsia"/>
                <w:color w:val="000000"/>
                <w:kern w:val="0"/>
                <w:sz w:val="18"/>
                <w:szCs w:val="18"/>
              </w:rPr>
              <w:t>±</w:t>
            </w:r>
            <w:r>
              <w:rPr>
                <w:rFonts w:asciiTheme="minorEastAsia" w:hAnsiTheme="minorEastAsia" w:eastAsiaTheme="minorEastAsia" w:cstheme="minorBidi"/>
                <w:kern w:val="2"/>
                <w:sz w:val="18"/>
                <w:szCs w:val="18"/>
              </w:rPr>
              <w:t>3</w:t>
            </w:r>
            <w:r>
              <w:rPr>
                <w:rFonts w:hint="eastAsia" w:asciiTheme="minorEastAsia" w:hAnsiTheme="minorEastAsia" w:eastAsiaTheme="minorEastAsia" w:cstheme="minorBidi"/>
                <w:kern w:val="2"/>
                <w:sz w:val="18"/>
                <w:szCs w:val="18"/>
              </w:rPr>
              <w:t>.0</w:t>
            </w:r>
          </w:p>
        </w:tc>
      </w:tr>
      <w:tr w14:paraId="66E5C62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4" w:type="dxa"/>
            <w:left w:w="189" w:type="dxa"/>
            <w:bottom w:w="0" w:type="dxa"/>
            <w:right w:w="115" w:type="dxa"/>
          </w:tblCellMar>
        </w:tblPrEx>
        <w:trPr>
          <w:trHeight w:val="363" w:hRule="atLeast"/>
          <w:jc w:val="center"/>
        </w:trPr>
        <w:tc>
          <w:tcPr>
            <w:tcW w:w="2941" w:type="dxa"/>
            <w:vMerge w:val="continue"/>
            <w:tcBorders>
              <w:top w:val="single" w:color="000000" w:sz="4" w:space="0"/>
              <w:left w:val="single" w:color="auto" w:sz="8" w:space="0"/>
              <w:bottom w:val="single" w:color="000000" w:sz="4" w:space="0"/>
              <w:right w:val="single" w:color="000000" w:sz="4" w:space="0"/>
            </w:tcBorders>
            <w:vAlign w:val="center"/>
          </w:tcPr>
          <w:p w14:paraId="4FE3D0B6">
            <w:pPr>
              <w:rPr>
                <w:rFonts w:asciiTheme="minorHAnsi" w:hAnsiTheme="minorHAnsi" w:eastAsiaTheme="minorEastAsia" w:cstheme="minorBidi"/>
                <w:kern w:val="2"/>
                <w:sz w:val="18"/>
                <w:szCs w:val="18"/>
              </w:rPr>
            </w:pPr>
          </w:p>
        </w:tc>
        <w:tc>
          <w:tcPr>
            <w:tcW w:w="2867" w:type="dxa"/>
            <w:tcBorders>
              <w:top w:val="single" w:color="000000" w:sz="4" w:space="0"/>
              <w:left w:val="single" w:color="000000" w:sz="4" w:space="0"/>
              <w:bottom w:val="single" w:color="000000" w:sz="4" w:space="0"/>
              <w:right w:val="single" w:color="000000" w:sz="4" w:space="0"/>
            </w:tcBorders>
            <w:vAlign w:val="center"/>
          </w:tcPr>
          <w:p w14:paraId="7E377606">
            <w:pPr>
              <w:rPr>
                <w:rFonts w:asciiTheme="minorHAnsi" w:hAnsiTheme="minorHAnsi" w:eastAsiaTheme="minorEastAsia" w:cstheme="minorBidi"/>
                <w:kern w:val="2"/>
                <w:sz w:val="18"/>
                <w:szCs w:val="18"/>
              </w:rPr>
            </w:pPr>
            <w:r>
              <w:rPr>
                <w:rFonts w:asciiTheme="minorHAnsi" w:hAnsiTheme="minorHAnsi" w:eastAsiaTheme="minorEastAsia" w:cstheme="minorBidi"/>
                <w:kern w:val="2"/>
                <w:sz w:val="18"/>
                <w:szCs w:val="18"/>
              </w:rPr>
              <w:t>尺寸＞</w:t>
            </w:r>
            <w:r>
              <w:rPr>
                <w:rFonts w:hint="eastAsia" w:asciiTheme="minorEastAsia" w:hAnsiTheme="minorEastAsia" w:eastAsiaTheme="minorEastAsia" w:cstheme="minorBidi"/>
                <w:kern w:val="2"/>
                <w:sz w:val="18"/>
                <w:szCs w:val="18"/>
              </w:rPr>
              <w:t>2</w:t>
            </w:r>
            <w:r>
              <w:rPr>
                <w:rFonts w:asciiTheme="minorEastAsia" w:hAnsiTheme="minorEastAsia" w:eastAsiaTheme="minorEastAsia" w:cstheme="minorBidi"/>
                <w:kern w:val="2"/>
                <w:sz w:val="18"/>
                <w:szCs w:val="18"/>
              </w:rPr>
              <w:t>00</w:t>
            </w:r>
          </w:p>
        </w:tc>
        <w:tc>
          <w:tcPr>
            <w:tcW w:w="3447" w:type="dxa"/>
            <w:tcBorders>
              <w:top w:val="single" w:color="000000" w:sz="4" w:space="0"/>
              <w:left w:val="single" w:color="000000" w:sz="4" w:space="0"/>
              <w:bottom w:val="single" w:color="000000" w:sz="4" w:space="0"/>
              <w:right w:val="single" w:color="auto" w:sz="8" w:space="0"/>
            </w:tcBorders>
          </w:tcPr>
          <w:p w14:paraId="023D0659">
            <w:pPr>
              <w:rPr>
                <w:rFonts w:asciiTheme="minorHAnsi" w:hAnsiTheme="minorHAnsi" w:eastAsiaTheme="minorEastAsia" w:cstheme="minorBidi"/>
                <w:kern w:val="2"/>
                <w:sz w:val="18"/>
                <w:szCs w:val="18"/>
              </w:rPr>
            </w:pPr>
            <w:r>
              <w:rPr>
                <w:rFonts w:hint="eastAsia" w:ascii="宋体" w:hAnsi="宋体" w:cs="宋体" w:eastAsiaTheme="minorEastAsia"/>
                <w:color w:val="000000"/>
                <w:kern w:val="0"/>
                <w:sz w:val="18"/>
                <w:szCs w:val="18"/>
              </w:rPr>
              <w:t>±</w:t>
            </w:r>
            <w:r>
              <w:rPr>
                <w:rFonts w:asciiTheme="minorEastAsia" w:hAnsiTheme="minorEastAsia" w:eastAsiaTheme="minorEastAsia" w:cstheme="minorBidi"/>
                <w:kern w:val="2"/>
                <w:sz w:val="18"/>
                <w:szCs w:val="18"/>
              </w:rPr>
              <w:t>5</w:t>
            </w:r>
            <w:r>
              <w:rPr>
                <w:rFonts w:hint="eastAsia" w:asciiTheme="minorEastAsia" w:hAnsiTheme="minorEastAsia" w:eastAsiaTheme="minorEastAsia" w:cstheme="minorBidi"/>
                <w:kern w:val="2"/>
                <w:sz w:val="18"/>
                <w:szCs w:val="18"/>
              </w:rPr>
              <w:t>.0</w:t>
            </w:r>
          </w:p>
        </w:tc>
      </w:tr>
      <w:tr w14:paraId="1E57E72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4" w:type="dxa"/>
            <w:left w:w="189" w:type="dxa"/>
            <w:bottom w:w="0" w:type="dxa"/>
            <w:right w:w="115" w:type="dxa"/>
          </w:tblCellMar>
        </w:tblPrEx>
        <w:trPr>
          <w:trHeight w:val="363" w:hRule="atLeast"/>
          <w:jc w:val="center"/>
        </w:trPr>
        <w:tc>
          <w:tcPr>
            <w:tcW w:w="5808" w:type="dxa"/>
            <w:gridSpan w:val="2"/>
            <w:tcBorders>
              <w:top w:val="single" w:color="000000" w:sz="4" w:space="0"/>
              <w:left w:val="single" w:color="auto" w:sz="8" w:space="0"/>
              <w:bottom w:val="single" w:color="000000" w:sz="4" w:space="0"/>
              <w:right w:val="single" w:color="000000" w:sz="4" w:space="0"/>
            </w:tcBorders>
            <w:vAlign w:val="center"/>
          </w:tcPr>
          <w:p w14:paraId="24EFAF3B">
            <w:pPr>
              <w:rPr>
                <w:rFonts w:ascii="宋体" w:hAnsi="宋体" w:eastAsiaTheme="minorEastAsia" w:cstheme="minorBidi"/>
                <w:kern w:val="2"/>
                <w:sz w:val="18"/>
                <w:szCs w:val="18"/>
              </w:rPr>
            </w:pPr>
            <w:r>
              <w:rPr>
                <w:rFonts w:hint="eastAsia" w:ascii="宋体" w:hAnsi="宋体" w:eastAsiaTheme="minorEastAsia" w:cstheme="minorBidi"/>
                <w:kern w:val="2"/>
                <w:sz w:val="18"/>
                <w:szCs w:val="18"/>
              </w:rPr>
              <w:t>扭曲</w:t>
            </w:r>
          </w:p>
        </w:tc>
        <w:tc>
          <w:tcPr>
            <w:tcW w:w="3447" w:type="dxa"/>
            <w:tcBorders>
              <w:top w:val="single" w:color="000000" w:sz="4" w:space="0"/>
              <w:left w:val="single" w:color="000000" w:sz="4" w:space="0"/>
              <w:bottom w:val="single" w:color="000000" w:sz="4" w:space="0"/>
              <w:right w:val="single" w:color="auto" w:sz="8" w:space="0"/>
            </w:tcBorders>
            <w:vAlign w:val="center"/>
          </w:tcPr>
          <w:p w14:paraId="6DC9064F">
            <w:pPr>
              <w:rPr>
                <w:rFonts w:ascii="宋体" w:hAnsi="宋体" w:eastAsiaTheme="minorEastAsia" w:cstheme="minorBidi"/>
                <w:kern w:val="2"/>
                <w:sz w:val="18"/>
                <w:szCs w:val="18"/>
              </w:rPr>
            </w:pPr>
            <w:r>
              <w:rPr>
                <w:rFonts w:ascii="宋体" w:hAnsi="宋体" w:eastAsiaTheme="minorEastAsia" w:cstheme="minorBidi"/>
                <w:kern w:val="2"/>
                <w:sz w:val="18"/>
                <w:szCs w:val="18"/>
              </w:rPr>
              <w:t>≤0</w:t>
            </w:r>
            <w:r>
              <w:rPr>
                <w:rFonts w:hint="eastAsia" w:ascii="宋体" w:hAnsi="宋体" w:eastAsiaTheme="minorEastAsia" w:cstheme="minorBidi"/>
                <w:kern w:val="2"/>
                <w:sz w:val="18"/>
                <w:szCs w:val="18"/>
              </w:rPr>
              <w:t>.</w:t>
            </w:r>
            <w:r>
              <w:rPr>
                <w:rFonts w:ascii="宋体" w:hAnsi="宋体" w:eastAsiaTheme="minorEastAsia" w:cstheme="minorBidi"/>
                <w:kern w:val="2"/>
                <w:sz w:val="18"/>
                <w:szCs w:val="18"/>
              </w:rPr>
              <w:t>5</w:t>
            </w:r>
            <w:r>
              <w:rPr>
                <w:rFonts w:asciiTheme="minorHAnsi" w:hAnsiTheme="minorHAnsi" w:eastAsiaTheme="minorEastAsia" w:cstheme="minorBidi"/>
                <w:kern w:val="2"/>
                <w:sz w:val="18"/>
                <w:szCs w:val="18"/>
              </w:rPr>
              <w:t>%</w:t>
            </w:r>
            <w:r>
              <w:rPr>
                <w:rFonts w:hint="eastAsia" w:ascii="宋体" w:hAnsi="宋体" w:cs="宋体" w:eastAsiaTheme="minorEastAsia"/>
                <w:kern w:val="2"/>
                <w:sz w:val="18"/>
                <w:szCs w:val="18"/>
              </w:rPr>
              <w:t>，</w:t>
            </w:r>
            <w:r>
              <w:rPr>
                <w:rFonts w:ascii="宋体" w:hAnsi="宋体" w:eastAsiaTheme="minorEastAsia" w:cstheme="minorBidi"/>
                <w:kern w:val="2"/>
                <w:sz w:val="18"/>
                <w:szCs w:val="18"/>
              </w:rPr>
              <w:t>最大不超过1</w:t>
            </w:r>
            <w:r>
              <w:rPr>
                <w:rFonts w:hint="eastAsia" w:ascii="宋体" w:hAnsi="宋体" w:eastAsiaTheme="minorEastAsia" w:cstheme="minorBidi"/>
                <w:kern w:val="2"/>
                <w:sz w:val="18"/>
                <w:szCs w:val="18"/>
              </w:rPr>
              <w:t>.</w:t>
            </w:r>
            <w:r>
              <w:rPr>
                <w:rFonts w:ascii="宋体" w:hAnsi="宋体" w:eastAsiaTheme="minorEastAsia" w:cstheme="minorBidi"/>
                <w:kern w:val="2"/>
                <w:sz w:val="18"/>
                <w:szCs w:val="18"/>
              </w:rPr>
              <w:t>5</w:t>
            </w:r>
          </w:p>
        </w:tc>
      </w:tr>
      <w:tr w14:paraId="7DB2CDE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4" w:type="dxa"/>
            <w:left w:w="189" w:type="dxa"/>
            <w:bottom w:w="0" w:type="dxa"/>
            <w:right w:w="115" w:type="dxa"/>
          </w:tblCellMar>
        </w:tblPrEx>
        <w:trPr>
          <w:trHeight w:val="363" w:hRule="atLeast"/>
          <w:jc w:val="center"/>
        </w:trPr>
        <w:tc>
          <w:tcPr>
            <w:tcW w:w="5808" w:type="dxa"/>
            <w:gridSpan w:val="2"/>
            <w:tcBorders>
              <w:top w:val="single" w:color="000000" w:sz="4" w:space="0"/>
              <w:left w:val="single" w:color="auto" w:sz="8" w:space="0"/>
              <w:bottom w:val="single" w:color="000000" w:sz="4" w:space="0"/>
              <w:right w:val="single" w:color="000000" w:sz="4" w:space="0"/>
            </w:tcBorders>
            <w:vAlign w:val="center"/>
          </w:tcPr>
          <w:p w14:paraId="4200D290">
            <w:pPr>
              <w:rPr>
                <w:rFonts w:asciiTheme="minorHAnsi" w:hAnsiTheme="minorHAnsi" w:eastAsiaTheme="minorEastAsia" w:cstheme="minorBidi"/>
                <w:kern w:val="2"/>
                <w:sz w:val="18"/>
                <w:szCs w:val="18"/>
              </w:rPr>
            </w:pPr>
            <w:r>
              <w:rPr>
                <w:rFonts w:ascii="宋体" w:hAnsi="宋体" w:eastAsiaTheme="minorEastAsia" w:cstheme="minorBidi"/>
                <w:kern w:val="2"/>
                <w:sz w:val="18"/>
                <w:szCs w:val="18"/>
              </w:rPr>
              <w:t>缺角</w:t>
            </w:r>
            <w:r>
              <w:rPr>
                <w:rFonts w:hint="eastAsia" w:ascii="宋体" w:hAnsi="宋体" w:eastAsiaTheme="minorEastAsia" w:cstheme="minorBidi"/>
                <w:kern w:val="2"/>
                <w:sz w:val="18"/>
                <w:szCs w:val="18"/>
              </w:rPr>
              <w:t>（</w:t>
            </w:r>
            <w:r>
              <w:rPr>
                <w:rFonts w:asciiTheme="minorHAnsi" w:hAnsiTheme="minorHAnsi" w:eastAsiaTheme="minorEastAsia" w:cstheme="minorBidi"/>
                <w:i/>
                <w:kern w:val="2"/>
                <w:sz w:val="18"/>
                <w:szCs w:val="18"/>
              </w:rPr>
              <w:t>a</w:t>
            </w:r>
            <w:r>
              <w:rPr>
                <w:rFonts w:asciiTheme="minorHAnsi" w:hAnsiTheme="minorHAnsi" w:eastAsiaTheme="minorEastAsia" w:cstheme="minorBidi"/>
                <w:kern w:val="2"/>
                <w:sz w:val="18"/>
                <w:szCs w:val="18"/>
              </w:rPr>
              <w:t>+</w:t>
            </w:r>
            <w:r>
              <w:rPr>
                <w:rFonts w:asciiTheme="minorHAnsi" w:hAnsiTheme="minorHAnsi" w:eastAsiaTheme="minorEastAsia" w:cstheme="minorBidi"/>
                <w:i/>
                <w:kern w:val="2"/>
                <w:sz w:val="18"/>
                <w:szCs w:val="18"/>
              </w:rPr>
              <w:t>b</w:t>
            </w:r>
            <w:r>
              <w:rPr>
                <w:rFonts w:asciiTheme="minorHAnsi" w:hAnsiTheme="minorHAnsi" w:eastAsiaTheme="minorEastAsia" w:cstheme="minorBidi"/>
                <w:kern w:val="2"/>
                <w:sz w:val="18"/>
                <w:szCs w:val="18"/>
              </w:rPr>
              <w:t>+</w:t>
            </w:r>
            <w:r>
              <w:rPr>
                <w:rFonts w:asciiTheme="minorHAnsi" w:hAnsiTheme="minorHAnsi" w:eastAsiaTheme="minorEastAsia" w:cstheme="minorBidi"/>
                <w:i/>
                <w:kern w:val="2"/>
                <w:sz w:val="18"/>
                <w:szCs w:val="18"/>
              </w:rPr>
              <w:t>c</w:t>
            </w:r>
            <w:r>
              <w:rPr>
                <w:rFonts w:hint="eastAsia" w:ascii="宋体" w:hAnsi="宋体" w:eastAsiaTheme="minorEastAsia" w:cstheme="minorBidi"/>
                <w:kern w:val="2"/>
                <w:sz w:val="18"/>
                <w:szCs w:val="18"/>
              </w:rPr>
              <w:t>）</w:t>
            </w:r>
          </w:p>
        </w:tc>
        <w:tc>
          <w:tcPr>
            <w:tcW w:w="3447" w:type="dxa"/>
            <w:tcBorders>
              <w:top w:val="single" w:color="000000" w:sz="4" w:space="0"/>
              <w:left w:val="single" w:color="000000" w:sz="4" w:space="0"/>
              <w:bottom w:val="single" w:color="000000" w:sz="4" w:space="0"/>
              <w:right w:val="single" w:color="auto" w:sz="8" w:space="0"/>
            </w:tcBorders>
            <w:vAlign w:val="center"/>
          </w:tcPr>
          <w:p w14:paraId="3F9C2452">
            <w:pPr>
              <w:rPr>
                <w:rFonts w:asciiTheme="minorHAnsi" w:hAnsiTheme="minorHAnsi" w:eastAsiaTheme="minorEastAsia" w:cstheme="minorBidi"/>
                <w:kern w:val="2"/>
                <w:sz w:val="18"/>
                <w:szCs w:val="18"/>
              </w:rPr>
            </w:pPr>
            <w:r>
              <w:rPr>
                <w:rFonts w:ascii="宋体" w:hAnsi="宋体" w:eastAsiaTheme="minorEastAsia" w:cstheme="minorBidi"/>
                <w:kern w:val="2"/>
                <w:sz w:val="18"/>
                <w:szCs w:val="18"/>
              </w:rPr>
              <w:t>≤</w:t>
            </w:r>
            <w:r>
              <w:rPr>
                <w:rFonts w:hint="eastAsia" w:asciiTheme="minorEastAsia" w:hAnsiTheme="minorEastAsia" w:eastAsiaTheme="minorEastAsia" w:cstheme="minorBidi"/>
                <w:kern w:val="2"/>
                <w:sz w:val="18"/>
                <w:szCs w:val="18"/>
              </w:rPr>
              <w:t>2</w:t>
            </w:r>
            <w:r>
              <w:rPr>
                <w:rFonts w:asciiTheme="minorEastAsia" w:hAnsiTheme="minorEastAsia" w:eastAsiaTheme="minorEastAsia" w:cstheme="minorBidi"/>
                <w:kern w:val="2"/>
                <w:sz w:val="18"/>
                <w:szCs w:val="18"/>
              </w:rPr>
              <w:t>0</w:t>
            </w:r>
            <w:r>
              <w:rPr>
                <w:rFonts w:hint="eastAsia" w:asciiTheme="minorEastAsia" w:hAnsiTheme="minorEastAsia" w:eastAsiaTheme="minorEastAsia" w:cstheme="minorBidi"/>
                <w:kern w:val="2"/>
                <w:sz w:val="18"/>
                <w:szCs w:val="18"/>
              </w:rPr>
              <w:t>，</w:t>
            </w:r>
            <w:r>
              <w:rPr>
                <w:rFonts w:asciiTheme="minorHAnsi" w:hAnsiTheme="minorHAnsi" w:eastAsiaTheme="minorEastAsia" w:cstheme="minorBidi"/>
                <w:kern w:val="2"/>
                <w:sz w:val="18"/>
                <w:szCs w:val="18"/>
              </w:rPr>
              <w:t>不超过</w:t>
            </w:r>
            <w:r>
              <w:rPr>
                <w:rFonts w:hint="eastAsia" w:asciiTheme="minorEastAsia" w:hAnsiTheme="minorEastAsia" w:eastAsiaTheme="minorEastAsia" w:cstheme="minorBidi"/>
                <w:kern w:val="2"/>
                <w:sz w:val="18"/>
                <w:szCs w:val="18"/>
              </w:rPr>
              <w:t>3</w:t>
            </w:r>
            <w:r>
              <w:rPr>
                <w:rFonts w:asciiTheme="minorHAnsi" w:hAnsiTheme="minorHAnsi" w:eastAsiaTheme="minorEastAsia" w:cstheme="minorBidi"/>
                <w:kern w:val="2"/>
                <w:sz w:val="18"/>
                <w:szCs w:val="18"/>
              </w:rPr>
              <w:t>处</w:t>
            </w:r>
          </w:p>
        </w:tc>
      </w:tr>
      <w:tr w14:paraId="104CB30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4" w:type="dxa"/>
            <w:left w:w="189" w:type="dxa"/>
            <w:bottom w:w="0" w:type="dxa"/>
            <w:right w:w="115" w:type="dxa"/>
          </w:tblCellMar>
        </w:tblPrEx>
        <w:trPr>
          <w:trHeight w:val="363" w:hRule="atLeast"/>
          <w:jc w:val="center"/>
        </w:trPr>
        <w:tc>
          <w:tcPr>
            <w:tcW w:w="5808" w:type="dxa"/>
            <w:gridSpan w:val="2"/>
            <w:tcBorders>
              <w:top w:val="single" w:color="000000" w:sz="4" w:space="0"/>
              <w:left w:val="single" w:color="auto" w:sz="8" w:space="0"/>
              <w:bottom w:val="single" w:color="000000" w:sz="4" w:space="0"/>
              <w:right w:val="single" w:color="000000" w:sz="4" w:space="0"/>
            </w:tcBorders>
            <w:vAlign w:val="center"/>
          </w:tcPr>
          <w:p w14:paraId="5E5017D0">
            <w:pPr>
              <w:rPr>
                <w:rFonts w:asciiTheme="minorHAnsi" w:hAnsiTheme="minorHAnsi" w:eastAsiaTheme="minorEastAsia" w:cstheme="minorBidi"/>
                <w:kern w:val="2"/>
                <w:sz w:val="18"/>
                <w:szCs w:val="18"/>
              </w:rPr>
            </w:pPr>
            <w:r>
              <w:rPr>
                <w:rFonts w:ascii="宋体" w:hAnsi="宋体" w:eastAsiaTheme="minorEastAsia" w:cstheme="minorBidi"/>
                <w:kern w:val="2"/>
                <w:sz w:val="18"/>
                <w:szCs w:val="18"/>
              </w:rPr>
              <w:t>缺棱</w:t>
            </w:r>
            <w:r>
              <w:rPr>
                <w:rFonts w:hint="eastAsia" w:ascii="宋体" w:hAnsi="宋体" w:eastAsiaTheme="minorEastAsia" w:cstheme="minorBidi"/>
                <w:kern w:val="2"/>
                <w:sz w:val="18"/>
                <w:szCs w:val="18"/>
              </w:rPr>
              <w:t>（</w:t>
            </w:r>
            <w:r>
              <w:rPr>
                <w:rFonts w:asciiTheme="minorHAnsi" w:hAnsiTheme="minorHAnsi" w:eastAsiaTheme="minorEastAsia" w:cstheme="minorBidi"/>
                <w:i/>
                <w:kern w:val="2"/>
                <w:sz w:val="18"/>
                <w:szCs w:val="18"/>
              </w:rPr>
              <w:t>e+f+g</w:t>
            </w:r>
            <w:r>
              <w:rPr>
                <w:rFonts w:hint="eastAsia" w:ascii="宋体" w:hAnsi="宋体" w:eastAsiaTheme="minorEastAsia" w:cstheme="minorBidi"/>
                <w:kern w:val="2"/>
                <w:sz w:val="18"/>
                <w:szCs w:val="18"/>
              </w:rPr>
              <w:t>）</w:t>
            </w:r>
          </w:p>
        </w:tc>
        <w:tc>
          <w:tcPr>
            <w:tcW w:w="3447" w:type="dxa"/>
            <w:tcBorders>
              <w:top w:val="single" w:color="000000" w:sz="4" w:space="0"/>
              <w:left w:val="single" w:color="000000" w:sz="4" w:space="0"/>
              <w:bottom w:val="single" w:color="000000" w:sz="4" w:space="0"/>
              <w:right w:val="single" w:color="auto" w:sz="8" w:space="0"/>
            </w:tcBorders>
            <w:vAlign w:val="center"/>
          </w:tcPr>
          <w:p w14:paraId="28B3B796">
            <w:pPr>
              <w:rPr>
                <w:rFonts w:asciiTheme="minorHAnsi" w:hAnsiTheme="minorHAnsi" w:eastAsiaTheme="minorEastAsia" w:cstheme="minorBidi"/>
                <w:kern w:val="2"/>
                <w:sz w:val="18"/>
                <w:szCs w:val="18"/>
              </w:rPr>
            </w:pPr>
            <w:r>
              <w:rPr>
                <w:rFonts w:ascii="宋体" w:hAnsi="宋体" w:eastAsiaTheme="minorEastAsia" w:cstheme="minorBidi"/>
                <w:kern w:val="2"/>
                <w:sz w:val="18"/>
                <w:szCs w:val="18"/>
              </w:rPr>
              <w:t>≤</w:t>
            </w:r>
            <w:r>
              <w:rPr>
                <w:rFonts w:hint="eastAsia" w:asciiTheme="minorEastAsia" w:hAnsiTheme="minorEastAsia" w:eastAsiaTheme="minorEastAsia" w:cstheme="minorBidi"/>
                <w:kern w:val="2"/>
                <w:sz w:val="18"/>
                <w:szCs w:val="18"/>
              </w:rPr>
              <w:t>3</w:t>
            </w:r>
            <w:r>
              <w:rPr>
                <w:rFonts w:asciiTheme="minorEastAsia" w:hAnsiTheme="minorEastAsia" w:eastAsiaTheme="minorEastAsia" w:cstheme="minorBidi"/>
                <w:kern w:val="2"/>
                <w:sz w:val="18"/>
                <w:szCs w:val="18"/>
              </w:rPr>
              <w:t>0</w:t>
            </w:r>
            <w:r>
              <w:rPr>
                <w:rFonts w:hint="eastAsia" w:asciiTheme="minorEastAsia" w:hAnsiTheme="minorEastAsia" w:eastAsiaTheme="minorEastAsia" w:cstheme="minorBidi"/>
                <w:kern w:val="2"/>
                <w:sz w:val="18"/>
                <w:szCs w:val="18"/>
              </w:rPr>
              <w:t>，</w:t>
            </w:r>
            <w:r>
              <w:rPr>
                <w:rFonts w:asciiTheme="minorHAnsi" w:hAnsiTheme="minorHAnsi" w:eastAsiaTheme="minorEastAsia" w:cstheme="minorBidi"/>
                <w:kern w:val="2"/>
                <w:sz w:val="18"/>
                <w:szCs w:val="18"/>
              </w:rPr>
              <w:t>不超过</w:t>
            </w:r>
            <w:r>
              <w:rPr>
                <w:rFonts w:hint="eastAsia" w:asciiTheme="minorEastAsia" w:hAnsiTheme="minorEastAsia" w:eastAsiaTheme="minorEastAsia" w:cstheme="minorBidi"/>
                <w:kern w:val="2"/>
                <w:sz w:val="18"/>
                <w:szCs w:val="18"/>
              </w:rPr>
              <w:t>3</w:t>
            </w:r>
            <w:r>
              <w:rPr>
                <w:rFonts w:asciiTheme="minorHAnsi" w:hAnsiTheme="minorHAnsi" w:eastAsiaTheme="minorEastAsia" w:cstheme="minorBidi"/>
                <w:kern w:val="2"/>
                <w:sz w:val="18"/>
                <w:szCs w:val="18"/>
              </w:rPr>
              <w:t>处</w:t>
            </w:r>
          </w:p>
        </w:tc>
      </w:tr>
      <w:tr w14:paraId="53398EB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4" w:type="dxa"/>
            <w:left w:w="189" w:type="dxa"/>
            <w:bottom w:w="0" w:type="dxa"/>
            <w:right w:w="115" w:type="dxa"/>
          </w:tblCellMar>
        </w:tblPrEx>
        <w:trPr>
          <w:trHeight w:val="363" w:hRule="atLeast"/>
          <w:jc w:val="center"/>
        </w:trPr>
        <w:tc>
          <w:tcPr>
            <w:tcW w:w="2941" w:type="dxa"/>
            <w:vMerge w:val="restart"/>
            <w:tcBorders>
              <w:top w:val="single" w:color="000000" w:sz="4" w:space="0"/>
              <w:left w:val="single" w:color="auto" w:sz="8" w:space="0"/>
              <w:bottom w:val="single" w:color="000000" w:sz="4" w:space="0"/>
              <w:right w:val="single" w:color="000000" w:sz="4" w:space="0"/>
            </w:tcBorders>
            <w:vAlign w:val="center"/>
          </w:tcPr>
          <w:p w14:paraId="338682BC">
            <w:pPr>
              <w:rPr>
                <w:rFonts w:asciiTheme="minorHAnsi" w:hAnsiTheme="minorHAnsi" w:eastAsiaTheme="minorEastAsia" w:cstheme="minorBidi"/>
                <w:kern w:val="2"/>
                <w:sz w:val="18"/>
                <w:szCs w:val="18"/>
              </w:rPr>
            </w:pPr>
            <w:r>
              <w:rPr>
                <w:rFonts w:asciiTheme="minorHAnsi" w:hAnsiTheme="minorHAnsi" w:eastAsiaTheme="minorEastAsia" w:cstheme="minorBidi"/>
                <w:kern w:val="2"/>
                <w:sz w:val="18"/>
                <w:szCs w:val="18"/>
              </w:rPr>
              <w:t>裂纹长度</w:t>
            </w:r>
          </w:p>
        </w:tc>
        <w:tc>
          <w:tcPr>
            <w:tcW w:w="2867" w:type="dxa"/>
            <w:tcBorders>
              <w:top w:val="single" w:color="000000" w:sz="4" w:space="0"/>
              <w:left w:val="single" w:color="000000" w:sz="4" w:space="0"/>
              <w:bottom w:val="single" w:color="000000" w:sz="4" w:space="0"/>
              <w:right w:val="single" w:color="000000" w:sz="4" w:space="0"/>
            </w:tcBorders>
            <w:vAlign w:val="center"/>
          </w:tcPr>
          <w:p w14:paraId="5D020676">
            <w:pPr>
              <w:rPr>
                <w:rFonts w:asciiTheme="minorHAnsi" w:hAnsiTheme="minorHAnsi" w:eastAsiaTheme="minorEastAsia" w:cstheme="minorBidi"/>
                <w:kern w:val="2"/>
                <w:sz w:val="18"/>
                <w:szCs w:val="18"/>
              </w:rPr>
            </w:pPr>
            <w:r>
              <w:rPr>
                <w:rFonts w:asciiTheme="minorHAnsi" w:hAnsiTheme="minorHAnsi" w:eastAsiaTheme="minorEastAsia" w:cstheme="minorBidi"/>
                <w:kern w:val="2"/>
                <w:sz w:val="18"/>
                <w:szCs w:val="18"/>
              </w:rPr>
              <w:t>宽度</w:t>
            </w:r>
            <w:r>
              <w:rPr>
                <w:rFonts w:ascii="宋体" w:hAnsi="宋体" w:eastAsiaTheme="minorEastAsia" w:cstheme="minorBidi"/>
                <w:kern w:val="2"/>
                <w:sz w:val="18"/>
                <w:szCs w:val="18"/>
              </w:rPr>
              <w:t>≤</w:t>
            </w:r>
            <w:r>
              <w:rPr>
                <w:rFonts w:asciiTheme="minorEastAsia" w:hAnsiTheme="minorEastAsia" w:eastAsiaTheme="minorEastAsia" w:cstheme="minorBidi"/>
                <w:kern w:val="2"/>
                <w:sz w:val="18"/>
                <w:szCs w:val="18"/>
              </w:rPr>
              <w:t>0.10</w:t>
            </w:r>
          </w:p>
        </w:tc>
        <w:tc>
          <w:tcPr>
            <w:tcW w:w="3447" w:type="dxa"/>
            <w:tcBorders>
              <w:top w:val="single" w:color="000000" w:sz="4" w:space="0"/>
              <w:left w:val="single" w:color="000000" w:sz="4" w:space="0"/>
              <w:bottom w:val="single" w:color="000000" w:sz="4" w:space="0"/>
              <w:right w:val="single" w:color="auto" w:sz="8" w:space="0"/>
            </w:tcBorders>
          </w:tcPr>
          <w:p w14:paraId="16BF0EE6">
            <w:pPr>
              <w:rPr>
                <w:rFonts w:asciiTheme="minorHAnsi" w:hAnsiTheme="minorHAnsi" w:eastAsiaTheme="minorEastAsia" w:cstheme="minorBidi"/>
                <w:kern w:val="2"/>
                <w:sz w:val="18"/>
                <w:szCs w:val="18"/>
              </w:rPr>
            </w:pPr>
            <w:r>
              <w:rPr>
                <w:rFonts w:hint="eastAsia" w:asciiTheme="minorHAnsi" w:hAnsiTheme="minorHAnsi" w:eastAsiaTheme="minorEastAsia" w:cstheme="minorBidi"/>
                <w:kern w:val="2"/>
                <w:sz w:val="18"/>
                <w:szCs w:val="18"/>
              </w:rPr>
              <w:t>允</w:t>
            </w:r>
            <w:r>
              <w:rPr>
                <w:rFonts w:asciiTheme="minorHAnsi" w:hAnsiTheme="minorHAnsi" w:eastAsiaTheme="minorEastAsia" w:cstheme="minorBidi"/>
                <w:kern w:val="2"/>
                <w:sz w:val="18"/>
                <w:szCs w:val="18"/>
              </w:rPr>
              <w:t>许</w:t>
            </w:r>
          </w:p>
        </w:tc>
      </w:tr>
      <w:tr w14:paraId="4043740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4" w:type="dxa"/>
            <w:left w:w="189" w:type="dxa"/>
            <w:bottom w:w="0" w:type="dxa"/>
            <w:right w:w="115" w:type="dxa"/>
          </w:tblCellMar>
        </w:tblPrEx>
        <w:trPr>
          <w:trHeight w:val="363" w:hRule="atLeast"/>
          <w:jc w:val="center"/>
        </w:trPr>
        <w:tc>
          <w:tcPr>
            <w:tcW w:w="2941" w:type="dxa"/>
            <w:vMerge w:val="continue"/>
            <w:tcBorders>
              <w:top w:val="single" w:color="000000" w:sz="4" w:space="0"/>
              <w:left w:val="single" w:color="auto" w:sz="8" w:space="0"/>
              <w:bottom w:val="single" w:color="000000" w:sz="4" w:space="0"/>
              <w:right w:val="single" w:color="000000" w:sz="4" w:space="0"/>
            </w:tcBorders>
            <w:vAlign w:val="center"/>
          </w:tcPr>
          <w:p w14:paraId="3A412C57">
            <w:pPr>
              <w:rPr>
                <w:rFonts w:asciiTheme="minorHAnsi" w:hAnsiTheme="minorHAnsi" w:eastAsiaTheme="minorEastAsia" w:cstheme="minorBidi"/>
                <w:kern w:val="2"/>
                <w:sz w:val="18"/>
                <w:szCs w:val="18"/>
              </w:rPr>
            </w:pPr>
          </w:p>
        </w:tc>
        <w:tc>
          <w:tcPr>
            <w:tcW w:w="2867" w:type="dxa"/>
            <w:tcBorders>
              <w:top w:val="single" w:color="000000" w:sz="4" w:space="0"/>
              <w:left w:val="single" w:color="000000" w:sz="4" w:space="0"/>
              <w:bottom w:val="single" w:color="000000" w:sz="4" w:space="0"/>
              <w:right w:val="single" w:color="000000" w:sz="4" w:space="0"/>
            </w:tcBorders>
            <w:vAlign w:val="center"/>
          </w:tcPr>
          <w:p w14:paraId="58848743">
            <w:pPr>
              <w:rPr>
                <w:rFonts w:asciiTheme="minorHAnsi" w:hAnsiTheme="minorHAnsi" w:eastAsiaTheme="minorEastAsia" w:cstheme="minorBidi"/>
                <w:kern w:val="2"/>
                <w:sz w:val="18"/>
                <w:szCs w:val="18"/>
              </w:rPr>
            </w:pPr>
            <w:r>
              <w:rPr>
                <w:rFonts w:asciiTheme="minorEastAsia" w:hAnsiTheme="minorEastAsia" w:eastAsiaTheme="minorEastAsia" w:cstheme="minorBidi"/>
                <w:kern w:val="2"/>
                <w:sz w:val="18"/>
                <w:szCs w:val="18"/>
              </w:rPr>
              <w:t>0.10</w:t>
            </w:r>
            <w:r>
              <w:rPr>
                <w:rFonts w:asciiTheme="minorHAnsi" w:hAnsiTheme="minorHAnsi" w:eastAsiaTheme="minorEastAsia" w:cstheme="minorBidi"/>
                <w:kern w:val="2"/>
                <w:sz w:val="18"/>
                <w:szCs w:val="18"/>
              </w:rPr>
              <w:t>＜宽度</w:t>
            </w:r>
            <w:r>
              <w:rPr>
                <w:rFonts w:ascii="宋体" w:hAnsi="宋体" w:eastAsiaTheme="minorEastAsia" w:cstheme="minorBidi"/>
                <w:kern w:val="2"/>
                <w:sz w:val="18"/>
                <w:szCs w:val="18"/>
              </w:rPr>
              <w:t>≤</w:t>
            </w:r>
            <w:r>
              <w:rPr>
                <w:rFonts w:asciiTheme="minorEastAsia" w:hAnsiTheme="minorEastAsia" w:eastAsiaTheme="minorEastAsia" w:cstheme="minorBidi"/>
                <w:kern w:val="2"/>
                <w:sz w:val="18"/>
                <w:szCs w:val="18"/>
              </w:rPr>
              <w:t>0.25</w:t>
            </w:r>
          </w:p>
        </w:tc>
        <w:tc>
          <w:tcPr>
            <w:tcW w:w="3447" w:type="dxa"/>
            <w:tcBorders>
              <w:top w:val="single" w:color="000000" w:sz="4" w:space="0"/>
              <w:left w:val="single" w:color="000000" w:sz="4" w:space="0"/>
              <w:bottom w:val="single" w:color="000000" w:sz="4" w:space="0"/>
              <w:right w:val="single" w:color="auto" w:sz="8" w:space="0"/>
            </w:tcBorders>
            <w:vAlign w:val="center"/>
          </w:tcPr>
          <w:p w14:paraId="44C4FA9B">
            <w:pPr>
              <w:rPr>
                <w:rFonts w:asciiTheme="minorHAnsi" w:hAnsiTheme="minorHAnsi" w:eastAsiaTheme="minorEastAsia" w:cstheme="minorBidi"/>
                <w:kern w:val="2"/>
                <w:sz w:val="18"/>
                <w:szCs w:val="18"/>
              </w:rPr>
            </w:pPr>
            <w:r>
              <w:rPr>
                <w:rFonts w:ascii="宋体" w:hAnsi="宋体" w:eastAsiaTheme="minorEastAsia" w:cstheme="minorBidi"/>
                <w:kern w:val="2"/>
                <w:sz w:val="18"/>
                <w:szCs w:val="18"/>
              </w:rPr>
              <w:t>≤</w:t>
            </w:r>
            <w:r>
              <w:rPr>
                <w:rFonts w:asciiTheme="minorEastAsia" w:hAnsiTheme="minorEastAsia" w:eastAsiaTheme="minorEastAsia" w:cstheme="minorBidi"/>
                <w:kern w:val="2"/>
                <w:sz w:val="18"/>
                <w:szCs w:val="18"/>
              </w:rPr>
              <w:t>40</w:t>
            </w:r>
          </w:p>
        </w:tc>
      </w:tr>
      <w:tr w14:paraId="288B16C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4" w:type="dxa"/>
            <w:left w:w="189" w:type="dxa"/>
            <w:bottom w:w="0" w:type="dxa"/>
            <w:right w:w="115" w:type="dxa"/>
          </w:tblCellMar>
        </w:tblPrEx>
        <w:trPr>
          <w:trHeight w:val="363" w:hRule="atLeast"/>
          <w:jc w:val="center"/>
        </w:trPr>
        <w:tc>
          <w:tcPr>
            <w:tcW w:w="2941" w:type="dxa"/>
            <w:vMerge w:val="continue"/>
            <w:tcBorders>
              <w:top w:val="single" w:color="000000" w:sz="4" w:space="0"/>
              <w:left w:val="single" w:color="auto" w:sz="8" w:space="0"/>
              <w:bottom w:val="single" w:color="000000" w:sz="4" w:space="0"/>
              <w:right w:val="single" w:color="000000" w:sz="4" w:space="0"/>
            </w:tcBorders>
            <w:vAlign w:val="center"/>
          </w:tcPr>
          <w:p w14:paraId="5ACEF413">
            <w:pPr>
              <w:rPr>
                <w:rFonts w:asciiTheme="minorHAnsi" w:hAnsiTheme="minorHAnsi" w:eastAsiaTheme="minorEastAsia" w:cstheme="minorBidi"/>
                <w:kern w:val="2"/>
                <w:sz w:val="18"/>
                <w:szCs w:val="18"/>
              </w:rPr>
            </w:pPr>
          </w:p>
        </w:tc>
        <w:tc>
          <w:tcPr>
            <w:tcW w:w="2867" w:type="dxa"/>
            <w:tcBorders>
              <w:top w:val="single" w:color="000000" w:sz="4" w:space="0"/>
              <w:left w:val="single" w:color="000000" w:sz="4" w:space="0"/>
              <w:bottom w:val="single" w:color="000000" w:sz="4" w:space="0"/>
              <w:right w:val="single" w:color="000000" w:sz="4" w:space="0"/>
            </w:tcBorders>
            <w:vAlign w:val="center"/>
          </w:tcPr>
          <w:p w14:paraId="3733728B">
            <w:pPr>
              <w:rPr>
                <w:rFonts w:asciiTheme="minorHAnsi" w:hAnsiTheme="minorHAnsi" w:eastAsiaTheme="minorEastAsia" w:cstheme="minorBidi"/>
                <w:kern w:val="2"/>
                <w:sz w:val="18"/>
                <w:szCs w:val="18"/>
              </w:rPr>
            </w:pPr>
            <w:r>
              <w:rPr>
                <w:rFonts w:asciiTheme="minorHAnsi" w:hAnsiTheme="minorHAnsi" w:eastAsiaTheme="minorEastAsia" w:cstheme="minorBidi"/>
                <w:kern w:val="2"/>
                <w:sz w:val="18"/>
                <w:szCs w:val="18"/>
              </w:rPr>
              <w:t>宽度＞</w:t>
            </w:r>
            <w:r>
              <w:rPr>
                <w:rFonts w:asciiTheme="minorEastAsia" w:hAnsiTheme="minorEastAsia" w:eastAsiaTheme="minorEastAsia" w:cstheme="minorBidi"/>
                <w:kern w:val="2"/>
                <w:sz w:val="18"/>
                <w:szCs w:val="18"/>
              </w:rPr>
              <w:t>0.25</w:t>
            </w:r>
          </w:p>
        </w:tc>
        <w:tc>
          <w:tcPr>
            <w:tcW w:w="3447" w:type="dxa"/>
            <w:tcBorders>
              <w:top w:val="single" w:color="000000" w:sz="4" w:space="0"/>
              <w:left w:val="single" w:color="000000" w:sz="4" w:space="0"/>
              <w:bottom w:val="single" w:color="000000" w:sz="4" w:space="0"/>
              <w:right w:val="single" w:color="auto" w:sz="8" w:space="0"/>
            </w:tcBorders>
            <w:vAlign w:val="center"/>
          </w:tcPr>
          <w:p w14:paraId="54214A2C">
            <w:pPr>
              <w:rPr>
                <w:rFonts w:asciiTheme="minorHAnsi" w:hAnsiTheme="minorHAnsi" w:eastAsiaTheme="minorEastAsia" w:cstheme="minorBidi"/>
                <w:kern w:val="2"/>
                <w:sz w:val="18"/>
                <w:szCs w:val="18"/>
              </w:rPr>
            </w:pPr>
            <w:r>
              <w:rPr>
                <w:rFonts w:asciiTheme="minorHAnsi" w:hAnsiTheme="minorHAnsi" w:eastAsiaTheme="minorEastAsia" w:cstheme="minorBidi"/>
                <w:kern w:val="2"/>
                <w:sz w:val="18"/>
                <w:szCs w:val="18"/>
              </w:rPr>
              <w:t>不</w:t>
            </w:r>
            <w:r>
              <w:rPr>
                <w:rFonts w:hint="eastAsia" w:asciiTheme="minorHAnsi" w:hAnsiTheme="minorHAnsi" w:eastAsiaTheme="minorEastAsia" w:cstheme="minorBidi"/>
                <w:kern w:val="2"/>
                <w:sz w:val="18"/>
                <w:szCs w:val="18"/>
              </w:rPr>
              <w:t>准</w:t>
            </w:r>
            <w:r>
              <w:rPr>
                <w:rFonts w:asciiTheme="minorHAnsi" w:hAnsiTheme="minorHAnsi" w:eastAsiaTheme="minorEastAsia" w:cstheme="minorBidi"/>
                <w:kern w:val="2"/>
                <w:sz w:val="18"/>
                <w:szCs w:val="18"/>
              </w:rPr>
              <w:t>许</w:t>
            </w:r>
          </w:p>
        </w:tc>
      </w:tr>
      <w:tr w14:paraId="475E8E5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4" w:type="dxa"/>
            <w:left w:w="189" w:type="dxa"/>
            <w:bottom w:w="0" w:type="dxa"/>
            <w:right w:w="115" w:type="dxa"/>
          </w:tblCellMar>
        </w:tblPrEx>
        <w:trPr>
          <w:trHeight w:val="363" w:hRule="atLeast"/>
          <w:jc w:val="center"/>
        </w:trPr>
        <w:tc>
          <w:tcPr>
            <w:tcW w:w="5808" w:type="dxa"/>
            <w:gridSpan w:val="2"/>
            <w:tcBorders>
              <w:top w:val="single" w:color="000000" w:sz="4" w:space="0"/>
              <w:left w:val="single" w:color="auto" w:sz="8" w:space="0"/>
              <w:bottom w:val="single" w:color="auto" w:sz="8" w:space="0"/>
              <w:right w:val="single" w:color="000000" w:sz="4" w:space="0"/>
            </w:tcBorders>
            <w:vAlign w:val="center"/>
          </w:tcPr>
          <w:p w14:paraId="45A55A19">
            <w:pPr>
              <w:rPr>
                <w:rFonts w:asciiTheme="minorHAnsi" w:hAnsiTheme="minorHAnsi" w:eastAsiaTheme="minorEastAsia" w:cstheme="minorBidi"/>
                <w:kern w:val="2"/>
                <w:sz w:val="18"/>
                <w:szCs w:val="18"/>
              </w:rPr>
            </w:pPr>
            <w:bookmarkStart w:id="37" w:name="_Toc173100898"/>
            <w:bookmarkStart w:id="38" w:name="_Toc22715"/>
            <w:bookmarkStart w:id="39" w:name="_Toc91060973"/>
            <w:r>
              <w:rPr>
                <w:rFonts w:hint="eastAsia" w:asciiTheme="minorHAnsi" w:hAnsiTheme="minorHAnsi" w:eastAsiaTheme="minorEastAsia" w:cstheme="minorBidi"/>
                <w:kern w:val="2"/>
                <w:sz w:val="18"/>
                <w:szCs w:val="18"/>
              </w:rPr>
              <w:t>断面层裂</w:t>
            </w:r>
          </w:p>
        </w:tc>
        <w:tc>
          <w:tcPr>
            <w:tcW w:w="3447" w:type="dxa"/>
            <w:tcBorders>
              <w:top w:val="single" w:color="000000" w:sz="4" w:space="0"/>
              <w:left w:val="single" w:color="000000" w:sz="4" w:space="0"/>
              <w:bottom w:val="single" w:color="auto" w:sz="8" w:space="0"/>
              <w:right w:val="single" w:color="auto" w:sz="8" w:space="0"/>
            </w:tcBorders>
            <w:vAlign w:val="center"/>
          </w:tcPr>
          <w:p w14:paraId="64E019FA">
            <w:pPr>
              <w:rPr>
                <w:rFonts w:asciiTheme="minorHAnsi" w:hAnsiTheme="minorHAnsi" w:eastAsiaTheme="minorEastAsia" w:cstheme="minorBidi"/>
                <w:kern w:val="2"/>
                <w:sz w:val="18"/>
                <w:szCs w:val="18"/>
              </w:rPr>
            </w:pPr>
            <w:r>
              <w:rPr>
                <w:rFonts w:hint="eastAsia" w:asciiTheme="minorHAnsi" w:hAnsiTheme="minorHAnsi" w:eastAsiaTheme="minorEastAsia" w:cstheme="minorBidi"/>
                <w:kern w:val="2"/>
                <w:sz w:val="18"/>
                <w:szCs w:val="18"/>
              </w:rPr>
              <w:t>不准许</w:t>
            </w:r>
          </w:p>
        </w:tc>
      </w:tr>
    </w:tbl>
    <w:p w14:paraId="35F7693D">
      <w:pPr>
        <w:pStyle w:val="40"/>
        <w:spacing w:before="312" w:after="312"/>
        <w:outlineLvl w:val="0"/>
      </w:pPr>
      <w:r>
        <w:rPr>
          <w:rFonts w:hint="eastAsia"/>
        </w:rPr>
        <w:t xml:space="preserve">6   </w:t>
      </w:r>
      <w:r>
        <w:t>试验方法</w:t>
      </w:r>
      <w:bookmarkEnd w:id="37"/>
      <w:bookmarkEnd w:id="38"/>
      <w:bookmarkEnd w:id="39"/>
    </w:p>
    <w:p w14:paraId="14A27C22">
      <w:pPr>
        <w:pStyle w:val="50"/>
        <w:spacing w:before="156" w:beforeLines="50" w:after="156" w:afterLines="50"/>
        <w:rPr>
          <w:rFonts w:asciiTheme="minorEastAsia" w:hAnsiTheme="minorEastAsia" w:eastAsiaTheme="minorEastAsia"/>
        </w:rPr>
      </w:pPr>
      <w:bookmarkStart w:id="40" w:name="_Toc91060974"/>
      <w:r>
        <w:rPr>
          <w:rFonts w:hint="eastAsia"/>
        </w:rPr>
        <w:t xml:space="preserve">6.1 </w:t>
      </w:r>
      <w:r>
        <w:rPr>
          <w:rFonts w:asciiTheme="minorEastAsia" w:hAnsiTheme="minorEastAsia" w:eastAsiaTheme="minorEastAsia"/>
        </w:rPr>
        <w:t>试样的制备按</w:t>
      </w:r>
      <w:r>
        <w:rPr>
          <w:rFonts w:ascii="Times New Roman" w:hAnsi="Times New Roman" w:cs="Times New Roman" w:eastAsiaTheme="minorEastAsia"/>
        </w:rPr>
        <w:t>GB/T</w:t>
      </w:r>
      <w:r>
        <w:rPr>
          <w:rFonts w:asciiTheme="minorEastAsia" w:hAnsiTheme="minorEastAsia" w:eastAsiaTheme="minorEastAsia"/>
        </w:rPr>
        <w:t xml:space="preserve"> 7321的规定</w:t>
      </w:r>
      <w:r>
        <w:rPr>
          <w:rFonts w:hint="eastAsia" w:asciiTheme="minorEastAsia" w:hAnsiTheme="minorEastAsia" w:eastAsiaTheme="minorEastAsia"/>
        </w:rPr>
        <w:t>进行</w:t>
      </w:r>
      <w:r>
        <w:rPr>
          <w:rFonts w:asciiTheme="minorEastAsia" w:hAnsiTheme="minorEastAsia" w:eastAsiaTheme="minorEastAsia"/>
        </w:rPr>
        <w:t>。</w:t>
      </w:r>
      <w:bookmarkEnd w:id="40"/>
    </w:p>
    <w:p w14:paraId="5AC67D1B">
      <w:pPr>
        <w:pStyle w:val="50"/>
        <w:spacing w:before="156" w:beforeLines="50" w:after="156" w:afterLines="50"/>
        <w:rPr>
          <w:rFonts w:asciiTheme="minorEastAsia" w:hAnsiTheme="minorEastAsia" w:eastAsiaTheme="minorEastAsia"/>
        </w:rPr>
      </w:pPr>
      <w:bookmarkStart w:id="41" w:name="_Toc91060975"/>
      <w:r>
        <w:rPr>
          <w:rFonts w:hint="eastAsia"/>
        </w:rPr>
        <w:t xml:space="preserve">6.2 </w:t>
      </w:r>
      <w:r>
        <w:rPr>
          <w:rFonts w:asciiTheme="minorEastAsia" w:hAnsiTheme="minorEastAsia" w:eastAsiaTheme="minorEastAsia"/>
        </w:rPr>
        <w:t>化学成分</w:t>
      </w:r>
      <w:r>
        <w:rPr>
          <w:rFonts w:hint="eastAsia" w:asciiTheme="minorEastAsia" w:hAnsiTheme="minorEastAsia" w:eastAsiaTheme="minorEastAsia"/>
        </w:rPr>
        <w:t>的检验</w:t>
      </w:r>
      <w:r>
        <w:rPr>
          <w:rFonts w:asciiTheme="minorEastAsia" w:hAnsiTheme="minorEastAsia" w:eastAsiaTheme="minorEastAsia"/>
        </w:rPr>
        <w:t>按</w:t>
      </w:r>
      <w:r>
        <w:rPr>
          <w:rFonts w:ascii="Times New Roman" w:hAnsi="Times New Roman" w:cs="Times New Roman" w:eastAsiaTheme="minorEastAsia"/>
        </w:rPr>
        <w:t>GB/T</w:t>
      </w:r>
      <w:r>
        <w:rPr>
          <w:rFonts w:asciiTheme="minorEastAsia" w:hAnsiTheme="minorEastAsia" w:eastAsiaTheme="minorEastAsia"/>
        </w:rPr>
        <w:t xml:space="preserve"> </w:t>
      </w:r>
      <w:r>
        <w:rPr>
          <w:rFonts w:hint="eastAsia" w:asciiTheme="minorEastAsia" w:hAnsiTheme="minorEastAsia" w:eastAsiaTheme="minorEastAsia"/>
        </w:rPr>
        <w:t>16555</w:t>
      </w:r>
      <w:r>
        <w:rPr>
          <w:rFonts w:asciiTheme="minorEastAsia" w:hAnsiTheme="minorEastAsia" w:eastAsiaTheme="minorEastAsia"/>
        </w:rPr>
        <w:t>的规定</w:t>
      </w:r>
      <w:r>
        <w:rPr>
          <w:rFonts w:hint="eastAsia" w:asciiTheme="minorEastAsia" w:hAnsiTheme="minorEastAsia" w:eastAsiaTheme="minorEastAsia"/>
        </w:rPr>
        <w:t>进行</w:t>
      </w:r>
      <w:r>
        <w:rPr>
          <w:rFonts w:asciiTheme="minorEastAsia" w:hAnsiTheme="minorEastAsia" w:eastAsiaTheme="minorEastAsia"/>
        </w:rPr>
        <w:t>。</w:t>
      </w:r>
      <w:bookmarkEnd w:id="41"/>
    </w:p>
    <w:p w14:paraId="61C02B47">
      <w:pPr>
        <w:pStyle w:val="50"/>
        <w:spacing w:before="156" w:beforeLines="50" w:after="156" w:afterLines="50"/>
        <w:outlineLvl w:val="9"/>
        <w:rPr>
          <w:rFonts w:eastAsiaTheme="minorEastAsia"/>
        </w:rPr>
      </w:pPr>
      <w:bookmarkStart w:id="42" w:name="_Toc1663"/>
      <w:r>
        <w:rPr>
          <w:rFonts w:hint="eastAsia"/>
          <w:color w:val="000000" w:themeColor="text1"/>
          <w14:textFill>
            <w14:solidFill>
              <w14:schemeClr w14:val="tx1"/>
            </w14:solidFill>
          </w14:textFill>
        </w:rPr>
        <w:t xml:space="preserve">6.3 </w:t>
      </w:r>
      <w:r>
        <w:rPr>
          <w:rFonts w:hint="eastAsia" w:ascii="Times New Roman" w:eastAsiaTheme="minorEastAsia"/>
          <w:color w:val="000000" w:themeColor="text1"/>
          <w14:textFill>
            <w14:solidFill>
              <w14:schemeClr w14:val="tx1"/>
            </w14:solidFill>
          </w14:textFill>
        </w:rPr>
        <w:t>体积密度的检验按GB/T</w:t>
      </w:r>
      <w:r>
        <w:rPr>
          <w:rFonts w:hint="eastAsia" w:ascii="宋体" w:hAnsi="宋体" w:eastAsia="宋体" w:cs="宋体"/>
          <w:color w:val="000000" w:themeColor="text1"/>
          <w14:textFill>
            <w14:solidFill>
              <w14:schemeClr w14:val="tx1"/>
            </w14:solidFill>
          </w14:textFill>
        </w:rPr>
        <w:t xml:space="preserve"> 2997</w:t>
      </w:r>
      <w:r>
        <w:rPr>
          <w:rFonts w:hint="eastAsia" w:ascii="Times New Roman" w:eastAsiaTheme="minorEastAsia"/>
          <w:color w:val="000000" w:themeColor="text1"/>
          <w14:textFill>
            <w14:solidFill>
              <w14:schemeClr w14:val="tx1"/>
            </w14:solidFill>
          </w14:textFill>
        </w:rPr>
        <w:t>的规定进行。</w:t>
      </w:r>
      <w:bookmarkEnd w:id="42"/>
    </w:p>
    <w:p w14:paraId="281A867C">
      <w:pPr>
        <w:pStyle w:val="50"/>
        <w:spacing w:before="156" w:beforeLines="50" w:after="156" w:afterLines="50"/>
        <w:rPr>
          <w:rFonts w:asciiTheme="minorEastAsia" w:hAnsiTheme="minorEastAsia" w:eastAsiaTheme="minorEastAsia"/>
        </w:rPr>
      </w:pPr>
      <w:bookmarkStart w:id="43" w:name="_Toc91060977"/>
      <w:r>
        <w:rPr>
          <w:rFonts w:hint="eastAsia"/>
        </w:rPr>
        <w:t xml:space="preserve">6.4 </w:t>
      </w:r>
      <w:r>
        <w:rPr>
          <w:rFonts w:asciiTheme="minorEastAsia" w:hAnsiTheme="minorEastAsia" w:eastAsiaTheme="minorEastAsia"/>
        </w:rPr>
        <w:t>常温耐压强度</w:t>
      </w:r>
      <w:r>
        <w:rPr>
          <w:rFonts w:hint="eastAsia" w:asciiTheme="minorEastAsia" w:hAnsiTheme="minorEastAsia" w:eastAsiaTheme="minorEastAsia"/>
        </w:rPr>
        <w:t>的检验</w:t>
      </w:r>
      <w:r>
        <w:rPr>
          <w:rFonts w:asciiTheme="minorEastAsia" w:hAnsiTheme="minorEastAsia" w:eastAsiaTheme="minorEastAsia"/>
        </w:rPr>
        <w:t>按</w:t>
      </w:r>
      <w:r>
        <w:rPr>
          <w:rFonts w:hint="eastAsia" w:ascii="Times New Roman" w:hAnsi="Times New Roman" w:cs="Times New Roman" w:eastAsiaTheme="minorEastAsia"/>
        </w:rPr>
        <w:t>附录A</w:t>
      </w:r>
      <w:r>
        <w:rPr>
          <w:rFonts w:asciiTheme="minorEastAsia" w:hAnsiTheme="minorEastAsia" w:eastAsiaTheme="minorEastAsia"/>
        </w:rPr>
        <w:t>的规定</w:t>
      </w:r>
      <w:r>
        <w:rPr>
          <w:rFonts w:hint="eastAsia" w:asciiTheme="minorEastAsia" w:hAnsiTheme="minorEastAsia" w:eastAsiaTheme="minorEastAsia"/>
        </w:rPr>
        <w:t>进行</w:t>
      </w:r>
      <w:r>
        <w:rPr>
          <w:rFonts w:asciiTheme="minorEastAsia" w:hAnsiTheme="minorEastAsia" w:eastAsiaTheme="minorEastAsia"/>
        </w:rPr>
        <w:t>。</w:t>
      </w:r>
      <w:bookmarkEnd w:id="43"/>
    </w:p>
    <w:p w14:paraId="2F6109B1">
      <w:pPr>
        <w:pStyle w:val="50"/>
        <w:spacing w:before="156" w:beforeLines="50" w:after="156" w:afterLines="50"/>
        <w:rPr>
          <w:rFonts w:asciiTheme="minorEastAsia" w:hAnsiTheme="minorEastAsia" w:eastAsiaTheme="minorEastAsia"/>
        </w:rPr>
      </w:pPr>
      <w:r>
        <w:rPr>
          <w:rFonts w:hint="eastAsia"/>
        </w:rPr>
        <w:t xml:space="preserve">6.5 </w:t>
      </w:r>
      <w:r>
        <w:rPr>
          <w:rFonts w:asciiTheme="minorEastAsia" w:hAnsiTheme="minorEastAsia" w:eastAsiaTheme="minorEastAsia"/>
        </w:rPr>
        <w:t>常温抗折强度</w:t>
      </w:r>
      <w:r>
        <w:rPr>
          <w:rFonts w:hint="eastAsia" w:asciiTheme="minorEastAsia" w:hAnsiTheme="minorEastAsia" w:eastAsiaTheme="minorEastAsia"/>
        </w:rPr>
        <w:t>的检验</w:t>
      </w:r>
      <w:r>
        <w:rPr>
          <w:rFonts w:asciiTheme="minorEastAsia" w:hAnsiTheme="minorEastAsia" w:eastAsiaTheme="minorEastAsia"/>
        </w:rPr>
        <w:t>按</w:t>
      </w:r>
      <w:r>
        <w:rPr>
          <w:rFonts w:ascii="Times New Roman" w:hAnsi="Times New Roman" w:cs="Times New Roman" w:eastAsiaTheme="minorEastAsia"/>
        </w:rPr>
        <w:t>GB/T</w:t>
      </w:r>
      <w:r>
        <w:rPr>
          <w:rFonts w:asciiTheme="minorEastAsia" w:hAnsiTheme="minorEastAsia" w:eastAsiaTheme="minorEastAsia"/>
        </w:rPr>
        <w:t xml:space="preserve"> 3001的规定</w:t>
      </w:r>
      <w:r>
        <w:rPr>
          <w:rFonts w:hint="eastAsia" w:asciiTheme="minorEastAsia" w:hAnsiTheme="minorEastAsia" w:eastAsiaTheme="minorEastAsia"/>
        </w:rPr>
        <w:t>进行</w:t>
      </w:r>
      <w:r>
        <w:rPr>
          <w:rFonts w:asciiTheme="minorEastAsia" w:hAnsiTheme="minorEastAsia" w:eastAsiaTheme="minorEastAsia"/>
        </w:rPr>
        <w:t>。</w:t>
      </w:r>
    </w:p>
    <w:p w14:paraId="0408FDC0">
      <w:pPr>
        <w:pStyle w:val="50"/>
        <w:spacing w:before="156" w:beforeLines="50" w:after="156" w:afterLines="50"/>
        <w:rPr>
          <w:rFonts w:asciiTheme="minorEastAsia" w:hAnsiTheme="minorEastAsia" w:eastAsiaTheme="minorEastAsia"/>
        </w:rPr>
      </w:pPr>
      <w:r>
        <w:rPr>
          <w:rFonts w:hint="eastAsia"/>
        </w:rPr>
        <w:t xml:space="preserve">6.6 </w:t>
      </w:r>
      <w:r>
        <w:rPr>
          <w:rFonts w:asciiTheme="minorEastAsia" w:hAnsiTheme="minorEastAsia" w:eastAsiaTheme="minorEastAsia"/>
        </w:rPr>
        <w:t>常温耐磨性</w:t>
      </w:r>
      <w:r>
        <w:rPr>
          <w:rFonts w:hint="eastAsia" w:asciiTheme="minorEastAsia" w:hAnsiTheme="minorEastAsia" w:eastAsiaTheme="minorEastAsia"/>
        </w:rPr>
        <w:t>的检验</w:t>
      </w:r>
      <w:r>
        <w:rPr>
          <w:rFonts w:asciiTheme="minorEastAsia" w:hAnsiTheme="minorEastAsia" w:eastAsiaTheme="minorEastAsia"/>
        </w:rPr>
        <w:t>按</w:t>
      </w:r>
      <w:r>
        <w:rPr>
          <w:rFonts w:ascii="Times New Roman" w:hAnsi="Times New Roman" w:cs="Times New Roman" w:eastAsiaTheme="minorEastAsia"/>
        </w:rPr>
        <w:t>GB/T</w:t>
      </w:r>
      <w:r>
        <w:rPr>
          <w:rFonts w:asciiTheme="minorEastAsia" w:hAnsiTheme="minorEastAsia" w:eastAsiaTheme="minorEastAsia"/>
        </w:rPr>
        <w:t xml:space="preserve"> 18301的规定</w:t>
      </w:r>
      <w:r>
        <w:rPr>
          <w:rFonts w:hint="eastAsia" w:asciiTheme="minorEastAsia" w:hAnsiTheme="minorEastAsia" w:eastAsiaTheme="minorEastAsia"/>
        </w:rPr>
        <w:t>进行</w:t>
      </w:r>
      <w:r>
        <w:rPr>
          <w:rFonts w:asciiTheme="minorEastAsia" w:hAnsiTheme="minorEastAsia" w:eastAsiaTheme="minorEastAsia"/>
        </w:rPr>
        <w:t>。</w:t>
      </w:r>
    </w:p>
    <w:p w14:paraId="758C63E8">
      <w:pPr>
        <w:pStyle w:val="50"/>
        <w:spacing w:before="156" w:beforeLines="50" w:after="156" w:afterLines="50"/>
        <w:outlineLvl w:val="9"/>
        <w:rPr>
          <w:rFonts w:asciiTheme="minorEastAsia" w:hAnsiTheme="minorEastAsia" w:eastAsiaTheme="minorEastAsia"/>
        </w:rPr>
      </w:pPr>
      <w:bookmarkStart w:id="44" w:name="_Toc91060980"/>
      <w:r>
        <w:rPr>
          <w:rFonts w:hint="eastAsia"/>
        </w:rPr>
        <w:t xml:space="preserve">6.7 </w:t>
      </w:r>
      <w:r>
        <w:rPr>
          <w:rFonts w:hint="eastAsia" w:asciiTheme="minorEastAsia" w:hAnsiTheme="minorEastAsia" w:eastAsiaTheme="minorEastAsia"/>
          <w:color w:val="000000" w:themeColor="text1"/>
          <w14:textFill>
            <w14:solidFill>
              <w14:schemeClr w14:val="tx1"/>
            </w14:solidFill>
          </w14:textFill>
        </w:rPr>
        <w:t>尺寸、外观及断面的检查</w:t>
      </w:r>
      <w:r>
        <w:rPr>
          <w:rFonts w:asciiTheme="minorEastAsia" w:hAnsiTheme="minorEastAsia" w:eastAsiaTheme="minorEastAsia"/>
        </w:rPr>
        <w:t>按</w:t>
      </w:r>
      <w:r>
        <w:rPr>
          <w:rFonts w:ascii="Times New Roman" w:hAnsi="Times New Roman" w:cs="Times New Roman" w:eastAsiaTheme="minorEastAsia"/>
        </w:rPr>
        <w:t>GB/T</w:t>
      </w:r>
      <w:r>
        <w:rPr>
          <w:rFonts w:asciiTheme="minorEastAsia" w:hAnsiTheme="minorEastAsia" w:eastAsiaTheme="minorEastAsia"/>
        </w:rPr>
        <w:t xml:space="preserve"> 10326的规定</w:t>
      </w:r>
      <w:r>
        <w:rPr>
          <w:rFonts w:hint="eastAsia" w:asciiTheme="minorEastAsia" w:hAnsiTheme="minorEastAsia" w:eastAsiaTheme="minorEastAsia"/>
        </w:rPr>
        <w:t>进行</w:t>
      </w:r>
      <w:r>
        <w:rPr>
          <w:rFonts w:asciiTheme="minorEastAsia" w:hAnsiTheme="minorEastAsia" w:eastAsiaTheme="minorEastAsia"/>
        </w:rPr>
        <w:t>。</w:t>
      </w:r>
      <w:bookmarkEnd w:id="44"/>
    </w:p>
    <w:p w14:paraId="1BC76CF6">
      <w:pPr>
        <w:pStyle w:val="40"/>
        <w:spacing w:before="312" w:after="312"/>
        <w:outlineLvl w:val="0"/>
      </w:pPr>
      <w:bookmarkStart w:id="45" w:name="_Toc173100899"/>
      <w:bookmarkStart w:id="46" w:name="_Toc91060981"/>
      <w:bookmarkStart w:id="47" w:name="_Toc32464"/>
      <w:r>
        <w:rPr>
          <w:rFonts w:hint="eastAsia"/>
        </w:rPr>
        <w:t>7   检验规则</w:t>
      </w:r>
      <w:bookmarkEnd w:id="45"/>
      <w:bookmarkEnd w:id="46"/>
      <w:bookmarkEnd w:id="47"/>
    </w:p>
    <w:p w14:paraId="4A83B1DD">
      <w:pPr>
        <w:pStyle w:val="53"/>
        <w:spacing w:before="156" w:beforeLines="50" w:after="156" w:afterLines="50"/>
        <w:rPr>
          <w:rFonts w:hAnsi="Times New Roman" w:cs="Times New Roman"/>
        </w:rPr>
      </w:pPr>
      <w:bookmarkStart w:id="48" w:name="_Toc91060982"/>
      <w:r>
        <w:rPr>
          <w:rFonts w:hint="eastAsia" w:hAnsi="Times New Roman" w:cs="Times New Roman"/>
        </w:rPr>
        <w:t>7.1 检验分类</w:t>
      </w:r>
      <w:bookmarkEnd w:id="48"/>
    </w:p>
    <w:p w14:paraId="4A746673">
      <w:pPr>
        <w:pStyle w:val="36"/>
        <w:rPr>
          <w:rFonts w:eastAsia="宋体"/>
        </w:rPr>
      </w:pPr>
      <w:r>
        <w:rPr>
          <w:rFonts w:ascii="Times New Roman"/>
        </w:rPr>
        <w:t>检验</w:t>
      </w:r>
      <w:r>
        <w:rPr>
          <w:rFonts w:hint="eastAsia" w:ascii="Times New Roman"/>
        </w:rPr>
        <w:t>分</w:t>
      </w:r>
      <w:r>
        <w:rPr>
          <w:rFonts w:ascii="Times New Roman"/>
        </w:rPr>
        <w:t>出厂检验和型式检验。</w:t>
      </w:r>
    </w:p>
    <w:p w14:paraId="562CFD38">
      <w:pPr>
        <w:pStyle w:val="53"/>
        <w:spacing w:before="156" w:beforeLines="50" w:after="156" w:afterLines="50"/>
        <w:rPr>
          <w:rFonts w:hAnsi="Times New Roman" w:cs="Times New Roman"/>
        </w:rPr>
      </w:pPr>
      <w:r>
        <w:rPr>
          <w:rFonts w:hint="eastAsia" w:hAnsi="Times New Roman" w:cs="Times New Roman"/>
        </w:rPr>
        <w:t>7.1.1 出厂检验</w:t>
      </w:r>
    </w:p>
    <w:p w14:paraId="0AA21562">
      <w:pPr>
        <w:pStyle w:val="36"/>
        <w:rPr>
          <w:rFonts w:ascii="Times New Roman"/>
        </w:rPr>
      </w:pPr>
      <w:r>
        <w:rPr>
          <w:rFonts w:ascii="Times New Roman"/>
        </w:rPr>
        <w:t>出厂检验项目包括</w:t>
      </w:r>
      <w:r>
        <w:rPr>
          <w:rFonts w:hint="eastAsia" w:ascii="Times New Roman" w:eastAsia="宋体"/>
        </w:rPr>
        <w:t>尺寸外观及断面、</w:t>
      </w:r>
      <w:r>
        <w:rPr>
          <w:rFonts w:hint="eastAsia" w:ascii="Times New Roman"/>
        </w:rPr>
        <w:t>化学成分</w:t>
      </w:r>
      <w:r>
        <w:rPr>
          <w:rFonts w:ascii="Times New Roman"/>
        </w:rPr>
        <w:t>、</w:t>
      </w:r>
      <w:r>
        <w:rPr>
          <w:rFonts w:hint="eastAsia" w:ascii="Times New Roman" w:eastAsia="宋体"/>
        </w:rPr>
        <w:t>体积密度、</w:t>
      </w:r>
      <w:r>
        <w:rPr>
          <w:rFonts w:ascii="Times New Roman"/>
        </w:rPr>
        <w:t>常温耐压强度。</w:t>
      </w:r>
    </w:p>
    <w:p w14:paraId="7CF0C837">
      <w:pPr>
        <w:pStyle w:val="53"/>
        <w:spacing w:before="156" w:beforeLines="50" w:after="156" w:afterLines="50"/>
        <w:rPr>
          <w:rFonts w:hAnsi="Times New Roman" w:cs="Times New Roman"/>
        </w:rPr>
      </w:pPr>
      <w:r>
        <w:rPr>
          <w:rFonts w:hint="eastAsia" w:hAnsi="Times New Roman" w:cs="Times New Roman"/>
        </w:rPr>
        <w:t>7.1.2 型式检验</w:t>
      </w:r>
    </w:p>
    <w:p w14:paraId="50649BA5">
      <w:pPr>
        <w:pStyle w:val="36"/>
        <w:rPr>
          <w:rFonts w:ascii="Times New Roman"/>
        </w:rPr>
      </w:pPr>
      <w:r>
        <w:rPr>
          <w:rFonts w:ascii="Times New Roman"/>
        </w:rPr>
        <w:t>型式检验包括</w:t>
      </w:r>
      <w:r>
        <w:rPr>
          <w:rFonts w:hint="eastAsia" w:ascii="Times New Roman"/>
        </w:rPr>
        <w:t>第</w:t>
      </w:r>
      <w:r>
        <w:rPr>
          <w:rFonts w:hint="eastAsia" w:hAnsi="宋体" w:cs="宋体"/>
        </w:rPr>
        <w:t>5</w:t>
      </w:r>
      <w:r>
        <w:rPr>
          <w:rFonts w:hint="eastAsia" w:ascii="Times New Roman"/>
        </w:rPr>
        <w:t>章</w:t>
      </w:r>
      <w:r>
        <w:rPr>
          <w:rFonts w:ascii="Times New Roman"/>
        </w:rPr>
        <w:t>的全部内容。有下列情况之一时，应进行型式检验：</w:t>
      </w:r>
    </w:p>
    <w:p w14:paraId="58CE2505">
      <w:pPr>
        <w:pStyle w:val="36"/>
        <w:rPr>
          <w:rFonts w:ascii="Times New Roman"/>
        </w:rPr>
      </w:pPr>
      <w:r>
        <w:rPr>
          <w:rFonts w:ascii="Times New Roman"/>
        </w:rPr>
        <w:t>a) 生产工艺或原材料有较大改变时；</w:t>
      </w:r>
    </w:p>
    <w:p w14:paraId="7FF3F7E8">
      <w:pPr>
        <w:pStyle w:val="36"/>
        <w:rPr>
          <w:rFonts w:ascii="Times New Roman"/>
        </w:rPr>
      </w:pPr>
      <w:r>
        <w:rPr>
          <w:rFonts w:ascii="Times New Roman"/>
        </w:rPr>
        <w:t>b) 正常生产时，每年</w:t>
      </w:r>
      <w:r>
        <w:rPr>
          <w:rFonts w:hint="eastAsia" w:ascii="Times New Roman"/>
        </w:rPr>
        <w:t>至少进行两</w:t>
      </w:r>
      <w:r>
        <w:rPr>
          <w:rFonts w:ascii="Times New Roman"/>
        </w:rPr>
        <w:t>次；</w:t>
      </w:r>
    </w:p>
    <w:p w14:paraId="614F2B64">
      <w:pPr>
        <w:pStyle w:val="36"/>
        <w:rPr>
          <w:rFonts w:ascii="Times New Roman"/>
        </w:rPr>
      </w:pPr>
      <w:r>
        <w:rPr>
          <w:rFonts w:ascii="Times New Roman"/>
        </w:rPr>
        <w:t>c) 停产半年以上，恢复生产时；</w:t>
      </w:r>
    </w:p>
    <w:p w14:paraId="0A42A542">
      <w:pPr>
        <w:pStyle w:val="36"/>
        <w:rPr>
          <w:rFonts w:ascii="Times New Roman"/>
        </w:rPr>
      </w:pPr>
      <w:r>
        <w:rPr>
          <w:rFonts w:ascii="Times New Roman"/>
        </w:rPr>
        <w:t>d) 出厂检验结果与上次型式检验结果有较大差异时</w:t>
      </w:r>
      <w:r>
        <w:rPr>
          <w:rFonts w:hint="eastAsia" w:ascii="Times New Roman"/>
        </w:rPr>
        <w:t>。</w:t>
      </w:r>
    </w:p>
    <w:p w14:paraId="6E3A859A">
      <w:pPr>
        <w:pStyle w:val="53"/>
        <w:spacing w:before="156" w:beforeLines="50" w:after="156" w:afterLines="50"/>
        <w:rPr>
          <w:rFonts w:hAnsi="Times New Roman" w:cs="Times New Roman"/>
        </w:rPr>
      </w:pPr>
      <w:bookmarkStart w:id="49" w:name="_Toc91060983"/>
      <w:r>
        <w:rPr>
          <w:rFonts w:hint="eastAsia" w:hAnsi="Times New Roman" w:cs="Times New Roman"/>
        </w:rPr>
        <w:t>7.2 组批</w:t>
      </w:r>
      <w:bookmarkEnd w:id="49"/>
      <w:r>
        <w:rPr>
          <w:rFonts w:hint="eastAsia" w:hAnsi="Times New Roman" w:cs="Times New Roman"/>
        </w:rPr>
        <w:t>与抽样</w:t>
      </w:r>
    </w:p>
    <w:p w14:paraId="234F5759">
      <w:pPr>
        <w:pStyle w:val="53"/>
        <w:spacing w:before="156" w:beforeLines="50" w:after="156" w:afterLines="50"/>
        <w:rPr>
          <w:rFonts w:hAnsi="Times New Roman" w:cs="Times New Roman"/>
        </w:rPr>
      </w:pPr>
      <w:r>
        <w:rPr>
          <w:rFonts w:hint="eastAsia" w:hAnsi="Times New Roman" w:cs="Times New Roman"/>
        </w:rPr>
        <w:t>7.2.1 组批</w:t>
      </w:r>
    </w:p>
    <w:p w14:paraId="24CCF4B2">
      <w:pPr>
        <w:pStyle w:val="36"/>
        <w:rPr>
          <w:rFonts w:eastAsiaTheme="minorEastAsia"/>
        </w:rPr>
      </w:pPr>
      <w:r>
        <w:rPr>
          <w:rFonts w:hint="eastAsia" w:hAnsi="宋体" w:eastAsia="宋体" w:cs="宋体"/>
        </w:rPr>
        <w:t>相同条件生产的制品按牌号及砖型组批，每50</w:t>
      </w:r>
      <w:r>
        <w:rPr>
          <w:rFonts w:ascii="Times New Roman" w:hAnsi="Times New Roman"/>
        </w:rPr>
        <w:t>t</w:t>
      </w:r>
      <w:r>
        <w:rPr>
          <w:rFonts w:hint="eastAsia" w:hAnsi="宋体" w:eastAsia="宋体" w:cs="宋体"/>
        </w:rPr>
        <w:t>制品为一批，不足50</w:t>
      </w:r>
      <w:r>
        <w:rPr>
          <w:rFonts w:ascii="Times New Roman" w:hAnsi="Times New Roman"/>
        </w:rPr>
        <w:t>t</w:t>
      </w:r>
      <w:r>
        <w:rPr>
          <w:rFonts w:hint="eastAsia" w:hAnsi="宋体" w:eastAsia="宋体" w:cs="宋体"/>
        </w:rPr>
        <w:t>时按一批计。</w:t>
      </w:r>
    </w:p>
    <w:p w14:paraId="20D8B56E">
      <w:pPr>
        <w:pStyle w:val="53"/>
        <w:spacing w:before="156" w:beforeLines="50" w:after="156" w:afterLines="50"/>
        <w:rPr>
          <w:rFonts w:hAnsi="Times New Roman" w:cs="Times New Roman"/>
        </w:rPr>
      </w:pPr>
      <w:r>
        <w:rPr>
          <w:rFonts w:hint="eastAsia" w:hAnsi="Times New Roman" w:cs="Times New Roman"/>
        </w:rPr>
        <w:t>7.2.2 抽样</w:t>
      </w:r>
    </w:p>
    <w:p w14:paraId="2DD99BEC">
      <w:pPr>
        <w:pStyle w:val="36"/>
        <w:rPr>
          <w:rFonts w:hAnsi="宋体" w:eastAsia="宋体" w:cs="宋体"/>
        </w:rPr>
      </w:pPr>
      <w:r>
        <w:rPr>
          <w:rFonts w:hint="eastAsia" w:hAnsi="宋体"/>
        </w:rPr>
        <w:t>尺寸外观符合表</w:t>
      </w:r>
      <w:r>
        <w:rPr>
          <w:rFonts w:hint="eastAsia" w:hAnsi="宋体" w:eastAsia="宋体" w:cs="宋体"/>
        </w:rPr>
        <w:t>2</w:t>
      </w:r>
      <w:r>
        <w:rPr>
          <w:rFonts w:hint="eastAsia" w:hAnsi="宋体"/>
        </w:rPr>
        <w:t>要求时，</w:t>
      </w:r>
      <w:r>
        <w:rPr>
          <w:rFonts w:hint="eastAsia" w:hAnsi="宋体" w:eastAsia="宋体" w:cs="宋体"/>
        </w:rPr>
        <w:t>水泥窑用微晶耐火制品</w:t>
      </w:r>
      <w:r>
        <w:rPr>
          <w:rFonts w:hint="eastAsia" w:eastAsia="宋体"/>
        </w:rPr>
        <w:t>的抽样按</w:t>
      </w:r>
      <w:r>
        <w:rPr>
          <w:rFonts w:ascii="Times New Roman" w:hAnsi="Times New Roman" w:eastAsia="宋体"/>
        </w:rPr>
        <w:t>GB/T</w:t>
      </w:r>
      <w:r>
        <w:rPr>
          <w:rFonts w:hint="eastAsia" w:hAnsi="宋体" w:eastAsia="宋体" w:cs="宋体"/>
        </w:rPr>
        <w:t xml:space="preserve"> 10325</w:t>
      </w:r>
      <w:r>
        <w:rPr>
          <w:rFonts w:hint="eastAsia" w:eastAsia="宋体"/>
        </w:rPr>
        <w:t>的规定</w:t>
      </w:r>
      <w:r>
        <w:rPr>
          <w:rFonts w:hint="eastAsia" w:hAnsi="宋体" w:eastAsia="宋体" w:cs="宋体"/>
        </w:rPr>
        <w:t>。</w:t>
      </w:r>
    </w:p>
    <w:p w14:paraId="734E2F6B">
      <w:pPr>
        <w:pStyle w:val="50"/>
        <w:numPr>
          <w:ilvl w:val="1"/>
          <w:numId w:val="0"/>
        </w:numPr>
        <w:tabs>
          <w:tab w:val="left" w:pos="0"/>
        </w:tabs>
        <w:spacing w:before="156" w:after="156"/>
      </w:pPr>
      <w:r>
        <w:rPr>
          <w:rFonts w:hint="eastAsia"/>
        </w:rPr>
        <w:t>7</w:t>
      </w:r>
      <w:r>
        <w:t>.</w:t>
      </w:r>
      <w:r>
        <w:rPr>
          <w:rFonts w:hint="eastAsia"/>
        </w:rPr>
        <w:t>3 合格判定规则</w:t>
      </w:r>
    </w:p>
    <w:p w14:paraId="5404A203">
      <w:pPr>
        <w:pStyle w:val="69"/>
        <w:ind w:firstLine="405"/>
        <w:jc w:val="both"/>
        <w:rPr>
          <w:rFonts w:ascii="Times New Roman" w:eastAsiaTheme="minorEastAsia"/>
        </w:rPr>
      </w:pPr>
      <w:r>
        <w:rPr>
          <w:rFonts w:hint="eastAsia" w:ascii="Times New Roman"/>
        </w:rPr>
        <w:t>符合尺寸外观要求的制品，检验结果符合表</w:t>
      </w:r>
      <w:r>
        <w:rPr>
          <w:rFonts w:hint="eastAsia" w:hAnsi="宋体" w:cs="宋体"/>
        </w:rPr>
        <w:t>1</w:t>
      </w:r>
      <w:r>
        <w:rPr>
          <w:rFonts w:hint="eastAsia" w:ascii="Times New Roman"/>
        </w:rPr>
        <w:t>规定时，判定批制品合格。若检验结果中有任何一项指标不符合要求时，可从该批制品中随机抽取双倍样品对不合格项进行复检，复检结果全部符合要求时，则判定该批制品为合格，否则判定该批制品不合格。</w:t>
      </w:r>
    </w:p>
    <w:p w14:paraId="7BC4D7F2">
      <w:pPr>
        <w:pStyle w:val="40"/>
        <w:spacing w:before="312" w:after="312"/>
        <w:outlineLvl w:val="0"/>
      </w:pPr>
      <w:bookmarkStart w:id="50" w:name="_Toc271818520"/>
      <w:bookmarkStart w:id="51" w:name="_Toc31956"/>
      <w:bookmarkStart w:id="52" w:name="_Toc91060986"/>
      <w:bookmarkStart w:id="53" w:name="_Toc173100900"/>
      <w:r>
        <w:rPr>
          <w:rFonts w:hint="eastAsia" w:ascii="Arial" w:hAnsi="Arial" w:cs="Arial"/>
          <w:szCs w:val="21"/>
        </w:rPr>
        <w:t xml:space="preserve">8   </w:t>
      </w:r>
      <w:r>
        <w:rPr>
          <w:rFonts w:hint="eastAsia"/>
          <w:color w:val="000000" w:themeColor="text1"/>
          <w:szCs w:val="21"/>
          <w14:textFill>
            <w14:solidFill>
              <w14:schemeClr w14:val="tx1"/>
            </w14:solidFill>
          </w14:textFill>
        </w:rPr>
        <w:t>包装、标志、运输、储存及</w:t>
      </w:r>
      <w:bookmarkEnd w:id="50"/>
      <w:r>
        <w:rPr>
          <w:rFonts w:hint="eastAsia"/>
          <w:color w:val="000000" w:themeColor="text1"/>
          <w:szCs w:val="21"/>
          <w14:textFill>
            <w14:solidFill>
              <w14:schemeClr w14:val="tx1"/>
            </w14:solidFill>
          </w14:textFill>
        </w:rPr>
        <w:t>质量证明书</w:t>
      </w:r>
      <w:bookmarkEnd w:id="51"/>
      <w:bookmarkEnd w:id="52"/>
      <w:bookmarkEnd w:id="53"/>
    </w:p>
    <w:p w14:paraId="203EFDC5">
      <w:pPr>
        <w:pStyle w:val="50"/>
        <w:spacing w:before="156" w:beforeLines="50" w:after="156" w:afterLines="50"/>
      </w:pPr>
      <w:bookmarkStart w:id="54" w:name="_Toc91060987"/>
      <w:r>
        <w:rPr>
          <w:rFonts w:hint="eastAsia"/>
        </w:rPr>
        <w:t xml:space="preserve">8.1 </w:t>
      </w:r>
      <w:r>
        <w:rPr>
          <w:rFonts w:hint="eastAsia" w:ascii="宋体" w:hAnsi="宋体" w:eastAsia="宋体" w:cs="宋体"/>
        </w:rPr>
        <w:t>包装、标志、运输及储存按</w:t>
      </w:r>
      <w:r>
        <w:rPr>
          <w:rFonts w:ascii="Times New Roman" w:hAnsi="Times New Roman" w:eastAsia="宋体" w:cs="Times New Roman"/>
        </w:rPr>
        <w:t>GB/T</w:t>
      </w:r>
      <w:r>
        <w:rPr>
          <w:rFonts w:hint="eastAsia" w:ascii="宋体" w:hAnsi="宋体" w:eastAsia="宋体" w:cs="宋体"/>
        </w:rPr>
        <w:t xml:space="preserve"> 16546的规定进行，或由供需双方商定。</w:t>
      </w:r>
      <w:bookmarkEnd w:id="54"/>
    </w:p>
    <w:p w14:paraId="2D6758FA">
      <w:pPr>
        <w:pStyle w:val="36"/>
        <w:numPr>
          <w:ilvl w:val="1"/>
          <w:numId w:val="0"/>
        </w:numPr>
        <w:autoSpaceDE/>
        <w:autoSpaceDN/>
        <w:spacing w:before="156" w:beforeLines="50" w:after="156" w:afterLines="50"/>
        <w:rPr>
          <w:rFonts w:cs="宋体" w:asciiTheme="minorEastAsia" w:hAnsiTheme="minorEastAsia" w:eastAsiaTheme="minorEastAsia"/>
        </w:rPr>
      </w:pPr>
      <w:bookmarkStart w:id="55" w:name="_Toc91060988"/>
      <w:r>
        <w:rPr>
          <w:rFonts w:hint="eastAsia" w:ascii="黑体" w:hAnsi="黑体" w:eastAsia="黑体" w:cs="黑体"/>
        </w:rPr>
        <w:t xml:space="preserve">8.2 </w:t>
      </w:r>
      <w:r>
        <w:rPr>
          <w:rFonts w:hint="eastAsia" w:cs="宋体" w:asciiTheme="minorEastAsia" w:hAnsiTheme="minorEastAsia" w:eastAsiaTheme="minorEastAsia"/>
        </w:rPr>
        <w:t>制品出厂时应附有质量证明书，质量证明书应注明生产厂名、需方名称、制品名称、牌号登记及生产批号、质检专用章、签发人、检验结果、执行文件编号。</w:t>
      </w:r>
      <w:bookmarkEnd w:id="55"/>
    </w:p>
    <w:p w14:paraId="22D28F29">
      <w:pPr>
        <w:widowControl/>
        <w:jc w:val="left"/>
        <w:rPr>
          <w:rFonts w:cs="宋体" w:asciiTheme="minorEastAsia" w:hAnsiTheme="minorEastAsia" w:eastAsiaTheme="minorEastAsia"/>
          <w:szCs w:val="22"/>
        </w:rPr>
      </w:pPr>
      <w:r>
        <w:rPr>
          <w:rFonts w:hint="eastAsia" w:cs="宋体" w:asciiTheme="minorEastAsia" w:hAnsiTheme="minorEastAsia" w:eastAsiaTheme="minorEastAsia"/>
        </w:rPr>
        <w:br w:type="page"/>
      </w:r>
    </w:p>
    <w:p w14:paraId="53B17BCA">
      <w:pPr>
        <w:pStyle w:val="36"/>
        <w:numPr>
          <w:ilvl w:val="1"/>
          <w:numId w:val="0"/>
        </w:numPr>
        <w:autoSpaceDE/>
        <w:autoSpaceDN/>
        <w:rPr>
          <w:rFonts w:cs="宋体" w:asciiTheme="minorEastAsia" w:hAnsiTheme="minorEastAsia" w:eastAsiaTheme="minorEastAsia"/>
        </w:rPr>
      </w:pPr>
    </w:p>
    <w:p w14:paraId="32B50A98">
      <w:pPr>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附录A</w:t>
      </w:r>
    </w:p>
    <w:p w14:paraId="1825BF11">
      <w:pPr>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（规范性）</w:t>
      </w:r>
    </w:p>
    <w:p w14:paraId="11F8B82B">
      <w:pPr>
        <w:pStyle w:val="40"/>
        <w:spacing w:before="156" w:beforeLines="50" w:after="156" w:afterLines="50"/>
        <w:ind w:left="720" w:hanging="720"/>
        <w:jc w:val="center"/>
      </w:pPr>
      <w:r>
        <w:rPr>
          <w:rFonts w:hint="eastAsia"/>
        </w:rPr>
        <w:t>水泥窑用微晶耐火制品 常温耐压强度试验方法</w:t>
      </w:r>
    </w:p>
    <w:p w14:paraId="06D08695">
      <w:pPr>
        <w:pStyle w:val="72"/>
        <w:numPr>
          <w:ilvl w:val="1"/>
          <w:numId w:val="6"/>
        </w:numPr>
        <w:spacing w:before="156" w:after="156"/>
      </w:pPr>
      <w:r>
        <w:rPr>
          <w:rFonts w:hint="eastAsia"/>
        </w:rPr>
        <w:t>范围</w:t>
      </w:r>
    </w:p>
    <w:p w14:paraId="6EE49385">
      <w:pPr>
        <w:pStyle w:val="73"/>
        <w:ind w:firstLine="420"/>
      </w:pPr>
      <w:r>
        <w:rPr>
          <w:rFonts w:hint="eastAsia"/>
        </w:rPr>
        <w:t>本附录规定了水泥窑用微晶耐火制品的常温耐压强度试验方法。</w:t>
      </w:r>
    </w:p>
    <w:p w14:paraId="4EF7D441">
      <w:pPr>
        <w:pStyle w:val="72"/>
        <w:numPr>
          <w:ilvl w:val="1"/>
          <w:numId w:val="6"/>
        </w:numPr>
        <w:spacing w:before="156" w:after="156"/>
      </w:pPr>
      <w:r>
        <w:rPr>
          <w:rFonts w:hint="eastAsia"/>
        </w:rPr>
        <w:t>试样</w:t>
      </w:r>
    </w:p>
    <w:p w14:paraId="4BE1C7F3">
      <w:pPr>
        <w:pStyle w:val="74"/>
        <w:numPr>
          <w:ilvl w:val="2"/>
          <w:numId w:val="6"/>
        </w:numPr>
        <w:spacing w:before="156" w:after="156"/>
        <w:rPr>
          <w:rFonts w:ascii="宋体" w:hAnsi="宋体" w:eastAsia="宋体" w:cs="宋体"/>
        </w:rPr>
      </w:pPr>
      <w:r>
        <w:rPr>
          <w:rFonts w:hint="eastAsia" w:ascii="宋体" w:hAnsi="宋体" w:eastAsia="宋体" w:cs="宋体"/>
        </w:rPr>
        <w:t>取样</w:t>
      </w:r>
    </w:p>
    <w:p w14:paraId="564287E1">
      <w:pPr>
        <w:pStyle w:val="74"/>
        <w:numPr>
          <w:ilvl w:val="0"/>
          <w:numId w:val="0"/>
        </w:numPr>
        <w:spacing w:before="156" w:after="156"/>
        <w:ind w:firstLine="420" w:firstLineChars="200"/>
        <w:rPr>
          <w:rFonts w:ascii="宋体" w:hAnsi="宋体" w:eastAsia="宋体" w:cs="宋体"/>
        </w:rPr>
      </w:pPr>
      <w:r>
        <w:rPr>
          <w:rFonts w:hint="eastAsia" w:ascii="宋体" w:hAnsi="宋体" w:eastAsia="宋体" w:cs="宋体"/>
        </w:rPr>
        <w:t>水泥窑用微晶耐火制品</w:t>
      </w:r>
      <w:r>
        <w:rPr>
          <w:rFonts w:ascii="Times New Roman" w:eastAsia="宋体"/>
        </w:rPr>
        <w:t>按GB/T</w:t>
      </w:r>
      <w:r>
        <w:rPr>
          <w:rFonts w:hint="eastAsia" w:ascii="宋体" w:hAnsi="宋体" w:eastAsia="宋体" w:cs="宋体"/>
        </w:rPr>
        <w:t xml:space="preserve"> 10325</w:t>
      </w:r>
      <w:r>
        <w:rPr>
          <w:rFonts w:ascii="Times New Roman" w:eastAsia="宋体"/>
        </w:rPr>
        <w:t>的</w:t>
      </w:r>
      <w:r>
        <w:rPr>
          <w:rFonts w:hint="eastAsia" w:ascii="宋体" w:hAnsi="宋体" w:eastAsia="宋体" w:cs="宋体"/>
        </w:rPr>
        <w:t>规定或协商进行。</w:t>
      </w:r>
    </w:p>
    <w:p w14:paraId="2514CFB6">
      <w:pPr>
        <w:pStyle w:val="74"/>
        <w:numPr>
          <w:ilvl w:val="2"/>
          <w:numId w:val="6"/>
        </w:numPr>
        <w:spacing w:before="156" w:after="156"/>
        <w:rPr>
          <w:rFonts w:ascii="宋体" w:hAnsi="宋体" w:eastAsia="宋体" w:cs="宋体"/>
        </w:rPr>
      </w:pPr>
      <w:r>
        <w:rPr>
          <w:rFonts w:hint="eastAsia" w:ascii="宋体" w:hAnsi="宋体" w:eastAsia="宋体" w:cs="宋体"/>
        </w:rPr>
        <w:t>试样的制备</w:t>
      </w:r>
    </w:p>
    <w:p w14:paraId="2D4D02CC">
      <w:pPr>
        <w:pStyle w:val="73"/>
        <w:ind w:firstLine="420"/>
        <w:rPr>
          <w:rFonts w:ascii="Times New Roman"/>
        </w:rPr>
      </w:pPr>
      <w:r>
        <w:rPr>
          <w:rFonts w:hint="eastAsia" w:ascii="Times New Roman"/>
        </w:rPr>
        <w:t xml:space="preserve">如图A.1所示，从每个样品上切取1个试样，试样应从制品的端部进行切取长、宽、高分别为        </w:t>
      </w:r>
      <w:r>
        <w:rPr>
          <w:rFonts w:hint="eastAsia" w:hAnsi="宋体" w:cs="宋体"/>
        </w:rPr>
        <w:t>（35 mm±0.5 mm）×（35 mm±0.5 mm）×（35 mm±0.5 mm）</w:t>
      </w:r>
      <w:r>
        <w:rPr>
          <w:rFonts w:hint="eastAsia" w:ascii="Times New Roman"/>
        </w:rPr>
        <w:t>的样品，如果试样的尺寸不能满足上述要求，采用尽可能大的立方体（高度等于边长）。制品工作面为受压面，应做好标记，不应有裂纹等缺陷，否则需要重新制备试样。</w:t>
      </w:r>
    </w:p>
    <w:p w14:paraId="050DBF1A">
      <w:pPr>
        <w:pStyle w:val="73"/>
        <w:ind w:firstLine="420"/>
        <w:jc w:val="center"/>
      </w:pPr>
    </w:p>
    <w:p w14:paraId="7D6F3F7A">
      <w:pPr>
        <w:rPr>
          <w:rFonts w:eastAsiaTheme="minorEastAsia"/>
        </w:rPr>
      </w:pPr>
      <w:r>
        <w:rPr>
          <w:rFonts w:hint="eastAsia"/>
        </w:rPr>
        <w:t xml:space="preserve">  </w:t>
      </w:r>
      <w:r>
        <w:rPr>
          <w:rFonts w:hint="eastAsia" w:eastAsiaTheme="minorEastAsia"/>
        </w:rPr>
        <w:drawing>
          <wp:inline distT="0" distB="0" distL="114300" distR="114300">
            <wp:extent cx="2602865" cy="1654810"/>
            <wp:effectExtent l="0" t="0" r="6985" b="2540"/>
            <wp:docPr id="10" name="图片 10"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3"/>
                    <pic:cNvPicPr>
                      <a:picLocks noChangeAspect="1"/>
                    </pic:cNvPicPr>
                  </pic:nvPicPr>
                  <pic:blipFill>
                    <a:blip r:embed="rId9"/>
                    <a:srcRect l="10161" t="14630" r="9151" b="11307"/>
                    <a:stretch>
                      <a:fillRect/>
                    </a:stretch>
                  </pic:blipFill>
                  <pic:spPr>
                    <a:xfrm>
                      <a:off x="0" y="0"/>
                      <a:ext cx="2602865" cy="1654810"/>
                    </a:xfrm>
                    <a:prstGeom prst="rect">
                      <a:avLst/>
                    </a:prstGeom>
                  </pic:spPr>
                </pic:pic>
              </a:graphicData>
            </a:graphic>
          </wp:inline>
        </w:drawing>
      </w:r>
    </w:p>
    <w:p w14:paraId="5086B44A">
      <w:pPr>
        <w:pStyle w:val="73"/>
        <w:ind w:firstLine="0" w:firstLineChars="0"/>
      </w:pPr>
    </w:p>
    <w:p w14:paraId="04C5749D">
      <w:pPr>
        <w:pStyle w:val="73"/>
        <w:ind w:firstLine="0" w:firstLineChars="0"/>
        <w:jc w:val="center"/>
        <w:rPr>
          <w:rFonts w:ascii="黑体" w:hAnsi="Calibri" w:eastAsia="黑体"/>
        </w:rPr>
      </w:pPr>
      <w:r>
        <w:rPr>
          <w:rFonts w:hint="eastAsia" w:ascii="黑体" w:hAnsi="Calibri" w:eastAsia="黑体"/>
        </w:rPr>
        <w:t>图A.1 水泥窑用微晶耐火制品 常温耐压强度取样示意图</w:t>
      </w:r>
    </w:p>
    <w:p w14:paraId="79ABE0DD">
      <w:pPr>
        <w:pStyle w:val="73"/>
        <w:ind w:firstLine="420"/>
        <w:jc w:val="center"/>
        <w:rPr>
          <w:rFonts w:ascii="黑体" w:hAnsi="Calibri" w:eastAsia="黑体"/>
        </w:rPr>
      </w:pPr>
    </w:p>
    <w:p w14:paraId="0D2C1418">
      <w:pPr>
        <w:pStyle w:val="72"/>
        <w:numPr>
          <w:ilvl w:val="1"/>
          <w:numId w:val="6"/>
        </w:numPr>
        <w:spacing w:before="156" w:after="156"/>
      </w:pPr>
      <w:r>
        <w:rPr>
          <w:rFonts w:hint="eastAsia"/>
        </w:rPr>
        <w:t>常温耐压强度的测定</w:t>
      </w:r>
    </w:p>
    <w:p w14:paraId="2C483770">
      <w:pPr>
        <w:pStyle w:val="73"/>
        <w:ind w:firstLine="420"/>
      </w:pPr>
      <w:r>
        <w:rPr>
          <w:rFonts w:hint="eastAsia"/>
        </w:rPr>
        <w:t>常温耐压强度的测定按</w:t>
      </w:r>
      <w:r>
        <w:rPr>
          <w:rFonts w:ascii="Times New Roman"/>
        </w:rPr>
        <w:t>GB/T</w:t>
      </w:r>
      <w:r>
        <w:rPr>
          <w:rFonts w:hint="eastAsia" w:hAnsi="宋体" w:cs="宋体"/>
        </w:rPr>
        <w:t xml:space="preserve"> 5072</w:t>
      </w:r>
      <w:r>
        <w:rPr>
          <w:rFonts w:hint="eastAsia" w:ascii="Times New Roman"/>
        </w:rPr>
        <w:t>规定进行</w:t>
      </w:r>
      <w:r>
        <w:rPr>
          <w:rFonts w:hint="eastAsia"/>
        </w:rPr>
        <w:t>。</w:t>
      </w:r>
    </w:p>
    <w:p w14:paraId="5CAD1934">
      <w:pPr>
        <w:spacing w:line="360" w:lineRule="auto"/>
        <w:rPr>
          <w:rFonts w:ascii="黑体" w:hAnsi="黑体" w:eastAsia="黑体"/>
          <w:color w:val="000000" w:themeColor="text1"/>
          <w14:textFill>
            <w14:solidFill>
              <w14:schemeClr w14:val="tx1"/>
            </w14:solidFill>
          </w14:textFill>
        </w:rPr>
      </w:pPr>
    </w:p>
    <w:p w14:paraId="763F6CFC">
      <w:pPr>
        <w:spacing w:line="360" w:lineRule="auto"/>
        <w:rPr>
          <w:rFonts w:ascii="黑体" w:hAnsi="黑体" w:eastAsia="黑体"/>
          <w:color w:val="000000" w:themeColor="text1"/>
          <w14:textFill>
            <w14:solidFill>
              <w14:schemeClr w14:val="tx1"/>
            </w14:solidFill>
          </w14:textFill>
        </w:rPr>
      </w:pPr>
    </w:p>
    <w:p w14:paraId="339D89AC">
      <w:pPr>
        <w:spacing w:line="360" w:lineRule="auto"/>
        <w:rPr>
          <w:rFonts w:ascii="黑体" w:hAnsi="黑体" w:eastAsia="黑体"/>
          <w:color w:val="000000" w:themeColor="text1"/>
          <w14:textFill>
            <w14:solidFill>
              <w14:schemeClr w14:val="tx1"/>
            </w14:solidFill>
          </w14:textFill>
        </w:rPr>
      </w:pPr>
    </w:p>
    <w:p w14:paraId="6BD2F798">
      <w:pPr>
        <w:spacing w:line="360" w:lineRule="auto"/>
        <w:rPr>
          <w:rFonts w:ascii="黑体" w:hAnsi="黑体" w:eastAsia="黑体"/>
          <w:color w:val="000000" w:themeColor="text1"/>
          <w14:textFill>
            <w14:solidFill>
              <w14:schemeClr w14:val="tx1"/>
            </w14:solidFill>
          </w14:textFill>
        </w:rPr>
      </w:pPr>
    </w:p>
    <w:p w14:paraId="5E4D33F5">
      <w:pPr>
        <w:spacing w:line="360" w:lineRule="auto"/>
        <w:rPr>
          <w:rFonts w:ascii="黑体" w:hAnsi="黑体" w:eastAsia="黑体"/>
          <w:color w:val="000000" w:themeColor="text1"/>
          <w14:textFill>
            <w14:solidFill>
              <w14:schemeClr w14:val="tx1"/>
            </w14:solidFill>
          </w14:textFill>
        </w:rPr>
      </w:pPr>
    </w:p>
    <w:p w14:paraId="672484A5">
      <w:pPr>
        <w:spacing w:line="360" w:lineRule="auto"/>
        <w:rPr>
          <w:rFonts w:ascii="黑体" w:hAnsi="黑体" w:eastAsia="黑体"/>
          <w:color w:val="000000" w:themeColor="text1"/>
          <w14:textFill>
            <w14:solidFill>
              <w14:schemeClr w14:val="tx1"/>
            </w14:solidFill>
          </w14:textFill>
        </w:rPr>
      </w:pPr>
    </w:p>
    <w:p w14:paraId="6B2E51BF">
      <w:pPr>
        <w:rPr>
          <w:rFonts w:ascii="黑体" w:hAnsi="黑体" w:eastAsia="黑体"/>
          <w:color w:val="000000" w:themeColor="text1"/>
          <w14:textFill>
            <w14:solidFill>
              <w14:schemeClr w14:val="tx1"/>
            </w14:solidFill>
          </w14:textFill>
        </w:rPr>
      </w:pPr>
    </w:p>
    <w:p w14:paraId="29DB8124">
      <w:pPr>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附录</w:t>
      </w:r>
      <w:r>
        <w:rPr>
          <w:rFonts w:ascii="黑体" w:hAnsi="黑体" w:eastAsia="黑体"/>
          <w:color w:val="000000" w:themeColor="text1"/>
          <w14:textFill>
            <w14:solidFill>
              <w14:schemeClr w14:val="tx1"/>
            </w14:solidFill>
          </w14:textFill>
        </w:rPr>
        <w:t>B</w:t>
      </w:r>
    </w:p>
    <w:p w14:paraId="7CD383DD">
      <w:pPr>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（资料性）</w:t>
      </w:r>
    </w:p>
    <w:p w14:paraId="6378AF74">
      <w:pPr>
        <w:pStyle w:val="40"/>
        <w:spacing w:before="156" w:beforeLines="50" w:after="156" w:afterLines="50"/>
        <w:ind w:left="720" w:hanging="720"/>
        <w:jc w:val="center"/>
      </w:pPr>
      <w:r>
        <w:rPr>
          <w:rFonts w:hint="eastAsia"/>
        </w:rPr>
        <w:t>水泥窑用微晶耐火制品用连接件</w:t>
      </w:r>
    </w:p>
    <w:p w14:paraId="4D0B66BE">
      <w:pPr>
        <w:pStyle w:val="72"/>
        <w:numPr>
          <w:ilvl w:val="1"/>
          <w:numId w:val="7"/>
        </w:numPr>
        <w:spacing w:before="156" w:after="156"/>
      </w:pPr>
      <w:r>
        <w:rPr>
          <w:rFonts w:hint="eastAsia"/>
        </w:rPr>
        <w:t>范围</w:t>
      </w:r>
    </w:p>
    <w:p w14:paraId="322FBD3F">
      <w:pPr>
        <w:pStyle w:val="73"/>
        <w:ind w:firstLine="420"/>
      </w:pPr>
      <w:r>
        <w:rPr>
          <w:rFonts w:hint="eastAsia"/>
        </w:rPr>
        <w:t>本附录规定了水泥窑用微晶耐火制品用连接件选材要求。</w:t>
      </w:r>
    </w:p>
    <w:p w14:paraId="2508ED5C">
      <w:pPr>
        <w:pStyle w:val="72"/>
        <w:numPr>
          <w:ilvl w:val="1"/>
          <w:numId w:val="7"/>
        </w:numPr>
        <w:spacing w:before="156" w:after="156"/>
      </w:pPr>
      <w:r>
        <w:rPr>
          <w:rFonts w:hint="eastAsia"/>
        </w:rPr>
        <w:t>连接件</w:t>
      </w:r>
    </w:p>
    <w:p w14:paraId="597264DF">
      <w:pPr>
        <w:pStyle w:val="74"/>
        <w:numPr>
          <w:ilvl w:val="2"/>
          <w:numId w:val="7"/>
        </w:numPr>
        <w:spacing w:before="156" w:after="156"/>
        <w:rPr>
          <w:rFonts w:ascii="宋体" w:hAnsi="宋体" w:eastAsia="宋体" w:cs="宋体"/>
        </w:rPr>
      </w:pPr>
      <w:r>
        <w:rPr>
          <w:rFonts w:hint="eastAsia" w:ascii="宋体" w:hAnsi="宋体" w:eastAsia="宋体" w:cs="宋体"/>
        </w:rPr>
        <w:t>分类</w:t>
      </w:r>
    </w:p>
    <w:p w14:paraId="5F561E86">
      <w:pPr>
        <w:pStyle w:val="74"/>
        <w:numPr>
          <w:ilvl w:val="0"/>
          <w:numId w:val="0"/>
        </w:numPr>
        <w:spacing w:before="156" w:after="156"/>
        <w:ind w:firstLine="420" w:firstLineChars="200"/>
        <w:rPr>
          <w:rFonts w:ascii="宋体" w:hAnsi="宋体" w:eastAsia="宋体" w:cs="宋体"/>
        </w:rPr>
      </w:pPr>
      <w:r>
        <w:rPr>
          <w:rFonts w:hint="eastAsia" w:ascii="宋体" w:hAnsi="宋体" w:eastAsia="宋体" w:cs="宋体"/>
        </w:rPr>
        <w:t>水泥窑用微晶耐火制品用连接件分为</w:t>
      </w:r>
      <w:r>
        <w:rPr>
          <w:rFonts w:hint="eastAsia" w:cs="宋体" w:asciiTheme="minorEastAsia" w:hAnsiTheme="minorEastAsia" w:eastAsiaTheme="minorEastAsia"/>
        </w:rPr>
        <w:t>304</w:t>
      </w:r>
      <w:r>
        <w:rPr>
          <w:rFonts w:hint="eastAsia" w:ascii="宋体" w:hAnsi="宋体" w:eastAsia="宋体" w:cs="宋体"/>
        </w:rPr>
        <w:t>不锈钢和</w:t>
      </w:r>
      <w:r>
        <w:rPr>
          <w:rFonts w:hint="eastAsia" w:cs="宋体" w:asciiTheme="minorEastAsia" w:hAnsiTheme="minorEastAsia" w:eastAsiaTheme="minorEastAsia"/>
        </w:rPr>
        <w:t>2520</w:t>
      </w:r>
      <w:r>
        <w:rPr>
          <w:rFonts w:hint="eastAsia" w:ascii="宋体" w:hAnsi="宋体" w:eastAsia="宋体" w:cs="宋体"/>
        </w:rPr>
        <w:t>耐高温不锈钢。</w:t>
      </w:r>
    </w:p>
    <w:p w14:paraId="2565EA19">
      <w:pPr>
        <w:pStyle w:val="74"/>
        <w:numPr>
          <w:ilvl w:val="2"/>
          <w:numId w:val="7"/>
        </w:numPr>
        <w:spacing w:before="156" w:after="156"/>
        <w:rPr>
          <w:rFonts w:ascii="宋体" w:hAnsi="宋体" w:eastAsia="宋体" w:cs="宋体"/>
        </w:rPr>
      </w:pPr>
      <w:r>
        <w:rPr>
          <w:rFonts w:hint="eastAsia" w:ascii="宋体" w:hAnsi="宋体" w:eastAsia="宋体" w:cs="宋体"/>
        </w:rPr>
        <w:t>选材要求</w:t>
      </w:r>
    </w:p>
    <w:p w14:paraId="662B2C23">
      <w:pPr>
        <w:pStyle w:val="73"/>
        <w:ind w:firstLine="420"/>
        <w:rPr>
          <w:rFonts w:ascii="Times New Roman"/>
        </w:rPr>
      </w:pPr>
      <w:r>
        <w:rPr>
          <w:rFonts w:hint="eastAsia" w:ascii="Times New Roman"/>
        </w:rPr>
        <w:t>如图B.</w:t>
      </w:r>
      <w:r>
        <w:rPr>
          <w:rFonts w:hint="eastAsia" w:asciiTheme="minorEastAsia" w:hAnsiTheme="minorEastAsia" w:eastAsiaTheme="minorEastAsia"/>
        </w:rPr>
        <w:t>1</w:t>
      </w:r>
      <w:r>
        <w:rPr>
          <w:rFonts w:hint="eastAsia" w:ascii="Times New Roman"/>
        </w:rPr>
        <w:t>所示，h</w:t>
      </w:r>
      <w:r>
        <w:rPr>
          <w:rFonts w:hint="eastAsia" w:hAnsi="宋体"/>
        </w:rPr>
        <w:t>≥</w:t>
      </w:r>
      <w:r>
        <w:rPr>
          <w:rFonts w:asciiTheme="minorEastAsia" w:hAnsiTheme="minorEastAsia" w:eastAsiaTheme="minorEastAsia"/>
        </w:rPr>
        <w:t>50</w:t>
      </w:r>
      <w:r>
        <w:rPr>
          <w:rFonts w:ascii="Times New Roman"/>
        </w:rPr>
        <w:t>mm</w:t>
      </w:r>
      <w:r>
        <w:rPr>
          <w:rFonts w:hint="eastAsia" w:ascii="Times New Roman"/>
        </w:rPr>
        <w:t>时，水泥窑用微晶耐火制品用连接件推荐采用</w:t>
      </w:r>
      <w:r>
        <w:rPr>
          <w:rFonts w:hint="eastAsia" w:asciiTheme="minorEastAsia" w:hAnsiTheme="minorEastAsia" w:eastAsiaTheme="minorEastAsia"/>
        </w:rPr>
        <w:t>304</w:t>
      </w:r>
      <w:r>
        <w:rPr>
          <w:rFonts w:hint="eastAsia" w:ascii="Times New Roman"/>
        </w:rPr>
        <w:t>不锈钢；h</w:t>
      </w:r>
      <w:r>
        <w:rPr>
          <w:rFonts w:ascii="Times New Roman"/>
        </w:rPr>
        <w:t>&lt;</w:t>
      </w:r>
      <w:r>
        <w:rPr>
          <w:rFonts w:hint="eastAsia" w:asciiTheme="minorEastAsia" w:hAnsiTheme="minorEastAsia" w:eastAsiaTheme="minorEastAsia"/>
        </w:rPr>
        <w:t>50</w:t>
      </w:r>
      <w:r>
        <w:rPr>
          <w:rFonts w:ascii="Times New Roman"/>
        </w:rPr>
        <w:t>mm</w:t>
      </w:r>
      <w:r>
        <w:rPr>
          <w:rFonts w:hint="eastAsia" w:ascii="Times New Roman"/>
        </w:rPr>
        <w:t>，水泥窑用微晶耐火制品用连接件推荐采用</w:t>
      </w:r>
      <w:r>
        <w:rPr>
          <w:rFonts w:hint="eastAsia" w:asciiTheme="minorEastAsia" w:hAnsiTheme="minorEastAsia" w:eastAsiaTheme="minorEastAsia"/>
        </w:rPr>
        <w:t>2520</w:t>
      </w:r>
      <w:r>
        <w:rPr>
          <w:rFonts w:hint="eastAsia" w:ascii="Times New Roman"/>
        </w:rPr>
        <w:t>耐高温不锈钢。</w:t>
      </w:r>
    </w:p>
    <w:p w14:paraId="76C18BE4">
      <w:pPr>
        <w:rPr>
          <w:rFonts w:eastAsiaTheme="minorEastAsia"/>
        </w:rPr>
      </w:pPr>
      <w:r>
        <w:rPr>
          <w:rFonts w:hint="eastAsia"/>
        </w:rPr>
        <w:t xml:space="preserve">  </w:t>
      </w:r>
      <w:r>
        <w:rPr>
          <w:rFonts w:eastAsiaTheme="minorEastAsia"/>
        </w:rPr>
        <w:drawing>
          <wp:inline distT="0" distB="0" distL="0" distR="0">
            <wp:extent cx="4627245" cy="1773555"/>
            <wp:effectExtent l="0" t="0" r="190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0">
                      <a:extLst>
                        <a:ext uri="{28A0092B-C50C-407E-A947-70E740481C1C}">
                          <a14:useLocalDpi xmlns:a14="http://schemas.microsoft.com/office/drawing/2010/main" val="0"/>
                        </a:ext>
                      </a:extLst>
                    </a:blip>
                    <a:srcRect l="4760" t="21569" r="5466" b="28288"/>
                    <a:stretch>
                      <a:fillRect/>
                    </a:stretch>
                  </pic:blipFill>
                  <pic:spPr>
                    <a:xfrm>
                      <a:off x="0" y="0"/>
                      <a:ext cx="4634650" cy="1776664"/>
                    </a:xfrm>
                    <a:prstGeom prst="rect">
                      <a:avLst/>
                    </a:prstGeom>
                    <a:ln>
                      <a:noFill/>
                    </a:ln>
                  </pic:spPr>
                </pic:pic>
              </a:graphicData>
            </a:graphic>
          </wp:inline>
        </w:drawing>
      </w:r>
    </w:p>
    <w:p w14:paraId="4F90E364">
      <w:pPr>
        <w:pStyle w:val="73"/>
        <w:ind w:firstLine="0" w:firstLineChars="0"/>
        <w:jc w:val="center"/>
        <w:rPr>
          <w:rFonts w:ascii="黑体" w:hAnsi="Calibri" w:eastAsia="黑体"/>
        </w:rPr>
      </w:pPr>
      <w:r>
        <w:rPr>
          <w:rFonts w:hint="eastAsia" w:ascii="黑体" w:hAnsi="Calibri" w:eastAsia="黑体"/>
        </w:rPr>
        <w:t>图B.1 水泥窑用微晶耐火制品用连接件应用示意图</w:t>
      </w:r>
    </w:p>
    <w:p w14:paraId="07342324">
      <w:pPr>
        <w:pStyle w:val="73"/>
        <w:ind w:firstLine="420"/>
        <w:jc w:val="center"/>
        <w:rPr>
          <w:rFonts w:ascii="黑体" w:hAnsi="Calibri" w:eastAsia="黑体"/>
        </w:rPr>
      </w:pPr>
    </w:p>
    <w:p w14:paraId="0A255170">
      <w:pPr>
        <w:spacing w:line="360" w:lineRule="auto"/>
        <w:rPr>
          <w:rFonts w:ascii="黑体" w:hAnsi="黑体" w:eastAsia="黑体"/>
          <w:color w:val="000000" w:themeColor="text1"/>
          <w14:textFill>
            <w14:solidFill>
              <w14:schemeClr w14:val="tx1"/>
            </w14:solidFill>
          </w14:textFill>
        </w:rPr>
      </w:pPr>
    </w:p>
    <w:p w14:paraId="6BA7217E">
      <w:pPr>
        <w:spacing w:line="360" w:lineRule="auto"/>
        <w:rPr>
          <w:rFonts w:ascii="黑体" w:hAnsi="黑体" w:eastAsia="黑体"/>
          <w:color w:val="000000" w:themeColor="text1"/>
          <w14:textFill>
            <w14:solidFill>
              <w14:schemeClr w14:val="tx1"/>
            </w14:solidFill>
          </w14:textFill>
        </w:rPr>
      </w:pPr>
    </w:p>
    <w:p w14:paraId="020B9FF2">
      <w:pPr>
        <w:spacing w:line="360" w:lineRule="auto"/>
        <w:rPr>
          <w:rFonts w:ascii="黑体" w:hAnsi="黑体" w:eastAsia="黑体"/>
          <w:color w:val="000000" w:themeColor="text1"/>
          <w14:textFill>
            <w14:solidFill>
              <w14:schemeClr w14:val="tx1"/>
            </w14:solidFill>
          </w14:textFill>
        </w:rPr>
      </w:pPr>
    </w:p>
    <w:p w14:paraId="21FE74DF">
      <w:pPr>
        <w:spacing w:line="360" w:lineRule="auto"/>
        <w:rPr>
          <w:rFonts w:ascii="黑体" w:hAnsi="黑体" w:eastAsia="黑体"/>
          <w:color w:val="000000" w:themeColor="text1"/>
          <w14:textFill>
            <w14:solidFill>
              <w14:schemeClr w14:val="tx1"/>
            </w14:solidFill>
          </w14:textFill>
        </w:rPr>
      </w:pPr>
    </w:p>
    <w:p w14:paraId="007E581B">
      <w:pPr>
        <w:pStyle w:val="41"/>
        <w:framePr w:wrap="around" w:hAnchor="page" w:x="4402" w:y="203"/>
      </w:pPr>
      <w:r>
        <w:rPr>
          <w:rFonts w:hint="eastAsia"/>
        </w:rPr>
        <w:t>_________________________________</w:t>
      </w:r>
    </w:p>
    <w:p w14:paraId="65EC6515">
      <w:pPr>
        <w:pStyle w:val="36"/>
        <w:numPr>
          <w:ilvl w:val="1"/>
          <w:numId w:val="0"/>
        </w:numPr>
        <w:autoSpaceDE/>
        <w:autoSpaceDN/>
        <w:rPr>
          <w:rFonts w:cs="宋体" w:asciiTheme="minorEastAsia" w:hAnsiTheme="minorEastAsia" w:eastAsiaTheme="minorEastAsia"/>
        </w:rPr>
      </w:pPr>
    </w:p>
    <w:sectPr>
      <w:footerReference r:id="rId7" w:type="default"/>
      <w:pgSz w:w="11906" w:h="16838"/>
      <w:pgMar w:top="1701" w:right="1134" w:bottom="1134" w:left="1418" w:header="1361" w:footer="1134" w:gutter="0"/>
      <w:pgBorders>
        <w:top w:val="none" w:sz="0" w:space="0"/>
        <w:left w:val="none" w:sz="0" w:space="0"/>
        <w:bottom w:val="none" w:sz="0" w:space="0"/>
        <w:right w:val="none" w:sz="0" w:space="0"/>
      </w:pgBorders>
      <w:pgNumType w:start="1"/>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DE8B0E">
    <w:pPr>
      <w:pStyle w:val="9"/>
    </w:pPr>
    <w:r>
      <mc:AlternateContent>
        <mc:Choice Requires="wps">
          <w:drawing>
            <wp:anchor distT="0" distB="0" distL="114300" distR="114300" simplePos="0" relativeHeight="251662336" behindDoc="0" locked="0" layoutInCell="1" allowOverlap="1">
              <wp:simplePos x="0" y="0"/>
              <wp:positionH relativeFrom="margin">
                <wp:posOffset>7620</wp:posOffset>
              </wp:positionH>
              <wp:positionV relativeFrom="paragraph">
                <wp:posOffset>102235</wp:posOffset>
              </wp:positionV>
              <wp:extent cx="58420" cy="139700"/>
              <wp:effectExtent l="0" t="0" r="11430" b="6350"/>
              <wp:wrapNone/>
              <wp:docPr id="7" name="文本框 7"/>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w="6350">
                        <a:noFill/>
                      </a:ln>
                      <a:effectLst/>
                    </wps:spPr>
                    <wps:txbx>
                      <w:txbxContent>
                        <w:p w14:paraId="7C116820">
                          <w:pPr>
                            <w:pStyle w:val="9"/>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0.6pt;margin-top:8.05pt;height:11pt;width:4.6pt;mso-position-horizontal-relative:margin;mso-wrap-style:none;z-index:251662336;mso-width-relative:page;mso-height-relative:page;" filled="f" stroked="f" coordsize="21600,21600" o:gfxdata="UEsDBAoAAAAAAIdO4kAAAAAAAAAAAAAAAAAEAAAAZHJzL1BLAwQUAAAACACHTuJA7e5f5dMAAAAG&#10;AQAADwAAAGRycy9kb3ducmV2LnhtbE2OwU7DMBBE70j8g7VI3KidtqqqNE4lKsIRiYYDRzfeJoF4&#10;HdluGv6e7QlOo9GMZl6xn90gJgyx96QhWygQSI23PbUaPurqaQsiJkPWDJ5Qww9G2Jf3d4XJrb/S&#10;O07H1AoeoZgbDV1KYy5lbDp0Ji78iMTZ2QdnEtvQShvMlcfdIJdKbaQzPfFDZ0Y8dNh8Hy9Ow6Gq&#10;6zBhDMMnvlarr7fnNb7MWj8+ZGoHIuGc/spww2d0KJnp5C9koxjYL7nIsslA3GK1BnHSsNpmIMtC&#10;/scvfwFQSwMEFAAAAAgAh07iQHGuEm82AgAAYAQAAA4AAABkcnMvZTJvRG9jLnhtbK1UzY7TMBC+&#10;I/EOlu80bZf9oWq6KlsVIVXsSgVxdh2nieQ/2W6T8gDwBpy4cOe5+hx8dpouWjjsgYsz9oy/me/z&#10;TKa3rZJkL5yvjc7paDCkRGhuilpvc/rp4/LVDSU+MF0wabTI6UF4ejt7+WLa2IkYm8rIQjgCEO0n&#10;jc1pFYKdZJnnlVDMD4wVGs7SOMUCtm6bFY41QFcyGw+HV1ljXGGd4cJ7nC46Jz0huucAmrKsuVgY&#10;vlNChw7VCckCKPmqtp7OUrVlKXi4L0svApE5BdOQViSBvYlrNpuyydYxW9X8VAJ7TglPOClWayQ9&#10;Qy1YYGTn6r+gVM2d8aYMA25U1hFJioDFaPhEm3XFrEhcILW3Z9H9/4PlH/YPjtRFTq8p0UzhwY/f&#10;vx1//Dr+/EquozyN9RNErS3iQvvWtGia/tzjMLJuS6fiF3wI/BD3cBZXtIFwHF7evB7DweEZXby5&#10;Hibts8e71vnwThhFopFTh6dLirL9ygfUgdA+JKbSZllLmZ5PatLk9OricpgunD24IXWMFakRTjCR&#10;T1d3tEK7aU8kN6Y4gKMzXZN4y5c1SlkxHx6YQ1egesxNuMdSSoOU5mRRUhn35V/nMR6PBS8lDbos&#10;pxpDRYl8r/GIAAy94Xpj0xt6p+4M2naEebQ8mbjgguzN0hn1GcM0jzngYpojU05Db96FrtMxjFzM&#10;5ykIbWdZWOm15RE6yuPtfBcgZ1I5itIpAcnjBo2XxD8NSezsP/cp6vHHMPs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7e5f5dMAAAAGAQAADwAAAAAAAAABACAAAAAiAAAAZHJzL2Rvd25yZXYueG1s&#10;UEsBAhQAFAAAAAgAh07iQHGuEm82AgAAYAQAAA4AAAAAAAAAAQAgAAAAIgEAAGRycy9lMm9Eb2Mu&#10;eG1sUEsFBgAAAAAGAAYAWQEAAMoFAAAAAA==&#10;">
              <v:fill on="f" focussize="0,0"/>
              <v:stroke on="f" weight="0.5pt"/>
              <v:imagedata o:title=""/>
              <o:lock v:ext="edit" aspectratio="f"/>
              <v:textbox inset="0mm,0mm,0mm,0mm" style="mso-fit-shape-to-text:t;">
                <w:txbxContent>
                  <w:p w14:paraId="7C116820">
                    <w:pPr>
                      <w:pStyle w:val="9"/>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p w14:paraId="784ABC3F">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D3530D">
    <w:pPr>
      <w:pStyle w:val="51"/>
    </w:pPr>
    <w:r>
      <w:fldChar w:fldCharType="begin"/>
    </w:r>
    <w:r>
      <w:instrText xml:space="preserve"> PAGE  \* MERGEFORMAT </w:instrText>
    </w:r>
    <w:r>
      <w:fldChar w:fldCharType="separate"/>
    </w:r>
    <w:r>
      <w:t>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72704">
    <w:pPr>
      <w:pStyle w:val="51"/>
    </w:pPr>
    <w:r>
      <w:fldChar w:fldCharType="begin"/>
    </w:r>
    <w:r>
      <w:instrText xml:space="preserve"> PAGE  \* MERGEFORMAT </w:instrText>
    </w:r>
    <w:r>
      <w:fldChar w:fldCharType="separate"/>
    </w:r>
    <w:r>
      <w:t>5</w:t>
    </w:r>
    <w:r>
      <w:fldChar w:fldCharType="end"/>
    </w:r>
  </w:p>
  <w:p w14:paraId="22AFF2DC"/>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C7307">
    <w:r>
      <w:t xml:space="preserve">                                                                      JC/T XXXXX—20XX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21232E">
    <w:pPr>
      <w:pStyle w:val="52"/>
      <w:spacing w:after="284"/>
    </w:pPr>
    <w:r>
      <w:rPr>
        <w:rFonts w:ascii="Times New Roman"/>
      </w:rPr>
      <w:t>JC/T</w:t>
    </w:r>
    <w:r>
      <w:t xml:space="preserve"> </w:t>
    </w:r>
    <w:r>
      <w:rPr>
        <w:rFonts w:hint="eastAsia"/>
      </w:rPr>
      <w:t>XXXXX</w:t>
    </w:r>
    <w:r>
      <w:t>—</w:t>
    </w:r>
    <w:r>
      <w:rPr>
        <w:rFonts w:hint="eastAsia"/>
      </w:rPr>
      <w:t>20XX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A00B5E"/>
    <w:multiLevelType w:val="multilevel"/>
    <w:tmpl w:val="A7A00B5E"/>
    <w:lvl w:ilvl="0" w:tentative="0">
      <w:start w:val="1"/>
      <w:numFmt w:val="lowerLetter"/>
      <w:pStyle w:val="71"/>
      <w:lvlText w:val="%1)"/>
      <w:lvlJc w:val="left"/>
      <w:pPr>
        <w:tabs>
          <w:tab w:val="left" w:pos="840"/>
        </w:tabs>
        <w:ind w:left="839" w:hanging="419"/>
      </w:pPr>
      <w:rPr>
        <w:rFonts w:hint="eastAsia" w:ascii="宋体" w:eastAsia="宋体"/>
        <w:b w:val="0"/>
        <w:i w:val="0"/>
        <w:sz w:val="21"/>
        <w:szCs w:val="21"/>
      </w:rPr>
    </w:lvl>
    <w:lvl w:ilvl="1" w:tentative="0">
      <w:start w:val="1"/>
      <w:numFmt w:val="decimal"/>
      <w:pStyle w:val="72"/>
      <w:lvlText w:val="%2)"/>
      <w:lvlJc w:val="left"/>
      <w:pPr>
        <w:tabs>
          <w:tab w:val="left" w:pos="1260"/>
        </w:tabs>
        <w:ind w:left="1259" w:hanging="419"/>
      </w:pPr>
      <w:rPr>
        <w:rFonts w:hint="eastAsia"/>
      </w:rPr>
    </w:lvl>
    <w:lvl w:ilvl="2" w:tentative="0">
      <w:start w:val="1"/>
      <w:numFmt w:val="decimal"/>
      <w:pStyle w:val="74"/>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BA424AD5"/>
    <w:multiLevelType w:val="singleLevel"/>
    <w:tmpl w:val="BA424AD5"/>
    <w:lvl w:ilvl="0" w:tentative="0">
      <w:start w:val="1"/>
      <w:numFmt w:val="none"/>
      <w:lvlText w:val="4.1"/>
      <w:lvlJc w:val="left"/>
      <w:pPr>
        <w:tabs>
          <w:tab w:val="left" w:pos="420"/>
        </w:tabs>
        <w:ind w:left="425" w:hanging="425"/>
      </w:pPr>
      <w:rPr>
        <w:rFonts w:hint="default" w:ascii="黑体" w:hAnsi="黑体" w:eastAsia="黑体" w:cs="黑体"/>
      </w:rPr>
    </w:lvl>
  </w:abstractNum>
  <w:abstractNum w:abstractNumId="2">
    <w:nsid w:val="0AE367E9"/>
    <w:multiLevelType w:val="multilevel"/>
    <w:tmpl w:val="0AE367E9"/>
    <w:lvl w:ilvl="0" w:tentative="0">
      <w:start w:val="1"/>
      <w:numFmt w:val="none"/>
      <w:pStyle w:val="67"/>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440413F8"/>
    <w:multiLevelType w:val="multilevel"/>
    <w:tmpl w:val="440413F8"/>
    <w:lvl w:ilvl="0" w:tentative="0">
      <w:start w:val="1"/>
      <w:numFmt w:val="upperLetter"/>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suff w:val="nothing"/>
      <w:lvlText w:val="B.%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B.%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
    <w:nsid w:val="4B733A5F"/>
    <w:multiLevelType w:val="multilevel"/>
    <w:tmpl w:val="4B733A5F"/>
    <w:lvl w:ilvl="0" w:tentative="0">
      <w:start w:val="1"/>
      <w:numFmt w:val="decimal"/>
      <w:pStyle w:val="66"/>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5">
    <w:nsid w:val="646260FA"/>
    <w:multiLevelType w:val="multilevel"/>
    <w:tmpl w:val="646260FA"/>
    <w:lvl w:ilvl="0" w:tentative="0">
      <w:start w:val="1"/>
      <w:numFmt w:val="decimal"/>
      <w:pStyle w:val="48"/>
      <w:suff w:val="nothing"/>
      <w:lvlText w:val="表%1　"/>
      <w:lvlJc w:val="left"/>
      <w:pPr>
        <w:ind w:left="0" w:firstLine="5812"/>
      </w:pPr>
      <w:rPr>
        <w:rFonts w:hint="eastAsia" w:ascii="黑体" w:hAnsi="Times New Roman" w:eastAsia="黑体"/>
        <w:b w:val="0"/>
        <w:i w:val="0"/>
        <w:sz w:val="21"/>
        <w:lang w:val="en-US"/>
      </w:rPr>
    </w:lvl>
    <w:lvl w:ilvl="1" w:tentative="0">
      <w:start w:val="1"/>
      <w:numFmt w:val="decimal"/>
      <w:lvlText w:val="%1.%2"/>
      <w:lvlJc w:val="left"/>
      <w:pPr>
        <w:tabs>
          <w:tab w:val="left" w:pos="3826"/>
        </w:tabs>
        <w:ind w:left="3826" w:hanging="567"/>
      </w:pPr>
      <w:rPr>
        <w:rFonts w:hint="eastAsia"/>
      </w:rPr>
    </w:lvl>
    <w:lvl w:ilvl="2" w:tentative="0">
      <w:start w:val="1"/>
      <w:numFmt w:val="decimal"/>
      <w:lvlText w:val="%1.%2.%3"/>
      <w:lvlJc w:val="left"/>
      <w:pPr>
        <w:tabs>
          <w:tab w:val="left" w:pos="4252"/>
        </w:tabs>
        <w:ind w:left="4252" w:hanging="567"/>
      </w:pPr>
      <w:rPr>
        <w:rFonts w:hint="eastAsia"/>
      </w:rPr>
    </w:lvl>
    <w:lvl w:ilvl="3" w:tentative="0">
      <w:start w:val="1"/>
      <w:numFmt w:val="decimal"/>
      <w:lvlText w:val="%1.%2.%3.%4"/>
      <w:lvlJc w:val="left"/>
      <w:pPr>
        <w:tabs>
          <w:tab w:val="left" w:pos="4818"/>
        </w:tabs>
        <w:ind w:left="4818" w:hanging="708"/>
      </w:pPr>
      <w:rPr>
        <w:rFonts w:hint="eastAsia"/>
      </w:rPr>
    </w:lvl>
    <w:lvl w:ilvl="4" w:tentative="0">
      <w:start w:val="1"/>
      <w:numFmt w:val="decimal"/>
      <w:lvlText w:val="%1.%2.%3.%4.%5"/>
      <w:lvlJc w:val="left"/>
      <w:pPr>
        <w:tabs>
          <w:tab w:val="left" w:pos="5385"/>
        </w:tabs>
        <w:ind w:left="5385" w:hanging="850"/>
      </w:pPr>
      <w:rPr>
        <w:rFonts w:hint="eastAsia"/>
      </w:rPr>
    </w:lvl>
    <w:lvl w:ilvl="5" w:tentative="0">
      <w:start w:val="1"/>
      <w:numFmt w:val="decimal"/>
      <w:lvlText w:val="%1.%2.%3.%4.%5.%6"/>
      <w:lvlJc w:val="left"/>
      <w:pPr>
        <w:tabs>
          <w:tab w:val="left" w:pos="6094"/>
        </w:tabs>
        <w:ind w:left="6094" w:hanging="1134"/>
      </w:pPr>
      <w:rPr>
        <w:rFonts w:hint="eastAsia"/>
      </w:rPr>
    </w:lvl>
    <w:lvl w:ilvl="6" w:tentative="0">
      <w:start w:val="1"/>
      <w:numFmt w:val="decimal"/>
      <w:lvlText w:val="%1.%2.%3.%4.%5.%6.%7"/>
      <w:lvlJc w:val="left"/>
      <w:pPr>
        <w:tabs>
          <w:tab w:val="left" w:pos="6661"/>
        </w:tabs>
        <w:ind w:left="6661" w:hanging="1276"/>
      </w:pPr>
      <w:rPr>
        <w:rFonts w:hint="eastAsia"/>
      </w:rPr>
    </w:lvl>
    <w:lvl w:ilvl="7" w:tentative="0">
      <w:start w:val="1"/>
      <w:numFmt w:val="decimal"/>
      <w:lvlText w:val="%1.%2.%3.%4.%5.%6.%7.%8"/>
      <w:lvlJc w:val="left"/>
      <w:pPr>
        <w:tabs>
          <w:tab w:val="left" w:pos="7228"/>
        </w:tabs>
        <w:ind w:left="7228" w:hanging="1418"/>
      </w:pPr>
      <w:rPr>
        <w:rFonts w:hint="eastAsia"/>
      </w:rPr>
    </w:lvl>
    <w:lvl w:ilvl="8" w:tentative="0">
      <w:start w:val="1"/>
      <w:numFmt w:val="decimal"/>
      <w:lvlText w:val="%1.%2.%3.%4.%5.%6.%7.%8.%9"/>
      <w:lvlJc w:val="left"/>
      <w:pPr>
        <w:tabs>
          <w:tab w:val="left" w:pos="7936"/>
        </w:tabs>
        <w:ind w:left="7936" w:hanging="1700"/>
      </w:pPr>
      <w:rPr>
        <w:rFonts w:hint="eastAsia"/>
      </w:rPr>
    </w:lvl>
  </w:abstractNum>
  <w:abstractNum w:abstractNumId="6">
    <w:nsid w:val="657D3FBC"/>
    <w:multiLevelType w:val="multilevel"/>
    <w:tmpl w:val="657D3FBC"/>
    <w:lvl w:ilvl="0" w:tentative="0">
      <w:start w:val="1"/>
      <w:numFmt w:val="upperLetter"/>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5"/>
  </w:num>
  <w:num w:numId="2">
    <w:abstractNumId w:val="4"/>
  </w:num>
  <w:num w:numId="3">
    <w:abstractNumId w:val="2"/>
  </w:num>
  <w:num w:numId="4">
    <w:abstractNumId w:val="0"/>
  </w:num>
  <w:num w:numId="5">
    <w:abstractNumId w:val="1"/>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ZkNzgxNjEyYTdiNWUyYmE4MWFkYTg5ODZmZDA1YTEifQ=="/>
  </w:docVars>
  <w:rsids>
    <w:rsidRoot w:val="33F36BFE"/>
    <w:rsid w:val="00005CDD"/>
    <w:rsid w:val="00007EBF"/>
    <w:rsid w:val="000117DB"/>
    <w:rsid w:val="00012C06"/>
    <w:rsid w:val="00015A41"/>
    <w:rsid w:val="000163BF"/>
    <w:rsid w:val="0001687D"/>
    <w:rsid w:val="00017636"/>
    <w:rsid w:val="00020BBE"/>
    <w:rsid w:val="000211BF"/>
    <w:rsid w:val="00021D81"/>
    <w:rsid w:val="00026E7A"/>
    <w:rsid w:val="00033664"/>
    <w:rsid w:val="0003488E"/>
    <w:rsid w:val="00037DC8"/>
    <w:rsid w:val="000422C7"/>
    <w:rsid w:val="00043208"/>
    <w:rsid w:val="00047012"/>
    <w:rsid w:val="00050908"/>
    <w:rsid w:val="0005209D"/>
    <w:rsid w:val="00054385"/>
    <w:rsid w:val="00055ED8"/>
    <w:rsid w:val="00056E79"/>
    <w:rsid w:val="00061080"/>
    <w:rsid w:val="00065639"/>
    <w:rsid w:val="00065F5D"/>
    <w:rsid w:val="000712D9"/>
    <w:rsid w:val="00071EA1"/>
    <w:rsid w:val="00075B5C"/>
    <w:rsid w:val="00080109"/>
    <w:rsid w:val="000817BF"/>
    <w:rsid w:val="0008187B"/>
    <w:rsid w:val="000A5325"/>
    <w:rsid w:val="000B061B"/>
    <w:rsid w:val="000B2DA1"/>
    <w:rsid w:val="000B584E"/>
    <w:rsid w:val="000C515B"/>
    <w:rsid w:val="000C66B3"/>
    <w:rsid w:val="000C7395"/>
    <w:rsid w:val="000D12CF"/>
    <w:rsid w:val="000D1A76"/>
    <w:rsid w:val="000D4303"/>
    <w:rsid w:val="000D4582"/>
    <w:rsid w:val="000E0312"/>
    <w:rsid w:val="000E58A9"/>
    <w:rsid w:val="000E6F97"/>
    <w:rsid w:val="000F1363"/>
    <w:rsid w:val="000F1E51"/>
    <w:rsid w:val="000F34A4"/>
    <w:rsid w:val="000F34F4"/>
    <w:rsid w:val="000F3649"/>
    <w:rsid w:val="000F42F7"/>
    <w:rsid w:val="000F647A"/>
    <w:rsid w:val="000F7D56"/>
    <w:rsid w:val="00100F25"/>
    <w:rsid w:val="001022D6"/>
    <w:rsid w:val="0010276B"/>
    <w:rsid w:val="00106732"/>
    <w:rsid w:val="001109DE"/>
    <w:rsid w:val="00110D82"/>
    <w:rsid w:val="001203A4"/>
    <w:rsid w:val="001205F6"/>
    <w:rsid w:val="001211DD"/>
    <w:rsid w:val="00121A09"/>
    <w:rsid w:val="00121A22"/>
    <w:rsid w:val="00122C72"/>
    <w:rsid w:val="001245E9"/>
    <w:rsid w:val="00124798"/>
    <w:rsid w:val="001260FA"/>
    <w:rsid w:val="001261B4"/>
    <w:rsid w:val="001313F5"/>
    <w:rsid w:val="00132AFE"/>
    <w:rsid w:val="00136062"/>
    <w:rsid w:val="001401A9"/>
    <w:rsid w:val="00141A04"/>
    <w:rsid w:val="00143327"/>
    <w:rsid w:val="00146084"/>
    <w:rsid w:val="0015010B"/>
    <w:rsid w:val="0015050B"/>
    <w:rsid w:val="00150EBE"/>
    <w:rsid w:val="00154E1B"/>
    <w:rsid w:val="00161D76"/>
    <w:rsid w:val="00167DC6"/>
    <w:rsid w:val="001703F2"/>
    <w:rsid w:val="00170DD1"/>
    <w:rsid w:val="001718A0"/>
    <w:rsid w:val="00171D7D"/>
    <w:rsid w:val="0017565F"/>
    <w:rsid w:val="00176003"/>
    <w:rsid w:val="00176C89"/>
    <w:rsid w:val="00181184"/>
    <w:rsid w:val="00181588"/>
    <w:rsid w:val="001931F6"/>
    <w:rsid w:val="00193D78"/>
    <w:rsid w:val="00193F49"/>
    <w:rsid w:val="001963FA"/>
    <w:rsid w:val="001977A5"/>
    <w:rsid w:val="001A3832"/>
    <w:rsid w:val="001A3CC5"/>
    <w:rsid w:val="001A4329"/>
    <w:rsid w:val="001B22C7"/>
    <w:rsid w:val="001B2D19"/>
    <w:rsid w:val="001C14B8"/>
    <w:rsid w:val="001C20FC"/>
    <w:rsid w:val="001C29B6"/>
    <w:rsid w:val="001C62E2"/>
    <w:rsid w:val="001D0C90"/>
    <w:rsid w:val="001D606C"/>
    <w:rsid w:val="001D6FBC"/>
    <w:rsid w:val="001D7404"/>
    <w:rsid w:val="00200F4E"/>
    <w:rsid w:val="0020521F"/>
    <w:rsid w:val="0020586B"/>
    <w:rsid w:val="002117F0"/>
    <w:rsid w:val="0021372A"/>
    <w:rsid w:val="00215DC7"/>
    <w:rsid w:val="002209E3"/>
    <w:rsid w:val="002216FA"/>
    <w:rsid w:val="00223098"/>
    <w:rsid w:val="002239FE"/>
    <w:rsid w:val="00236555"/>
    <w:rsid w:val="002365C9"/>
    <w:rsid w:val="002411C1"/>
    <w:rsid w:val="00241F4D"/>
    <w:rsid w:val="00243250"/>
    <w:rsid w:val="00247902"/>
    <w:rsid w:val="00251079"/>
    <w:rsid w:val="002516B0"/>
    <w:rsid w:val="00251CE6"/>
    <w:rsid w:val="002572D0"/>
    <w:rsid w:val="00257E1D"/>
    <w:rsid w:val="00260840"/>
    <w:rsid w:val="0026245B"/>
    <w:rsid w:val="00262BA6"/>
    <w:rsid w:val="00265887"/>
    <w:rsid w:val="0027424F"/>
    <w:rsid w:val="002765A2"/>
    <w:rsid w:val="00282680"/>
    <w:rsid w:val="0028296C"/>
    <w:rsid w:val="00286042"/>
    <w:rsid w:val="00286106"/>
    <w:rsid w:val="00295E8E"/>
    <w:rsid w:val="00297B66"/>
    <w:rsid w:val="002A44AE"/>
    <w:rsid w:val="002B0029"/>
    <w:rsid w:val="002B2BED"/>
    <w:rsid w:val="002B30AB"/>
    <w:rsid w:val="002B5D5A"/>
    <w:rsid w:val="002B6101"/>
    <w:rsid w:val="002C12E2"/>
    <w:rsid w:val="002C45D8"/>
    <w:rsid w:val="002D5AC0"/>
    <w:rsid w:val="002E0D83"/>
    <w:rsid w:val="002E3E0C"/>
    <w:rsid w:val="002E5C42"/>
    <w:rsid w:val="002E65B2"/>
    <w:rsid w:val="002E7A00"/>
    <w:rsid w:val="002F0E75"/>
    <w:rsid w:val="002F40AE"/>
    <w:rsid w:val="002F5532"/>
    <w:rsid w:val="00300392"/>
    <w:rsid w:val="0030044B"/>
    <w:rsid w:val="00304382"/>
    <w:rsid w:val="00305BDE"/>
    <w:rsid w:val="003074F0"/>
    <w:rsid w:val="00310C48"/>
    <w:rsid w:val="003110BD"/>
    <w:rsid w:val="00313345"/>
    <w:rsid w:val="00313BAF"/>
    <w:rsid w:val="00314E8E"/>
    <w:rsid w:val="00315681"/>
    <w:rsid w:val="00320970"/>
    <w:rsid w:val="00321112"/>
    <w:rsid w:val="00323246"/>
    <w:rsid w:val="00323FBC"/>
    <w:rsid w:val="00324E58"/>
    <w:rsid w:val="00325D41"/>
    <w:rsid w:val="00333A6A"/>
    <w:rsid w:val="00333CC6"/>
    <w:rsid w:val="0033776C"/>
    <w:rsid w:val="00342B05"/>
    <w:rsid w:val="00342E45"/>
    <w:rsid w:val="00344102"/>
    <w:rsid w:val="003460E2"/>
    <w:rsid w:val="00350796"/>
    <w:rsid w:val="00351F2C"/>
    <w:rsid w:val="003549AF"/>
    <w:rsid w:val="00354B9A"/>
    <w:rsid w:val="0035568A"/>
    <w:rsid w:val="003563E1"/>
    <w:rsid w:val="00362295"/>
    <w:rsid w:val="0036374F"/>
    <w:rsid w:val="00366B02"/>
    <w:rsid w:val="00375313"/>
    <w:rsid w:val="00376C18"/>
    <w:rsid w:val="003805EB"/>
    <w:rsid w:val="003809FE"/>
    <w:rsid w:val="00381103"/>
    <w:rsid w:val="00381467"/>
    <w:rsid w:val="00381880"/>
    <w:rsid w:val="0038598A"/>
    <w:rsid w:val="00385E88"/>
    <w:rsid w:val="00387286"/>
    <w:rsid w:val="003A00BA"/>
    <w:rsid w:val="003A5824"/>
    <w:rsid w:val="003A5FC5"/>
    <w:rsid w:val="003A7769"/>
    <w:rsid w:val="003B263C"/>
    <w:rsid w:val="003B359E"/>
    <w:rsid w:val="003B67E3"/>
    <w:rsid w:val="003B6D03"/>
    <w:rsid w:val="003C0DF6"/>
    <w:rsid w:val="003C170D"/>
    <w:rsid w:val="003C2F59"/>
    <w:rsid w:val="003C386A"/>
    <w:rsid w:val="003C6889"/>
    <w:rsid w:val="003D1235"/>
    <w:rsid w:val="003D42B7"/>
    <w:rsid w:val="003D43E9"/>
    <w:rsid w:val="003D4BD8"/>
    <w:rsid w:val="003D4C95"/>
    <w:rsid w:val="003D576E"/>
    <w:rsid w:val="003D57FC"/>
    <w:rsid w:val="003E0BCF"/>
    <w:rsid w:val="003E1EB2"/>
    <w:rsid w:val="003E3B79"/>
    <w:rsid w:val="003E4D4A"/>
    <w:rsid w:val="003E63B5"/>
    <w:rsid w:val="003E7919"/>
    <w:rsid w:val="003E7D4A"/>
    <w:rsid w:val="003F586E"/>
    <w:rsid w:val="00402604"/>
    <w:rsid w:val="00404B23"/>
    <w:rsid w:val="00405634"/>
    <w:rsid w:val="00405EBC"/>
    <w:rsid w:val="004114E6"/>
    <w:rsid w:val="00412EFA"/>
    <w:rsid w:val="00414D8E"/>
    <w:rsid w:val="00416CDD"/>
    <w:rsid w:val="004171C7"/>
    <w:rsid w:val="00423790"/>
    <w:rsid w:val="004242C3"/>
    <w:rsid w:val="004267AF"/>
    <w:rsid w:val="004321A0"/>
    <w:rsid w:val="00432220"/>
    <w:rsid w:val="00432718"/>
    <w:rsid w:val="00434DA3"/>
    <w:rsid w:val="004356D3"/>
    <w:rsid w:val="00437233"/>
    <w:rsid w:val="0043735B"/>
    <w:rsid w:val="00440767"/>
    <w:rsid w:val="00446D24"/>
    <w:rsid w:val="00447049"/>
    <w:rsid w:val="004504E3"/>
    <w:rsid w:val="0045117C"/>
    <w:rsid w:val="00451B25"/>
    <w:rsid w:val="0045416C"/>
    <w:rsid w:val="00456308"/>
    <w:rsid w:val="00460EC5"/>
    <w:rsid w:val="00461134"/>
    <w:rsid w:val="00467ADB"/>
    <w:rsid w:val="00482478"/>
    <w:rsid w:val="004824D2"/>
    <w:rsid w:val="0048465C"/>
    <w:rsid w:val="00485291"/>
    <w:rsid w:val="004879DB"/>
    <w:rsid w:val="004A1DDF"/>
    <w:rsid w:val="004A23FF"/>
    <w:rsid w:val="004A4480"/>
    <w:rsid w:val="004A4696"/>
    <w:rsid w:val="004A63A9"/>
    <w:rsid w:val="004A6DF6"/>
    <w:rsid w:val="004B01A5"/>
    <w:rsid w:val="004B0596"/>
    <w:rsid w:val="004B2839"/>
    <w:rsid w:val="004B3EA5"/>
    <w:rsid w:val="004B4C3D"/>
    <w:rsid w:val="004B701D"/>
    <w:rsid w:val="004B769F"/>
    <w:rsid w:val="004C1149"/>
    <w:rsid w:val="004C24A1"/>
    <w:rsid w:val="004C4F73"/>
    <w:rsid w:val="004C6723"/>
    <w:rsid w:val="004D0699"/>
    <w:rsid w:val="004D0C79"/>
    <w:rsid w:val="004D1D17"/>
    <w:rsid w:val="004D35A0"/>
    <w:rsid w:val="004D7B74"/>
    <w:rsid w:val="004E1BD3"/>
    <w:rsid w:val="004E388E"/>
    <w:rsid w:val="004E5C70"/>
    <w:rsid w:val="004E5FA5"/>
    <w:rsid w:val="004E5FC9"/>
    <w:rsid w:val="004F5C84"/>
    <w:rsid w:val="004F78E4"/>
    <w:rsid w:val="00503F1A"/>
    <w:rsid w:val="00507665"/>
    <w:rsid w:val="005104FD"/>
    <w:rsid w:val="00512072"/>
    <w:rsid w:val="00516CEE"/>
    <w:rsid w:val="00516D16"/>
    <w:rsid w:val="005203B7"/>
    <w:rsid w:val="0052198D"/>
    <w:rsid w:val="00523797"/>
    <w:rsid w:val="00523B84"/>
    <w:rsid w:val="00524216"/>
    <w:rsid w:val="00525C77"/>
    <w:rsid w:val="00530B53"/>
    <w:rsid w:val="00533E7E"/>
    <w:rsid w:val="005346A4"/>
    <w:rsid w:val="005368E4"/>
    <w:rsid w:val="0053746E"/>
    <w:rsid w:val="00540A15"/>
    <w:rsid w:val="00546985"/>
    <w:rsid w:val="0054729E"/>
    <w:rsid w:val="0055033F"/>
    <w:rsid w:val="00551211"/>
    <w:rsid w:val="00551EC3"/>
    <w:rsid w:val="005524B5"/>
    <w:rsid w:val="00555ABF"/>
    <w:rsid w:val="005606B6"/>
    <w:rsid w:val="0056133A"/>
    <w:rsid w:val="0056456A"/>
    <w:rsid w:val="00564C90"/>
    <w:rsid w:val="005667BF"/>
    <w:rsid w:val="00571C26"/>
    <w:rsid w:val="005722F6"/>
    <w:rsid w:val="00573CB1"/>
    <w:rsid w:val="00575E54"/>
    <w:rsid w:val="0057663F"/>
    <w:rsid w:val="00580868"/>
    <w:rsid w:val="005833B2"/>
    <w:rsid w:val="005839BF"/>
    <w:rsid w:val="005906DA"/>
    <w:rsid w:val="005918FA"/>
    <w:rsid w:val="00593519"/>
    <w:rsid w:val="00594207"/>
    <w:rsid w:val="005958E8"/>
    <w:rsid w:val="005A1906"/>
    <w:rsid w:val="005A2AE4"/>
    <w:rsid w:val="005A50D3"/>
    <w:rsid w:val="005A58BB"/>
    <w:rsid w:val="005B62D9"/>
    <w:rsid w:val="005C1054"/>
    <w:rsid w:val="005C1B53"/>
    <w:rsid w:val="005C2CC2"/>
    <w:rsid w:val="005D103C"/>
    <w:rsid w:val="005D26DC"/>
    <w:rsid w:val="005D2723"/>
    <w:rsid w:val="005D32FC"/>
    <w:rsid w:val="005D4F45"/>
    <w:rsid w:val="005D7FFA"/>
    <w:rsid w:val="005E1FEA"/>
    <w:rsid w:val="005E64FC"/>
    <w:rsid w:val="005E65BC"/>
    <w:rsid w:val="005E664B"/>
    <w:rsid w:val="00604425"/>
    <w:rsid w:val="00605715"/>
    <w:rsid w:val="00605BCF"/>
    <w:rsid w:val="006106B8"/>
    <w:rsid w:val="0061172C"/>
    <w:rsid w:val="006131C5"/>
    <w:rsid w:val="00621341"/>
    <w:rsid w:val="006217BB"/>
    <w:rsid w:val="00621C1A"/>
    <w:rsid w:val="00622DA7"/>
    <w:rsid w:val="006258FA"/>
    <w:rsid w:val="00630564"/>
    <w:rsid w:val="00635EE2"/>
    <w:rsid w:val="00640D70"/>
    <w:rsid w:val="00642DD8"/>
    <w:rsid w:val="00643071"/>
    <w:rsid w:val="00645ED0"/>
    <w:rsid w:val="00652AC9"/>
    <w:rsid w:val="00654543"/>
    <w:rsid w:val="0065527B"/>
    <w:rsid w:val="00657BE5"/>
    <w:rsid w:val="006601B2"/>
    <w:rsid w:val="006618A5"/>
    <w:rsid w:val="006619BE"/>
    <w:rsid w:val="00666ECE"/>
    <w:rsid w:val="0067011E"/>
    <w:rsid w:val="00673855"/>
    <w:rsid w:val="0067545B"/>
    <w:rsid w:val="006754E0"/>
    <w:rsid w:val="006817F6"/>
    <w:rsid w:val="00685BA2"/>
    <w:rsid w:val="00685FFC"/>
    <w:rsid w:val="006908D1"/>
    <w:rsid w:val="0069212E"/>
    <w:rsid w:val="006A16B3"/>
    <w:rsid w:val="006A2733"/>
    <w:rsid w:val="006A321F"/>
    <w:rsid w:val="006A6657"/>
    <w:rsid w:val="006A6DCF"/>
    <w:rsid w:val="006B0D35"/>
    <w:rsid w:val="006B695F"/>
    <w:rsid w:val="006C0007"/>
    <w:rsid w:val="006C3DC3"/>
    <w:rsid w:val="006C4563"/>
    <w:rsid w:val="006D294C"/>
    <w:rsid w:val="006D3A0D"/>
    <w:rsid w:val="006D46FE"/>
    <w:rsid w:val="006E0A7C"/>
    <w:rsid w:val="006E0EEE"/>
    <w:rsid w:val="006E2508"/>
    <w:rsid w:val="006E42C9"/>
    <w:rsid w:val="006E49B1"/>
    <w:rsid w:val="006E5CBC"/>
    <w:rsid w:val="006E68AA"/>
    <w:rsid w:val="006E7922"/>
    <w:rsid w:val="006F09E3"/>
    <w:rsid w:val="006F21BA"/>
    <w:rsid w:val="006F2411"/>
    <w:rsid w:val="006F3CB0"/>
    <w:rsid w:val="006F4723"/>
    <w:rsid w:val="00701D22"/>
    <w:rsid w:val="0070217D"/>
    <w:rsid w:val="007038A9"/>
    <w:rsid w:val="00707AF9"/>
    <w:rsid w:val="00711630"/>
    <w:rsid w:val="00711F74"/>
    <w:rsid w:val="00713564"/>
    <w:rsid w:val="00714E27"/>
    <w:rsid w:val="007160D7"/>
    <w:rsid w:val="007203B2"/>
    <w:rsid w:val="00721688"/>
    <w:rsid w:val="007216B9"/>
    <w:rsid w:val="00722145"/>
    <w:rsid w:val="00722C92"/>
    <w:rsid w:val="007243D6"/>
    <w:rsid w:val="00724B0C"/>
    <w:rsid w:val="0072545E"/>
    <w:rsid w:val="00726C2E"/>
    <w:rsid w:val="00727B9F"/>
    <w:rsid w:val="00730A82"/>
    <w:rsid w:val="00731878"/>
    <w:rsid w:val="0073523B"/>
    <w:rsid w:val="00740500"/>
    <w:rsid w:val="00742A6C"/>
    <w:rsid w:val="00743DF4"/>
    <w:rsid w:val="00747E9D"/>
    <w:rsid w:val="007531EA"/>
    <w:rsid w:val="00753C34"/>
    <w:rsid w:val="00761AF0"/>
    <w:rsid w:val="007630F9"/>
    <w:rsid w:val="00764BE9"/>
    <w:rsid w:val="00764C3A"/>
    <w:rsid w:val="0077169B"/>
    <w:rsid w:val="00773A8B"/>
    <w:rsid w:val="00775777"/>
    <w:rsid w:val="007768A3"/>
    <w:rsid w:val="0077751B"/>
    <w:rsid w:val="0078218F"/>
    <w:rsid w:val="007830F3"/>
    <w:rsid w:val="00783EA9"/>
    <w:rsid w:val="007872E4"/>
    <w:rsid w:val="007920E2"/>
    <w:rsid w:val="007923F7"/>
    <w:rsid w:val="00792937"/>
    <w:rsid w:val="00793DE3"/>
    <w:rsid w:val="007A13D5"/>
    <w:rsid w:val="007A3B34"/>
    <w:rsid w:val="007A44FD"/>
    <w:rsid w:val="007A5242"/>
    <w:rsid w:val="007A7AB4"/>
    <w:rsid w:val="007B0865"/>
    <w:rsid w:val="007B0A39"/>
    <w:rsid w:val="007B0FDE"/>
    <w:rsid w:val="007B3181"/>
    <w:rsid w:val="007B6390"/>
    <w:rsid w:val="007B6BD2"/>
    <w:rsid w:val="007B6ECF"/>
    <w:rsid w:val="007B7181"/>
    <w:rsid w:val="007C048C"/>
    <w:rsid w:val="007C1148"/>
    <w:rsid w:val="007C5118"/>
    <w:rsid w:val="007D5B8E"/>
    <w:rsid w:val="007E55FC"/>
    <w:rsid w:val="007E729E"/>
    <w:rsid w:val="007E73EA"/>
    <w:rsid w:val="007F2233"/>
    <w:rsid w:val="007F229F"/>
    <w:rsid w:val="007F3C8C"/>
    <w:rsid w:val="007F56B3"/>
    <w:rsid w:val="007F7839"/>
    <w:rsid w:val="0080161F"/>
    <w:rsid w:val="00803AD3"/>
    <w:rsid w:val="008047CA"/>
    <w:rsid w:val="00807C0F"/>
    <w:rsid w:val="00822B51"/>
    <w:rsid w:val="0082451B"/>
    <w:rsid w:val="008245B0"/>
    <w:rsid w:val="00824D75"/>
    <w:rsid w:val="00825672"/>
    <w:rsid w:val="00833D84"/>
    <w:rsid w:val="008346AE"/>
    <w:rsid w:val="00842CEC"/>
    <w:rsid w:val="00842E04"/>
    <w:rsid w:val="00843C18"/>
    <w:rsid w:val="0084476B"/>
    <w:rsid w:val="0084521F"/>
    <w:rsid w:val="00845AE1"/>
    <w:rsid w:val="00846521"/>
    <w:rsid w:val="008473F9"/>
    <w:rsid w:val="00854557"/>
    <w:rsid w:val="0085666D"/>
    <w:rsid w:val="008603A2"/>
    <w:rsid w:val="00864D7F"/>
    <w:rsid w:val="00865305"/>
    <w:rsid w:val="008725AA"/>
    <w:rsid w:val="00874904"/>
    <w:rsid w:val="00875150"/>
    <w:rsid w:val="0087651A"/>
    <w:rsid w:val="00883F7C"/>
    <w:rsid w:val="00887237"/>
    <w:rsid w:val="00893D0E"/>
    <w:rsid w:val="00896D96"/>
    <w:rsid w:val="00897CD3"/>
    <w:rsid w:val="008A202D"/>
    <w:rsid w:val="008A668C"/>
    <w:rsid w:val="008B1623"/>
    <w:rsid w:val="008B500D"/>
    <w:rsid w:val="008C1C85"/>
    <w:rsid w:val="008D049A"/>
    <w:rsid w:val="008D0B23"/>
    <w:rsid w:val="008D5D8B"/>
    <w:rsid w:val="008D72F4"/>
    <w:rsid w:val="008E0E1D"/>
    <w:rsid w:val="008E2EE0"/>
    <w:rsid w:val="008F0A43"/>
    <w:rsid w:val="008F255D"/>
    <w:rsid w:val="008F26D2"/>
    <w:rsid w:val="008F52B7"/>
    <w:rsid w:val="008F5335"/>
    <w:rsid w:val="00902E12"/>
    <w:rsid w:val="00905B59"/>
    <w:rsid w:val="0092314E"/>
    <w:rsid w:val="009254A3"/>
    <w:rsid w:val="00925845"/>
    <w:rsid w:val="00927F2D"/>
    <w:rsid w:val="00930168"/>
    <w:rsid w:val="009311F2"/>
    <w:rsid w:val="00937B66"/>
    <w:rsid w:val="009401D8"/>
    <w:rsid w:val="00940AF2"/>
    <w:rsid w:val="00940B59"/>
    <w:rsid w:val="00942727"/>
    <w:rsid w:val="00942CC5"/>
    <w:rsid w:val="00943834"/>
    <w:rsid w:val="00945AA3"/>
    <w:rsid w:val="00945CEA"/>
    <w:rsid w:val="009510B9"/>
    <w:rsid w:val="009538D3"/>
    <w:rsid w:val="009558DA"/>
    <w:rsid w:val="00956044"/>
    <w:rsid w:val="009616F8"/>
    <w:rsid w:val="00962ED9"/>
    <w:rsid w:val="00963A3C"/>
    <w:rsid w:val="0096492E"/>
    <w:rsid w:val="009655EF"/>
    <w:rsid w:val="00967739"/>
    <w:rsid w:val="00970CAF"/>
    <w:rsid w:val="00975673"/>
    <w:rsid w:val="00976060"/>
    <w:rsid w:val="009805BA"/>
    <w:rsid w:val="00983AAE"/>
    <w:rsid w:val="00985DF9"/>
    <w:rsid w:val="00990790"/>
    <w:rsid w:val="009915BF"/>
    <w:rsid w:val="0099241A"/>
    <w:rsid w:val="00992EE0"/>
    <w:rsid w:val="009A1771"/>
    <w:rsid w:val="009A2F9C"/>
    <w:rsid w:val="009A3002"/>
    <w:rsid w:val="009A50DA"/>
    <w:rsid w:val="009A59B2"/>
    <w:rsid w:val="009A6263"/>
    <w:rsid w:val="009A6B45"/>
    <w:rsid w:val="009B2006"/>
    <w:rsid w:val="009B2095"/>
    <w:rsid w:val="009B3F97"/>
    <w:rsid w:val="009C1862"/>
    <w:rsid w:val="009C20F1"/>
    <w:rsid w:val="009C308C"/>
    <w:rsid w:val="009C4273"/>
    <w:rsid w:val="009C60D7"/>
    <w:rsid w:val="009D22C3"/>
    <w:rsid w:val="009D3C60"/>
    <w:rsid w:val="009D4671"/>
    <w:rsid w:val="009E1284"/>
    <w:rsid w:val="009E6F2B"/>
    <w:rsid w:val="009E7B69"/>
    <w:rsid w:val="009F07EF"/>
    <w:rsid w:val="009F274F"/>
    <w:rsid w:val="009F2CC5"/>
    <w:rsid w:val="009F6A32"/>
    <w:rsid w:val="009F752F"/>
    <w:rsid w:val="00A006F6"/>
    <w:rsid w:val="00A01CA0"/>
    <w:rsid w:val="00A02FE9"/>
    <w:rsid w:val="00A030D9"/>
    <w:rsid w:val="00A05BB7"/>
    <w:rsid w:val="00A05F0D"/>
    <w:rsid w:val="00A06A53"/>
    <w:rsid w:val="00A108D4"/>
    <w:rsid w:val="00A11FC2"/>
    <w:rsid w:val="00A122C6"/>
    <w:rsid w:val="00A1325E"/>
    <w:rsid w:val="00A139E7"/>
    <w:rsid w:val="00A168C1"/>
    <w:rsid w:val="00A1736A"/>
    <w:rsid w:val="00A23071"/>
    <w:rsid w:val="00A25CC6"/>
    <w:rsid w:val="00A278DD"/>
    <w:rsid w:val="00A31A4A"/>
    <w:rsid w:val="00A3445E"/>
    <w:rsid w:val="00A37AAE"/>
    <w:rsid w:val="00A40562"/>
    <w:rsid w:val="00A43FE3"/>
    <w:rsid w:val="00A45C73"/>
    <w:rsid w:val="00A45D64"/>
    <w:rsid w:val="00A46B3B"/>
    <w:rsid w:val="00A47E60"/>
    <w:rsid w:val="00A50429"/>
    <w:rsid w:val="00A51F59"/>
    <w:rsid w:val="00A529A8"/>
    <w:rsid w:val="00A54352"/>
    <w:rsid w:val="00A56055"/>
    <w:rsid w:val="00A5767A"/>
    <w:rsid w:val="00A57CE2"/>
    <w:rsid w:val="00A60066"/>
    <w:rsid w:val="00A62DBE"/>
    <w:rsid w:val="00A72268"/>
    <w:rsid w:val="00A763E9"/>
    <w:rsid w:val="00A765DC"/>
    <w:rsid w:val="00A823D9"/>
    <w:rsid w:val="00A828CD"/>
    <w:rsid w:val="00A9022D"/>
    <w:rsid w:val="00A9073B"/>
    <w:rsid w:val="00A917C5"/>
    <w:rsid w:val="00A972FD"/>
    <w:rsid w:val="00AA021F"/>
    <w:rsid w:val="00AA2A81"/>
    <w:rsid w:val="00AB0215"/>
    <w:rsid w:val="00AB1009"/>
    <w:rsid w:val="00AB19DA"/>
    <w:rsid w:val="00AB3578"/>
    <w:rsid w:val="00AB473F"/>
    <w:rsid w:val="00AB6BA7"/>
    <w:rsid w:val="00AB7D07"/>
    <w:rsid w:val="00AC1818"/>
    <w:rsid w:val="00AC6757"/>
    <w:rsid w:val="00AD243E"/>
    <w:rsid w:val="00AD5563"/>
    <w:rsid w:val="00AD7678"/>
    <w:rsid w:val="00AE00A5"/>
    <w:rsid w:val="00AE00C0"/>
    <w:rsid w:val="00AE10FA"/>
    <w:rsid w:val="00AE18DC"/>
    <w:rsid w:val="00AE738F"/>
    <w:rsid w:val="00AF0562"/>
    <w:rsid w:val="00AF2323"/>
    <w:rsid w:val="00AF31E5"/>
    <w:rsid w:val="00AF3943"/>
    <w:rsid w:val="00AF5ED2"/>
    <w:rsid w:val="00AF6980"/>
    <w:rsid w:val="00B00555"/>
    <w:rsid w:val="00B019FD"/>
    <w:rsid w:val="00B0410A"/>
    <w:rsid w:val="00B0433A"/>
    <w:rsid w:val="00B10019"/>
    <w:rsid w:val="00B14A4F"/>
    <w:rsid w:val="00B156BC"/>
    <w:rsid w:val="00B2292B"/>
    <w:rsid w:val="00B27B78"/>
    <w:rsid w:val="00B307FF"/>
    <w:rsid w:val="00B328D1"/>
    <w:rsid w:val="00B40B47"/>
    <w:rsid w:val="00B4425C"/>
    <w:rsid w:val="00B452CF"/>
    <w:rsid w:val="00B4632F"/>
    <w:rsid w:val="00B55716"/>
    <w:rsid w:val="00B56989"/>
    <w:rsid w:val="00B62381"/>
    <w:rsid w:val="00B639DF"/>
    <w:rsid w:val="00B6446E"/>
    <w:rsid w:val="00B66C58"/>
    <w:rsid w:val="00B66E91"/>
    <w:rsid w:val="00B676C9"/>
    <w:rsid w:val="00B71E73"/>
    <w:rsid w:val="00B77EC1"/>
    <w:rsid w:val="00B950DD"/>
    <w:rsid w:val="00BA15DB"/>
    <w:rsid w:val="00BA18B8"/>
    <w:rsid w:val="00BA2399"/>
    <w:rsid w:val="00BA2AA0"/>
    <w:rsid w:val="00BA2FA2"/>
    <w:rsid w:val="00BA33D7"/>
    <w:rsid w:val="00BA5A9E"/>
    <w:rsid w:val="00BA5CAA"/>
    <w:rsid w:val="00BA7598"/>
    <w:rsid w:val="00BB0013"/>
    <w:rsid w:val="00BB0D21"/>
    <w:rsid w:val="00BB2247"/>
    <w:rsid w:val="00BB2F07"/>
    <w:rsid w:val="00BB4D55"/>
    <w:rsid w:val="00BC2ECF"/>
    <w:rsid w:val="00BC4DAA"/>
    <w:rsid w:val="00BC68DB"/>
    <w:rsid w:val="00BC693E"/>
    <w:rsid w:val="00BC7692"/>
    <w:rsid w:val="00BD2360"/>
    <w:rsid w:val="00BD2656"/>
    <w:rsid w:val="00BD3CB5"/>
    <w:rsid w:val="00BD4DFC"/>
    <w:rsid w:val="00BD6DC1"/>
    <w:rsid w:val="00BE0F03"/>
    <w:rsid w:val="00BE5C67"/>
    <w:rsid w:val="00BE77B4"/>
    <w:rsid w:val="00BF1714"/>
    <w:rsid w:val="00BF722F"/>
    <w:rsid w:val="00BF7A32"/>
    <w:rsid w:val="00C037AD"/>
    <w:rsid w:val="00C0571A"/>
    <w:rsid w:val="00C0636C"/>
    <w:rsid w:val="00C11931"/>
    <w:rsid w:val="00C13F13"/>
    <w:rsid w:val="00C154AA"/>
    <w:rsid w:val="00C161BE"/>
    <w:rsid w:val="00C17686"/>
    <w:rsid w:val="00C22194"/>
    <w:rsid w:val="00C30EC1"/>
    <w:rsid w:val="00C32D45"/>
    <w:rsid w:val="00C357FE"/>
    <w:rsid w:val="00C42A5F"/>
    <w:rsid w:val="00C4432C"/>
    <w:rsid w:val="00C46FDB"/>
    <w:rsid w:val="00C50B90"/>
    <w:rsid w:val="00C51BF1"/>
    <w:rsid w:val="00C54A96"/>
    <w:rsid w:val="00C55B7B"/>
    <w:rsid w:val="00C5764F"/>
    <w:rsid w:val="00C6627E"/>
    <w:rsid w:val="00C7175F"/>
    <w:rsid w:val="00C737E0"/>
    <w:rsid w:val="00C74744"/>
    <w:rsid w:val="00C758D9"/>
    <w:rsid w:val="00C84C9C"/>
    <w:rsid w:val="00C878B4"/>
    <w:rsid w:val="00C924CC"/>
    <w:rsid w:val="00C9535C"/>
    <w:rsid w:val="00C97F29"/>
    <w:rsid w:val="00CA31E4"/>
    <w:rsid w:val="00CA333C"/>
    <w:rsid w:val="00CA36DE"/>
    <w:rsid w:val="00CA3C15"/>
    <w:rsid w:val="00CA6B87"/>
    <w:rsid w:val="00CA76C8"/>
    <w:rsid w:val="00CA78F8"/>
    <w:rsid w:val="00CA7D80"/>
    <w:rsid w:val="00CB1E9D"/>
    <w:rsid w:val="00CB2B47"/>
    <w:rsid w:val="00CB5337"/>
    <w:rsid w:val="00CB56B7"/>
    <w:rsid w:val="00CB5CD0"/>
    <w:rsid w:val="00CB7355"/>
    <w:rsid w:val="00CB772F"/>
    <w:rsid w:val="00CC11C4"/>
    <w:rsid w:val="00CC3302"/>
    <w:rsid w:val="00CC4139"/>
    <w:rsid w:val="00CD0964"/>
    <w:rsid w:val="00CD0E61"/>
    <w:rsid w:val="00CD2467"/>
    <w:rsid w:val="00CD4DB4"/>
    <w:rsid w:val="00CE3848"/>
    <w:rsid w:val="00CE61E7"/>
    <w:rsid w:val="00CE7767"/>
    <w:rsid w:val="00CF18FA"/>
    <w:rsid w:val="00CF6682"/>
    <w:rsid w:val="00D018AC"/>
    <w:rsid w:val="00D04636"/>
    <w:rsid w:val="00D10CBE"/>
    <w:rsid w:val="00D12985"/>
    <w:rsid w:val="00D22C61"/>
    <w:rsid w:val="00D23D7C"/>
    <w:rsid w:val="00D26B42"/>
    <w:rsid w:val="00D3094E"/>
    <w:rsid w:val="00D324A3"/>
    <w:rsid w:val="00D332A3"/>
    <w:rsid w:val="00D33610"/>
    <w:rsid w:val="00D33C08"/>
    <w:rsid w:val="00D41DCF"/>
    <w:rsid w:val="00D43704"/>
    <w:rsid w:val="00D44D32"/>
    <w:rsid w:val="00D45FAB"/>
    <w:rsid w:val="00D50A71"/>
    <w:rsid w:val="00D50E38"/>
    <w:rsid w:val="00D53FFA"/>
    <w:rsid w:val="00D54E85"/>
    <w:rsid w:val="00D56418"/>
    <w:rsid w:val="00D60CBD"/>
    <w:rsid w:val="00D67F2E"/>
    <w:rsid w:val="00D71A25"/>
    <w:rsid w:val="00D75B47"/>
    <w:rsid w:val="00D81977"/>
    <w:rsid w:val="00D85510"/>
    <w:rsid w:val="00D93761"/>
    <w:rsid w:val="00D95751"/>
    <w:rsid w:val="00D96548"/>
    <w:rsid w:val="00DA1712"/>
    <w:rsid w:val="00DA1A5C"/>
    <w:rsid w:val="00DA1FE8"/>
    <w:rsid w:val="00DA6FDD"/>
    <w:rsid w:val="00DB03CE"/>
    <w:rsid w:val="00DB172E"/>
    <w:rsid w:val="00DB3632"/>
    <w:rsid w:val="00DB54F1"/>
    <w:rsid w:val="00DB5D81"/>
    <w:rsid w:val="00DB6A02"/>
    <w:rsid w:val="00DC0341"/>
    <w:rsid w:val="00DC11A9"/>
    <w:rsid w:val="00DC24EE"/>
    <w:rsid w:val="00DC45CA"/>
    <w:rsid w:val="00DC71D5"/>
    <w:rsid w:val="00DD121E"/>
    <w:rsid w:val="00DD25EF"/>
    <w:rsid w:val="00DD3DB2"/>
    <w:rsid w:val="00DD7372"/>
    <w:rsid w:val="00DE3652"/>
    <w:rsid w:val="00DE3815"/>
    <w:rsid w:val="00DE40A6"/>
    <w:rsid w:val="00DF1C33"/>
    <w:rsid w:val="00DF392C"/>
    <w:rsid w:val="00DF535B"/>
    <w:rsid w:val="00DF5512"/>
    <w:rsid w:val="00DF5FB8"/>
    <w:rsid w:val="00DF67DD"/>
    <w:rsid w:val="00E005F4"/>
    <w:rsid w:val="00E01B2B"/>
    <w:rsid w:val="00E06C73"/>
    <w:rsid w:val="00E11C8F"/>
    <w:rsid w:val="00E14FAC"/>
    <w:rsid w:val="00E2712E"/>
    <w:rsid w:val="00E33886"/>
    <w:rsid w:val="00E3467C"/>
    <w:rsid w:val="00E35B02"/>
    <w:rsid w:val="00E36260"/>
    <w:rsid w:val="00E3750D"/>
    <w:rsid w:val="00E37A2F"/>
    <w:rsid w:val="00E37E37"/>
    <w:rsid w:val="00E4393C"/>
    <w:rsid w:val="00E46B39"/>
    <w:rsid w:val="00E50481"/>
    <w:rsid w:val="00E54799"/>
    <w:rsid w:val="00E55B6F"/>
    <w:rsid w:val="00E562F9"/>
    <w:rsid w:val="00E606EC"/>
    <w:rsid w:val="00E62952"/>
    <w:rsid w:val="00E62F42"/>
    <w:rsid w:val="00E63697"/>
    <w:rsid w:val="00E743AE"/>
    <w:rsid w:val="00E77C0A"/>
    <w:rsid w:val="00E80FCB"/>
    <w:rsid w:val="00E8165F"/>
    <w:rsid w:val="00E831E0"/>
    <w:rsid w:val="00E853D7"/>
    <w:rsid w:val="00E86865"/>
    <w:rsid w:val="00E8717F"/>
    <w:rsid w:val="00E87485"/>
    <w:rsid w:val="00E951C1"/>
    <w:rsid w:val="00EA21C9"/>
    <w:rsid w:val="00EA2ED9"/>
    <w:rsid w:val="00EA3A82"/>
    <w:rsid w:val="00EA7904"/>
    <w:rsid w:val="00EB4883"/>
    <w:rsid w:val="00EB5ED9"/>
    <w:rsid w:val="00EC06DA"/>
    <w:rsid w:val="00EC1300"/>
    <w:rsid w:val="00EC3431"/>
    <w:rsid w:val="00EC6510"/>
    <w:rsid w:val="00ED02B5"/>
    <w:rsid w:val="00ED4491"/>
    <w:rsid w:val="00ED65D2"/>
    <w:rsid w:val="00EE1C4C"/>
    <w:rsid w:val="00EE2C33"/>
    <w:rsid w:val="00EE432B"/>
    <w:rsid w:val="00EE668D"/>
    <w:rsid w:val="00EF0980"/>
    <w:rsid w:val="00EF5B8B"/>
    <w:rsid w:val="00F003A7"/>
    <w:rsid w:val="00F00A5F"/>
    <w:rsid w:val="00F070A6"/>
    <w:rsid w:val="00F07138"/>
    <w:rsid w:val="00F1061E"/>
    <w:rsid w:val="00F1216D"/>
    <w:rsid w:val="00F15106"/>
    <w:rsid w:val="00F16577"/>
    <w:rsid w:val="00F20320"/>
    <w:rsid w:val="00F20BEA"/>
    <w:rsid w:val="00F20FA6"/>
    <w:rsid w:val="00F22BCB"/>
    <w:rsid w:val="00F26107"/>
    <w:rsid w:val="00F31425"/>
    <w:rsid w:val="00F3424F"/>
    <w:rsid w:val="00F354C8"/>
    <w:rsid w:val="00F3573D"/>
    <w:rsid w:val="00F3776E"/>
    <w:rsid w:val="00F37A1B"/>
    <w:rsid w:val="00F41967"/>
    <w:rsid w:val="00F42AD3"/>
    <w:rsid w:val="00F43AFE"/>
    <w:rsid w:val="00F43EF3"/>
    <w:rsid w:val="00F45748"/>
    <w:rsid w:val="00F465E4"/>
    <w:rsid w:val="00F50910"/>
    <w:rsid w:val="00F53A04"/>
    <w:rsid w:val="00F53EAB"/>
    <w:rsid w:val="00F554A5"/>
    <w:rsid w:val="00F55D32"/>
    <w:rsid w:val="00F568BE"/>
    <w:rsid w:val="00F56FB6"/>
    <w:rsid w:val="00F61BF3"/>
    <w:rsid w:val="00F6231B"/>
    <w:rsid w:val="00F641B7"/>
    <w:rsid w:val="00F6670B"/>
    <w:rsid w:val="00F67C8A"/>
    <w:rsid w:val="00F71B92"/>
    <w:rsid w:val="00F720C5"/>
    <w:rsid w:val="00F723AD"/>
    <w:rsid w:val="00F7625F"/>
    <w:rsid w:val="00F76665"/>
    <w:rsid w:val="00F77274"/>
    <w:rsid w:val="00F82910"/>
    <w:rsid w:val="00F84092"/>
    <w:rsid w:val="00F90BC4"/>
    <w:rsid w:val="00F946EE"/>
    <w:rsid w:val="00F96523"/>
    <w:rsid w:val="00FA0DBF"/>
    <w:rsid w:val="00FA0E7F"/>
    <w:rsid w:val="00FA2007"/>
    <w:rsid w:val="00FA4FA6"/>
    <w:rsid w:val="00FA6DFA"/>
    <w:rsid w:val="00FA718E"/>
    <w:rsid w:val="00FB1CC8"/>
    <w:rsid w:val="00FB339F"/>
    <w:rsid w:val="00FC1AEA"/>
    <w:rsid w:val="00FC1D3E"/>
    <w:rsid w:val="00FC224E"/>
    <w:rsid w:val="00FC48BA"/>
    <w:rsid w:val="00FC5F11"/>
    <w:rsid w:val="00FC6918"/>
    <w:rsid w:val="00FD1F52"/>
    <w:rsid w:val="00FD3586"/>
    <w:rsid w:val="00FE1B83"/>
    <w:rsid w:val="00FE26A6"/>
    <w:rsid w:val="00FE3D69"/>
    <w:rsid w:val="00FE660B"/>
    <w:rsid w:val="00FF1833"/>
    <w:rsid w:val="00FF4808"/>
    <w:rsid w:val="00FF6ABF"/>
    <w:rsid w:val="00FF6CDB"/>
    <w:rsid w:val="00FF6E6E"/>
    <w:rsid w:val="0173174E"/>
    <w:rsid w:val="01A16E4D"/>
    <w:rsid w:val="01BA178B"/>
    <w:rsid w:val="01BD17FD"/>
    <w:rsid w:val="021358C1"/>
    <w:rsid w:val="026A4959"/>
    <w:rsid w:val="027115F3"/>
    <w:rsid w:val="030329BA"/>
    <w:rsid w:val="032076CE"/>
    <w:rsid w:val="036A374F"/>
    <w:rsid w:val="03B47DC1"/>
    <w:rsid w:val="04021749"/>
    <w:rsid w:val="04F57CED"/>
    <w:rsid w:val="058B60C2"/>
    <w:rsid w:val="05940AC6"/>
    <w:rsid w:val="06011767"/>
    <w:rsid w:val="06446D15"/>
    <w:rsid w:val="06686C72"/>
    <w:rsid w:val="067547B1"/>
    <w:rsid w:val="0696261C"/>
    <w:rsid w:val="072256E2"/>
    <w:rsid w:val="07A34BDB"/>
    <w:rsid w:val="07CD53CA"/>
    <w:rsid w:val="08536A17"/>
    <w:rsid w:val="0963712E"/>
    <w:rsid w:val="09882DBF"/>
    <w:rsid w:val="0A4A0725"/>
    <w:rsid w:val="0A742C74"/>
    <w:rsid w:val="0AFC1873"/>
    <w:rsid w:val="0BC03533"/>
    <w:rsid w:val="0C400407"/>
    <w:rsid w:val="0C784C97"/>
    <w:rsid w:val="0D3419D7"/>
    <w:rsid w:val="0E6A1F2C"/>
    <w:rsid w:val="0F222B14"/>
    <w:rsid w:val="112453F4"/>
    <w:rsid w:val="117C00ED"/>
    <w:rsid w:val="11DC7A7D"/>
    <w:rsid w:val="1267448A"/>
    <w:rsid w:val="13EB21F9"/>
    <w:rsid w:val="14D2200B"/>
    <w:rsid w:val="15055B0F"/>
    <w:rsid w:val="154D0C92"/>
    <w:rsid w:val="155D0ED5"/>
    <w:rsid w:val="15E45152"/>
    <w:rsid w:val="16166B9F"/>
    <w:rsid w:val="16895CFA"/>
    <w:rsid w:val="176D0592"/>
    <w:rsid w:val="18ED14A8"/>
    <w:rsid w:val="18F617DE"/>
    <w:rsid w:val="193E726F"/>
    <w:rsid w:val="194C4AAD"/>
    <w:rsid w:val="1A457997"/>
    <w:rsid w:val="1A601226"/>
    <w:rsid w:val="1AB75311"/>
    <w:rsid w:val="1AEE041B"/>
    <w:rsid w:val="1B555E6B"/>
    <w:rsid w:val="1C295179"/>
    <w:rsid w:val="1C780573"/>
    <w:rsid w:val="1C9C122E"/>
    <w:rsid w:val="1CA92C52"/>
    <w:rsid w:val="1D6A109B"/>
    <w:rsid w:val="1D840FC9"/>
    <w:rsid w:val="1E005FA5"/>
    <w:rsid w:val="1E234C86"/>
    <w:rsid w:val="1E4C2C3B"/>
    <w:rsid w:val="1E544886"/>
    <w:rsid w:val="1E912E2E"/>
    <w:rsid w:val="1EE04EB1"/>
    <w:rsid w:val="1F8C1853"/>
    <w:rsid w:val="20393117"/>
    <w:rsid w:val="20A53730"/>
    <w:rsid w:val="20CD1E0F"/>
    <w:rsid w:val="22CC31F6"/>
    <w:rsid w:val="22E26EBD"/>
    <w:rsid w:val="23AD74CB"/>
    <w:rsid w:val="245C2C9F"/>
    <w:rsid w:val="247016DD"/>
    <w:rsid w:val="24741D97"/>
    <w:rsid w:val="24E24F53"/>
    <w:rsid w:val="25332346"/>
    <w:rsid w:val="25D20BBA"/>
    <w:rsid w:val="260D76B9"/>
    <w:rsid w:val="262C35EF"/>
    <w:rsid w:val="267E2238"/>
    <w:rsid w:val="274C5429"/>
    <w:rsid w:val="27D12877"/>
    <w:rsid w:val="280E553A"/>
    <w:rsid w:val="28D34AD1"/>
    <w:rsid w:val="29167AC2"/>
    <w:rsid w:val="293A6180"/>
    <w:rsid w:val="29CF1658"/>
    <w:rsid w:val="2A443FBA"/>
    <w:rsid w:val="2A6D31B1"/>
    <w:rsid w:val="2A8722E3"/>
    <w:rsid w:val="2C002162"/>
    <w:rsid w:val="2DC12EEE"/>
    <w:rsid w:val="2E855DC1"/>
    <w:rsid w:val="2F115B0E"/>
    <w:rsid w:val="2F6B14B4"/>
    <w:rsid w:val="2F6D5D61"/>
    <w:rsid w:val="2FAF4C07"/>
    <w:rsid w:val="305656F5"/>
    <w:rsid w:val="30D616E4"/>
    <w:rsid w:val="30F67906"/>
    <w:rsid w:val="31413001"/>
    <w:rsid w:val="3179087C"/>
    <w:rsid w:val="33F36BFE"/>
    <w:rsid w:val="353A116B"/>
    <w:rsid w:val="35625557"/>
    <w:rsid w:val="35E43E87"/>
    <w:rsid w:val="366F51BA"/>
    <w:rsid w:val="37013085"/>
    <w:rsid w:val="379C2266"/>
    <w:rsid w:val="384A186B"/>
    <w:rsid w:val="39140280"/>
    <w:rsid w:val="39DE7F87"/>
    <w:rsid w:val="39E15C52"/>
    <w:rsid w:val="3A2B1F54"/>
    <w:rsid w:val="3A38784C"/>
    <w:rsid w:val="3B38142F"/>
    <w:rsid w:val="3B5C2526"/>
    <w:rsid w:val="3B71544F"/>
    <w:rsid w:val="3BA478A4"/>
    <w:rsid w:val="3C1A7270"/>
    <w:rsid w:val="3CC91B16"/>
    <w:rsid w:val="3CE47B2E"/>
    <w:rsid w:val="3CF01CC5"/>
    <w:rsid w:val="3CFA5E5C"/>
    <w:rsid w:val="3D6330A8"/>
    <w:rsid w:val="3ED23E32"/>
    <w:rsid w:val="3F125FDD"/>
    <w:rsid w:val="3F7722E4"/>
    <w:rsid w:val="3F794503"/>
    <w:rsid w:val="400179BC"/>
    <w:rsid w:val="401D2E15"/>
    <w:rsid w:val="415B77B2"/>
    <w:rsid w:val="4296747E"/>
    <w:rsid w:val="42E44134"/>
    <w:rsid w:val="437D25BE"/>
    <w:rsid w:val="43C006FD"/>
    <w:rsid w:val="447B74B4"/>
    <w:rsid w:val="44D038EA"/>
    <w:rsid w:val="44F3240C"/>
    <w:rsid w:val="44F63F7F"/>
    <w:rsid w:val="451B4A2F"/>
    <w:rsid w:val="460A0EAE"/>
    <w:rsid w:val="46613350"/>
    <w:rsid w:val="47145C36"/>
    <w:rsid w:val="4820224D"/>
    <w:rsid w:val="4895516E"/>
    <w:rsid w:val="49C87FF0"/>
    <w:rsid w:val="4AE72885"/>
    <w:rsid w:val="4B386D45"/>
    <w:rsid w:val="4B473486"/>
    <w:rsid w:val="4B58121B"/>
    <w:rsid w:val="4C520360"/>
    <w:rsid w:val="4CD86AB8"/>
    <w:rsid w:val="4DC30244"/>
    <w:rsid w:val="4E346008"/>
    <w:rsid w:val="4EBA2056"/>
    <w:rsid w:val="4EF120B3"/>
    <w:rsid w:val="4FFE13C1"/>
    <w:rsid w:val="50547437"/>
    <w:rsid w:val="516528E4"/>
    <w:rsid w:val="51B57B52"/>
    <w:rsid w:val="524C30E6"/>
    <w:rsid w:val="52607EE4"/>
    <w:rsid w:val="526B217C"/>
    <w:rsid w:val="528E785D"/>
    <w:rsid w:val="52FA4256"/>
    <w:rsid w:val="53667057"/>
    <w:rsid w:val="54890F5A"/>
    <w:rsid w:val="55142657"/>
    <w:rsid w:val="55300172"/>
    <w:rsid w:val="553B7BF2"/>
    <w:rsid w:val="557C1FAA"/>
    <w:rsid w:val="564B02FA"/>
    <w:rsid w:val="568B7EE3"/>
    <w:rsid w:val="570D0267"/>
    <w:rsid w:val="585039A6"/>
    <w:rsid w:val="58B11C11"/>
    <w:rsid w:val="595006E1"/>
    <w:rsid w:val="59C31E69"/>
    <w:rsid w:val="5A0F3C17"/>
    <w:rsid w:val="5A560F28"/>
    <w:rsid w:val="5B547C51"/>
    <w:rsid w:val="5B5D4FDD"/>
    <w:rsid w:val="5B904E39"/>
    <w:rsid w:val="5CD54ADD"/>
    <w:rsid w:val="5D28554B"/>
    <w:rsid w:val="5D6F2B20"/>
    <w:rsid w:val="5D9D0C36"/>
    <w:rsid w:val="5DD946FC"/>
    <w:rsid w:val="5E19638D"/>
    <w:rsid w:val="5EFF4FC8"/>
    <w:rsid w:val="5FA559DE"/>
    <w:rsid w:val="60AD60FE"/>
    <w:rsid w:val="60CD18FD"/>
    <w:rsid w:val="61836E0F"/>
    <w:rsid w:val="61AF3E33"/>
    <w:rsid w:val="61BF2475"/>
    <w:rsid w:val="626266E7"/>
    <w:rsid w:val="62A87EE4"/>
    <w:rsid w:val="62D358FF"/>
    <w:rsid w:val="63686D85"/>
    <w:rsid w:val="639A26F2"/>
    <w:rsid w:val="644454F5"/>
    <w:rsid w:val="64FF0C2E"/>
    <w:rsid w:val="65175067"/>
    <w:rsid w:val="653F37F3"/>
    <w:rsid w:val="65970E49"/>
    <w:rsid w:val="65AE2136"/>
    <w:rsid w:val="65D33E68"/>
    <w:rsid w:val="67B359B6"/>
    <w:rsid w:val="67D03AAA"/>
    <w:rsid w:val="67FA7AC5"/>
    <w:rsid w:val="68390B60"/>
    <w:rsid w:val="687415F9"/>
    <w:rsid w:val="68790CF7"/>
    <w:rsid w:val="68921DB9"/>
    <w:rsid w:val="696E6382"/>
    <w:rsid w:val="69A23E61"/>
    <w:rsid w:val="69A753F0"/>
    <w:rsid w:val="69CB20E9"/>
    <w:rsid w:val="6A152CA1"/>
    <w:rsid w:val="6AB56BC2"/>
    <w:rsid w:val="6B5C339C"/>
    <w:rsid w:val="6D5F728E"/>
    <w:rsid w:val="6EB7365C"/>
    <w:rsid w:val="6EF230AA"/>
    <w:rsid w:val="6F25667C"/>
    <w:rsid w:val="6F265009"/>
    <w:rsid w:val="6F602034"/>
    <w:rsid w:val="6FC565D0"/>
    <w:rsid w:val="6FF503FC"/>
    <w:rsid w:val="70046BAE"/>
    <w:rsid w:val="700733A6"/>
    <w:rsid w:val="70A1532D"/>
    <w:rsid w:val="71754354"/>
    <w:rsid w:val="725217BF"/>
    <w:rsid w:val="725400DF"/>
    <w:rsid w:val="7263752C"/>
    <w:rsid w:val="728148F2"/>
    <w:rsid w:val="734463A5"/>
    <w:rsid w:val="73615CD3"/>
    <w:rsid w:val="73935206"/>
    <w:rsid w:val="73A429A0"/>
    <w:rsid w:val="74856C75"/>
    <w:rsid w:val="751B2D06"/>
    <w:rsid w:val="75304CC4"/>
    <w:rsid w:val="759A405B"/>
    <w:rsid w:val="77185B7F"/>
    <w:rsid w:val="77BE5CAD"/>
    <w:rsid w:val="7828682C"/>
    <w:rsid w:val="786076F1"/>
    <w:rsid w:val="78BB6162"/>
    <w:rsid w:val="7981729A"/>
    <w:rsid w:val="7B1A2EB8"/>
    <w:rsid w:val="7B327CBF"/>
    <w:rsid w:val="7B9C50EA"/>
    <w:rsid w:val="7BD7640F"/>
    <w:rsid w:val="7C1A6E40"/>
    <w:rsid w:val="7C745605"/>
    <w:rsid w:val="7DB52379"/>
    <w:rsid w:val="7E3A23B3"/>
    <w:rsid w:val="7ECF5F54"/>
    <w:rsid w:val="7F0D3AEF"/>
    <w:rsid w:val="7F83360C"/>
    <w:rsid w:val="7FD357B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qFormat="1"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center"/>
    </w:pPr>
    <w:rPr>
      <w:rFonts w:ascii="Times New Roman" w:hAnsi="Times New Roman" w:eastAsia="宋体" w:cs="Times New Roman"/>
      <w:sz w:val="21"/>
      <w:szCs w:val="21"/>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17">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3">
    <w:name w:val="List Number"/>
    <w:basedOn w:val="1"/>
    <w:qFormat/>
    <w:uiPriority w:val="0"/>
    <w:pPr>
      <w:spacing w:line="360" w:lineRule="auto"/>
      <w:ind w:firstLine="538" w:firstLineChars="224"/>
    </w:pPr>
    <w:rPr>
      <w:rFonts w:ascii="宋体" w:hAnsi="宋体"/>
      <w:color w:val="FF0000"/>
      <w:sz w:val="24"/>
    </w:rPr>
  </w:style>
  <w:style w:type="paragraph" w:styleId="4">
    <w:name w:val="annotation text"/>
    <w:basedOn w:val="1"/>
    <w:link w:val="45"/>
    <w:qFormat/>
    <w:uiPriority w:val="0"/>
  </w:style>
  <w:style w:type="paragraph" w:styleId="5">
    <w:name w:val="toc 3"/>
    <w:basedOn w:val="1"/>
    <w:next w:val="1"/>
    <w:unhideWhenUsed/>
    <w:qFormat/>
    <w:uiPriority w:val="39"/>
    <w:pPr>
      <w:tabs>
        <w:tab w:val="left" w:pos="670"/>
        <w:tab w:val="right" w:leader="dot" w:pos="9344"/>
      </w:tabs>
    </w:pPr>
  </w:style>
  <w:style w:type="paragraph" w:styleId="6">
    <w:name w:val="Plain Text"/>
    <w:basedOn w:val="1"/>
    <w:link w:val="57"/>
    <w:qFormat/>
    <w:uiPriority w:val="0"/>
    <w:rPr>
      <w:rFonts w:ascii="宋体" w:hAnsi="Courier New" w:cs="Courier New"/>
    </w:rPr>
  </w:style>
  <w:style w:type="paragraph" w:styleId="7">
    <w:name w:val="Date"/>
    <w:basedOn w:val="1"/>
    <w:next w:val="1"/>
    <w:link w:val="60"/>
    <w:qFormat/>
    <w:uiPriority w:val="0"/>
    <w:pPr>
      <w:ind w:left="100" w:leftChars="2500"/>
    </w:pPr>
  </w:style>
  <w:style w:type="paragraph" w:styleId="8">
    <w:name w:val="Balloon Text"/>
    <w:basedOn w:val="1"/>
    <w:link w:val="47"/>
    <w:qFormat/>
    <w:uiPriority w:val="0"/>
    <w:rPr>
      <w:sz w:val="18"/>
      <w:szCs w:val="18"/>
    </w:rPr>
  </w:style>
  <w:style w:type="paragraph" w:styleId="9">
    <w:name w:val="footer"/>
    <w:basedOn w:val="1"/>
    <w:link w:val="49"/>
    <w:qFormat/>
    <w:uiPriority w:val="99"/>
    <w:pPr>
      <w:tabs>
        <w:tab w:val="center" w:pos="4153"/>
        <w:tab w:val="right" w:pos="8306"/>
      </w:tabs>
      <w:snapToGrid w:val="0"/>
    </w:pPr>
    <w:rPr>
      <w:sz w:val="18"/>
    </w:rPr>
  </w:style>
  <w:style w:type="paragraph" w:styleId="10">
    <w:name w:val="header"/>
    <w:basedOn w:val="1"/>
    <w:link w:val="42"/>
    <w:qFormat/>
    <w:uiPriority w:val="99"/>
    <w:pPr>
      <w:pBdr>
        <w:bottom w:val="single" w:color="auto" w:sz="6" w:space="1"/>
      </w:pBdr>
      <w:tabs>
        <w:tab w:val="center" w:pos="4153"/>
        <w:tab w:val="right" w:pos="8306"/>
      </w:tabs>
      <w:snapToGrid w:val="0"/>
    </w:pPr>
    <w:rPr>
      <w:sz w:val="18"/>
      <w:szCs w:val="18"/>
    </w:rPr>
  </w:style>
  <w:style w:type="paragraph" w:styleId="11">
    <w:name w:val="toc 1"/>
    <w:basedOn w:val="1"/>
    <w:next w:val="1"/>
    <w:unhideWhenUsed/>
    <w:qFormat/>
    <w:uiPriority w:val="39"/>
  </w:style>
  <w:style w:type="paragraph" w:styleId="12">
    <w:name w:val="toc 2"/>
    <w:basedOn w:val="1"/>
    <w:next w:val="1"/>
    <w:unhideWhenUsed/>
    <w:qFormat/>
    <w:uiPriority w:val="39"/>
    <w:pPr>
      <w:ind w:left="420" w:leftChars="200"/>
    </w:pPr>
  </w:style>
  <w:style w:type="paragraph" w:styleId="13">
    <w:name w:val="Title"/>
    <w:basedOn w:val="1"/>
    <w:next w:val="1"/>
    <w:link w:val="58"/>
    <w:qFormat/>
    <w:uiPriority w:val="0"/>
    <w:pPr>
      <w:spacing w:before="240" w:after="60"/>
      <w:outlineLvl w:val="0"/>
    </w:pPr>
    <w:rPr>
      <w:rFonts w:ascii="Calibri Light" w:hAnsi="Calibri Light"/>
      <w:b/>
      <w:bCs/>
      <w:sz w:val="32"/>
      <w:szCs w:val="32"/>
    </w:rPr>
  </w:style>
  <w:style w:type="paragraph" w:styleId="14">
    <w:name w:val="annotation subject"/>
    <w:basedOn w:val="4"/>
    <w:next w:val="4"/>
    <w:link w:val="46"/>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unhideWhenUsed/>
    <w:qFormat/>
    <w:uiPriority w:val="99"/>
    <w:rPr>
      <w:color w:val="0563C1" w:themeColor="hyperlink"/>
      <w:u w:val="single"/>
      <w14:textFill>
        <w14:solidFill>
          <w14:schemeClr w14:val="hlink"/>
        </w14:solidFill>
      </w14:textFill>
    </w:rPr>
  </w:style>
  <w:style w:type="character" w:styleId="19">
    <w:name w:val="annotation reference"/>
    <w:qFormat/>
    <w:uiPriority w:val="0"/>
    <w:rPr>
      <w:sz w:val="21"/>
      <w:szCs w:val="21"/>
    </w:rPr>
  </w:style>
  <w:style w:type="paragraph" w:customStyle="1" w:styleId="20">
    <w:name w:val="文献分类号"/>
    <w:qFormat/>
    <w:uiPriority w:val="0"/>
    <w:pPr>
      <w:framePr w:hSpace="180" w:vSpace="180" w:wrap="around" w:vAnchor="margin" w:hAnchor="margin" w:y="1" w:anchorLock="1"/>
      <w:widowControl w:val="0"/>
      <w:textAlignment w:val="center"/>
    </w:pPr>
    <w:rPr>
      <w:rFonts w:ascii="黑体" w:hAnsi="Calibri" w:eastAsia="黑体" w:cs="Times New Roman"/>
      <w:sz w:val="21"/>
      <w:szCs w:val="21"/>
      <w:lang w:val="en-US" w:eastAsia="zh-CN" w:bidi="ar-SA"/>
    </w:rPr>
  </w:style>
  <w:style w:type="paragraph" w:customStyle="1" w:styleId="21">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color w:val="000000" w:themeColor="text1"/>
      <w:w w:val="170"/>
      <w:sz w:val="96"/>
      <w:szCs w:val="96"/>
      <w:lang w:val="en-US" w:eastAsia="zh-CN" w:bidi="ar-SA"/>
      <w14:textFill>
        <w14:solidFill>
          <w14:schemeClr w14:val="tx1"/>
        </w14:solidFill>
      </w14:textFill>
    </w:rPr>
  </w:style>
  <w:style w:type="paragraph" w:customStyle="1" w:styleId="22">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23">
    <w:name w:val="封面标准号2"/>
    <w:qFormat/>
    <w:uiPriority w:val="0"/>
    <w:pPr>
      <w:framePr w:w="9140" w:h="1242" w:hRule="exact" w:hSpace="284" w:wrap="around" w:vAnchor="page" w:hAnchor="page" w:x="1645" w:y="2910" w:anchorLock="1"/>
      <w:spacing w:before="357" w:line="280" w:lineRule="exact"/>
      <w:jc w:val="right"/>
    </w:pPr>
    <w:rPr>
      <w:rFonts w:ascii="黑体" w:hAnsi="Calibri" w:eastAsia="黑体" w:cs="Times New Roman"/>
      <w:sz w:val="28"/>
      <w:szCs w:val="28"/>
      <w:lang w:val="en-US" w:eastAsia="zh-CN" w:bidi="ar-SA"/>
    </w:rPr>
  </w:style>
  <w:style w:type="paragraph" w:customStyle="1" w:styleId="24">
    <w:name w:val="封面标准代替信息"/>
    <w:qFormat/>
    <w:uiPriority w:val="0"/>
    <w:pPr>
      <w:framePr w:w="9140" w:h="1242" w:hRule="exact" w:hSpace="284" w:wrap="around" w:vAnchor="page" w:hAnchor="page" w:x="1645" w:y="2910" w:anchorLock="1"/>
      <w:spacing w:before="57" w:line="280" w:lineRule="exact"/>
      <w:jc w:val="right"/>
    </w:pPr>
    <w:rPr>
      <w:rFonts w:ascii="宋体" w:hAnsi="Calibri" w:eastAsia="宋体" w:cs="Times New Roman"/>
      <w:sz w:val="21"/>
      <w:szCs w:val="21"/>
      <w:lang w:val="en-US" w:eastAsia="zh-CN" w:bidi="ar-SA"/>
    </w:rPr>
  </w:style>
  <w:style w:type="paragraph" w:customStyle="1" w:styleId="25">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Calibri" w:eastAsia="黑体" w:cs="Times New Roman"/>
      <w:sz w:val="52"/>
      <w:szCs w:val="22"/>
      <w:lang w:val="en-US" w:eastAsia="zh-CN" w:bidi="ar-SA"/>
    </w:rPr>
  </w:style>
  <w:style w:type="paragraph" w:customStyle="1" w:styleId="26">
    <w:name w:val="封面标准英文名称"/>
    <w:basedOn w:val="25"/>
    <w:qFormat/>
    <w:uiPriority w:val="0"/>
    <w:pPr>
      <w:framePr w:wrap="around"/>
      <w:spacing w:before="370" w:line="400" w:lineRule="exact"/>
    </w:pPr>
    <w:rPr>
      <w:rFonts w:ascii="Times New Roman"/>
      <w:sz w:val="28"/>
      <w:szCs w:val="28"/>
    </w:rPr>
  </w:style>
  <w:style w:type="paragraph" w:customStyle="1" w:styleId="27">
    <w:name w:val="封面一致性程度标识"/>
    <w:basedOn w:val="26"/>
    <w:qFormat/>
    <w:uiPriority w:val="0"/>
    <w:pPr>
      <w:framePr w:wrap="around"/>
      <w:spacing w:before="440"/>
    </w:pPr>
    <w:rPr>
      <w:rFonts w:ascii="宋体" w:eastAsia="宋体"/>
    </w:rPr>
  </w:style>
  <w:style w:type="paragraph" w:customStyle="1" w:styleId="28">
    <w:name w:val="封面标准文稿类别"/>
    <w:basedOn w:val="27"/>
    <w:qFormat/>
    <w:uiPriority w:val="0"/>
    <w:pPr>
      <w:framePr w:wrap="around"/>
      <w:spacing w:after="160" w:line="240" w:lineRule="auto"/>
    </w:pPr>
    <w:rPr>
      <w:sz w:val="24"/>
    </w:rPr>
  </w:style>
  <w:style w:type="paragraph" w:customStyle="1" w:styleId="29">
    <w:name w:val="封面标准文稿编辑信息"/>
    <w:basedOn w:val="28"/>
    <w:qFormat/>
    <w:uiPriority w:val="0"/>
    <w:pPr>
      <w:framePr w:wrap="around"/>
      <w:spacing w:before="180" w:line="180" w:lineRule="exact"/>
    </w:pPr>
    <w:rPr>
      <w:sz w:val="21"/>
    </w:rPr>
  </w:style>
  <w:style w:type="paragraph" w:customStyle="1" w:styleId="30">
    <w:name w:val="其他发布日期"/>
    <w:basedOn w:val="31"/>
    <w:qFormat/>
    <w:uiPriority w:val="0"/>
    <w:pPr>
      <w:framePr w:wrap="around" w:vAnchor="page" w:hAnchor="text" w:x="1419"/>
    </w:pPr>
  </w:style>
  <w:style w:type="paragraph" w:customStyle="1" w:styleId="31">
    <w:name w:val="发布日期"/>
    <w:qFormat/>
    <w:uiPriority w:val="0"/>
    <w:pPr>
      <w:framePr w:w="3997" w:h="471" w:hRule="exact" w:vSpace="181" w:wrap="around" w:vAnchor="margin" w:hAnchor="page" w:x="7089" w:y="14097" w:anchorLock="1"/>
    </w:pPr>
    <w:rPr>
      <w:rFonts w:ascii="Calibri" w:hAnsi="Calibri" w:eastAsia="黑体" w:cs="Times New Roman"/>
      <w:sz w:val="28"/>
      <w:szCs w:val="22"/>
      <w:lang w:val="en-US" w:eastAsia="zh-CN" w:bidi="ar-SA"/>
    </w:rPr>
  </w:style>
  <w:style w:type="paragraph" w:customStyle="1" w:styleId="32">
    <w:name w:val="其他实施日期"/>
    <w:basedOn w:val="33"/>
    <w:qFormat/>
    <w:uiPriority w:val="0"/>
    <w:pPr>
      <w:framePr w:wrap="around"/>
    </w:pPr>
  </w:style>
  <w:style w:type="paragraph" w:customStyle="1" w:styleId="33">
    <w:name w:val="实施日期"/>
    <w:basedOn w:val="31"/>
    <w:qFormat/>
    <w:uiPriority w:val="0"/>
    <w:pPr>
      <w:framePr w:wrap="around" w:vAnchor="page" w:hAnchor="text"/>
      <w:jc w:val="right"/>
    </w:pPr>
  </w:style>
  <w:style w:type="paragraph" w:customStyle="1" w:styleId="34">
    <w:name w:val="其他发布部门"/>
    <w:basedOn w:val="35"/>
    <w:qFormat/>
    <w:uiPriority w:val="0"/>
    <w:pPr>
      <w:framePr w:wrap="around" w:y="15310"/>
      <w:spacing w:line="0" w:lineRule="atLeast"/>
    </w:pPr>
    <w:rPr>
      <w:rFonts w:ascii="黑体" w:eastAsia="黑体"/>
      <w:b w:val="0"/>
    </w:rPr>
  </w:style>
  <w:style w:type="paragraph" w:customStyle="1" w:styleId="35">
    <w:name w:val="发布部门"/>
    <w:next w:val="36"/>
    <w:qFormat/>
    <w:uiPriority w:val="0"/>
    <w:pPr>
      <w:framePr w:w="7938" w:h="1134" w:hRule="exact" w:hSpace="125" w:vSpace="181" w:wrap="around" w:vAnchor="page" w:hAnchor="page" w:x="2150" w:y="14630" w:anchorLock="1"/>
      <w:jc w:val="center"/>
    </w:pPr>
    <w:rPr>
      <w:rFonts w:ascii="宋体" w:hAnsi="Calibri" w:eastAsia="宋体" w:cs="Times New Roman"/>
      <w:b/>
      <w:spacing w:val="20"/>
      <w:w w:val="135"/>
      <w:sz w:val="28"/>
      <w:szCs w:val="22"/>
      <w:lang w:val="en-US" w:eastAsia="zh-CN" w:bidi="ar-SA"/>
    </w:rPr>
  </w:style>
  <w:style w:type="paragraph" w:customStyle="1" w:styleId="36">
    <w:name w:val="段"/>
    <w:link w:val="44"/>
    <w:qFormat/>
    <w:uiPriority w:val="0"/>
    <w:pPr>
      <w:tabs>
        <w:tab w:val="center" w:pos="4201"/>
        <w:tab w:val="right" w:leader="dot" w:pos="9298"/>
      </w:tabs>
      <w:autoSpaceDE w:val="0"/>
      <w:autoSpaceDN w:val="0"/>
      <w:ind w:firstLine="420" w:firstLineChars="200"/>
      <w:jc w:val="both"/>
    </w:pPr>
    <w:rPr>
      <w:rFonts w:ascii="宋体" w:hAnsi="Calibri" w:eastAsia="Times New Roman" w:cs="Times New Roman"/>
      <w:sz w:val="21"/>
      <w:szCs w:val="22"/>
      <w:lang w:val="en-US" w:eastAsia="zh-CN" w:bidi="ar-SA"/>
    </w:rPr>
  </w:style>
  <w:style w:type="character" w:customStyle="1" w:styleId="37">
    <w:name w:val="发布"/>
    <w:qFormat/>
    <w:uiPriority w:val="0"/>
    <w:rPr>
      <w:rFonts w:ascii="黑体" w:eastAsia="黑体"/>
      <w:spacing w:val="85"/>
      <w:w w:val="100"/>
      <w:position w:val="3"/>
      <w:sz w:val="28"/>
      <w:szCs w:val="28"/>
    </w:rPr>
  </w:style>
  <w:style w:type="paragraph" w:customStyle="1" w:styleId="38">
    <w:name w:val="前言、引言标题"/>
    <w:next w:val="36"/>
    <w:qFormat/>
    <w:uiPriority w:val="0"/>
    <w:pPr>
      <w:keepNext/>
      <w:pageBreakBefore/>
      <w:shd w:val="clear" w:color="FFFFFF" w:fill="FFFFFF"/>
      <w:spacing w:before="640" w:after="560"/>
      <w:jc w:val="center"/>
      <w:outlineLvl w:val="0"/>
    </w:pPr>
    <w:rPr>
      <w:rFonts w:ascii="黑体" w:hAnsi="Calibri" w:eastAsia="黑体" w:cs="Times New Roman"/>
      <w:sz w:val="32"/>
      <w:szCs w:val="22"/>
      <w:lang w:val="en-US" w:eastAsia="zh-CN" w:bidi="ar-SA"/>
    </w:rPr>
  </w:style>
  <w:style w:type="paragraph" w:customStyle="1" w:styleId="39">
    <w:name w:val="目次、标准名称标题"/>
    <w:basedOn w:val="1"/>
    <w:next w:val="36"/>
    <w:qFormat/>
    <w:uiPriority w:val="0"/>
    <w:pPr>
      <w:keepNext/>
      <w:pageBreakBefore/>
      <w:widowControl/>
      <w:shd w:val="clear" w:color="FFFFFF" w:fill="FFFFFF"/>
      <w:spacing w:before="640" w:after="560" w:line="460" w:lineRule="exact"/>
      <w:outlineLvl w:val="0"/>
    </w:pPr>
    <w:rPr>
      <w:rFonts w:ascii="黑体" w:eastAsia="黑体"/>
      <w:sz w:val="32"/>
    </w:rPr>
  </w:style>
  <w:style w:type="paragraph" w:customStyle="1" w:styleId="40">
    <w:name w:val="章标题"/>
    <w:next w:val="36"/>
    <w:qFormat/>
    <w:uiPriority w:val="0"/>
    <w:pPr>
      <w:spacing w:beforeLines="100" w:afterLines="100"/>
      <w:jc w:val="both"/>
      <w:outlineLvl w:val="1"/>
    </w:pPr>
    <w:rPr>
      <w:rFonts w:ascii="黑体" w:hAnsi="Calibri" w:eastAsia="黑体" w:cs="Times New Roman"/>
      <w:sz w:val="21"/>
      <w:szCs w:val="22"/>
      <w:lang w:val="en-US" w:eastAsia="zh-CN" w:bidi="ar-SA"/>
    </w:rPr>
  </w:style>
  <w:style w:type="paragraph" w:customStyle="1" w:styleId="41">
    <w:name w:val="终结线"/>
    <w:basedOn w:val="1"/>
    <w:qFormat/>
    <w:uiPriority w:val="0"/>
    <w:pPr>
      <w:framePr w:hSpace="181" w:vSpace="181" w:wrap="around" w:vAnchor="text" w:hAnchor="margin" w:xAlign="center" w:y="285"/>
    </w:pPr>
  </w:style>
  <w:style w:type="character" w:customStyle="1" w:styleId="42">
    <w:name w:val="页眉 字符"/>
    <w:link w:val="10"/>
    <w:qFormat/>
    <w:uiPriority w:val="99"/>
    <w:rPr>
      <w:kern w:val="2"/>
      <w:sz w:val="18"/>
      <w:szCs w:val="18"/>
    </w:rPr>
  </w:style>
  <w:style w:type="paragraph" w:customStyle="1" w:styleId="43">
    <w:name w:val="修订1"/>
    <w:hidden/>
    <w:unhideWhenUsed/>
    <w:qFormat/>
    <w:uiPriority w:val="99"/>
    <w:rPr>
      <w:rFonts w:ascii="Calibri" w:hAnsi="Calibri" w:eastAsia="宋体" w:cs="Times New Roman"/>
      <w:kern w:val="2"/>
      <w:sz w:val="21"/>
      <w:szCs w:val="24"/>
      <w:lang w:val="en-US" w:eastAsia="zh-CN" w:bidi="ar-SA"/>
    </w:rPr>
  </w:style>
  <w:style w:type="character" w:customStyle="1" w:styleId="44">
    <w:name w:val="段 Char"/>
    <w:link w:val="36"/>
    <w:qFormat/>
    <w:uiPriority w:val="0"/>
    <w:rPr>
      <w:rFonts w:ascii="宋体" w:hAnsi="Calibri" w:eastAsia="Times New Roman"/>
      <w:sz w:val="21"/>
      <w:szCs w:val="22"/>
    </w:rPr>
  </w:style>
  <w:style w:type="character" w:customStyle="1" w:styleId="45">
    <w:name w:val="批注文字 字符"/>
    <w:link w:val="4"/>
    <w:qFormat/>
    <w:uiPriority w:val="0"/>
    <w:rPr>
      <w:kern w:val="2"/>
      <w:sz w:val="21"/>
      <w:szCs w:val="24"/>
    </w:rPr>
  </w:style>
  <w:style w:type="character" w:customStyle="1" w:styleId="46">
    <w:name w:val="批注主题 字符"/>
    <w:link w:val="14"/>
    <w:qFormat/>
    <w:uiPriority w:val="0"/>
    <w:rPr>
      <w:b/>
      <w:bCs/>
      <w:kern w:val="2"/>
      <w:sz w:val="21"/>
      <w:szCs w:val="24"/>
    </w:rPr>
  </w:style>
  <w:style w:type="character" w:customStyle="1" w:styleId="47">
    <w:name w:val="批注框文本 字符"/>
    <w:link w:val="8"/>
    <w:qFormat/>
    <w:uiPriority w:val="0"/>
    <w:rPr>
      <w:kern w:val="2"/>
      <w:sz w:val="18"/>
      <w:szCs w:val="18"/>
    </w:rPr>
  </w:style>
  <w:style w:type="paragraph" w:styleId="48">
    <w:name w:val="List Paragraph"/>
    <w:basedOn w:val="1"/>
    <w:qFormat/>
    <w:uiPriority w:val="99"/>
    <w:pPr>
      <w:numPr>
        <w:ilvl w:val="0"/>
        <w:numId w:val="1"/>
      </w:numPr>
    </w:pPr>
  </w:style>
  <w:style w:type="character" w:customStyle="1" w:styleId="49">
    <w:name w:val="页脚 字符"/>
    <w:link w:val="9"/>
    <w:qFormat/>
    <w:uiPriority w:val="99"/>
    <w:rPr>
      <w:rFonts w:ascii="Calibri" w:hAnsi="Calibri" w:eastAsia="宋体" w:cs="Times New Roman"/>
      <w:kern w:val="2"/>
      <w:sz w:val="18"/>
      <w:szCs w:val="24"/>
    </w:rPr>
  </w:style>
  <w:style w:type="paragraph" w:customStyle="1" w:styleId="50">
    <w:name w:val="一级条标题"/>
    <w:next w:val="36"/>
    <w:qFormat/>
    <w:uiPriority w:val="0"/>
    <w:pPr>
      <w:outlineLvl w:val="2"/>
    </w:pPr>
    <w:rPr>
      <w:rFonts w:ascii="黑体" w:hAnsi="黑体" w:eastAsia="黑体" w:cs="黑体"/>
      <w:color w:val="000000"/>
      <w:sz w:val="21"/>
      <w:szCs w:val="21"/>
      <w:lang w:val="en-US" w:eastAsia="zh-CN" w:bidi="ar-SA"/>
    </w:rPr>
  </w:style>
  <w:style w:type="paragraph" w:customStyle="1" w:styleId="51">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52">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3">
    <w:name w:val="二级条标题"/>
    <w:basedOn w:val="50"/>
    <w:next w:val="36"/>
    <w:qFormat/>
    <w:uiPriority w:val="0"/>
    <w:pPr>
      <w:spacing w:before="50" w:after="50"/>
      <w:outlineLvl w:val="3"/>
    </w:pPr>
  </w:style>
  <w:style w:type="paragraph" w:customStyle="1" w:styleId="54">
    <w:name w:val="三级条标题"/>
    <w:basedOn w:val="53"/>
    <w:next w:val="36"/>
    <w:qFormat/>
    <w:uiPriority w:val="0"/>
    <w:pPr>
      <w:ind w:left="1134"/>
      <w:outlineLvl w:val="4"/>
    </w:pPr>
  </w:style>
  <w:style w:type="paragraph" w:customStyle="1" w:styleId="55">
    <w:name w:val="四级条标题"/>
    <w:basedOn w:val="54"/>
    <w:next w:val="36"/>
    <w:qFormat/>
    <w:uiPriority w:val="0"/>
    <w:pPr>
      <w:ind w:left="0"/>
      <w:outlineLvl w:val="5"/>
    </w:pPr>
  </w:style>
  <w:style w:type="paragraph" w:customStyle="1" w:styleId="56">
    <w:name w:val="五级条标题"/>
    <w:basedOn w:val="55"/>
    <w:next w:val="36"/>
    <w:qFormat/>
    <w:uiPriority w:val="0"/>
    <w:pPr>
      <w:outlineLvl w:val="6"/>
    </w:pPr>
  </w:style>
  <w:style w:type="character" w:customStyle="1" w:styleId="57">
    <w:name w:val="纯文本 字符"/>
    <w:link w:val="6"/>
    <w:qFormat/>
    <w:uiPriority w:val="0"/>
    <w:rPr>
      <w:rFonts w:ascii="宋体" w:hAnsi="Courier New" w:eastAsia="宋体" w:cs="Courier New"/>
      <w:kern w:val="2"/>
      <w:sz w:val="21"/>
      <w:szCs w:val="21"/>
    </w:rPr>
  </w:style>
  <w:style w:type="character" w:customStyle="1" w:styleId="58">
    <w:name w:val="标题 字符"/>
    <w:link w:val="13"/>
    <w:qFormat/>
    <w:uiPriority w:val="0"/>
    <w:rPr>
      <w:rFonts w:ascii="Calibri Light" w:hAnsi="Calibri Light" w:cs="Times New Roman"/>
      <w:b/>
      <w:bCs/>
      <w:kern w:val="2"/>
      <w:sz w:val="32"/>
      <w:szCs w:val="32"/>
    </w:rPr>
  </w:style>
  <w:style w:type="character" w:styleId="59">
    <w:name w:val="Placeholder Text"/>
    <w:basedOn w:val="17"/>
    <w:semiHidden/>
    <w:qFormat/>
    <w:uiPriority w:val="99"/>
    <w:rPr>
      <w:color w:val="808080"/>
    </w:rPr>
  </w:style>
  <w:style w:type="character" w:customStyle="1" w:styleId="60">
    <w:name w:val="日期 字符"/>
    <w:basedOn w:val="17"/>
    <w:link w:val="7"/>
    <w:qFormat/>
    <w:uiPriority w:val="0"/>
    <w:rPr>
      <w:rFonts w:ascii="Calibri" w:hAnsi="Calibri"/>
      <w:kern w:val="2"/>
      <w:sz w:val="21"/>
      <w:szCs w:val="24"/>
    </w:rPr>
  </w:style>
  <w:style w:type="paragraph" w:customStyle="1" w:styleId="61">
    <w:name w:val="TOC 标题1"/>
    <w:basedOn w:val="2"/>
    <w:next w:val="1"/>
    <w:unhideWhenUsed/>
    <w:qFormat/>
    <w:uiPriority w:val="39"/>
    <w:pPr>
      <w:widowControl/>
      <w:spacing w:before="240" w:after="0" w:line="259" w:lineRule="auto"/>
      <w:outlineLvl w:val="9"/>
    </w:pPr>
    <w:rPr>
      <w:rFonts w:asciiTheme="majorHAnsi" w:hAnsiTheme="majorHAnsi" w:eastAsiaTheme="majorEastAsia" w:cstheme="majorBidi"/>
      <w:b w:val="0"/>
      <w:color w:val="2E75B6" w:themeColor="accent1" w:themeShade="BF"/>
      <w:kern w:val="0"/>
      <w:sz w:val="32"/>
      <w:szCs w:val="32"/>
    </w:rPr>
  </w:style>
  <w:style w:type="paragraph" w:customStyle="1" w:styleId="62">
    <w:name w:val="修订2"/>
    <w:hidden/>
    <w:semiHidden/>
    <w:qFormat/>
    <w:uiPriority w:val="99"/>
    <w:rPr>
      <w:rFonts w:ascii="Times New Roman" w:hAnsi="Times New Roman" w:eastAsia="宋体" w:cs="Times New Roman"/>
      <w:lang w:val="en-US" w:eastAsia="zh-CN" w:bidi="ar-SA"/>
    </w:rPr>
  </w:style>
  <w:style w:type="paragraph" w:customStyle="1" w:styleId="63">
    <w:name w:val="注×：（正文）"/>
    <w:qFormat/>
    <w:uiPriority w:val="0"/>
    <w:pPr>
      <w:tabs>
        <w:tab w:val="left" w:pos="720"/>
      </w:tabs>
      <w:ind w:left="720" w:hanging="720"/>
      <w:jc w:val="both"/>
    </w:pPr>
    <w:rPr>
      <w:rFonts w:ascii="宋体" w:hAnsi="Calibri" w:eastAsia="宋体" w:cs="Times New Roman"/>
      <w:sz w:val="18"/>
      <w:szCs w:val="18"/>
      <w:lang w:val="en-US" w:eastAsia="zh-CN" w:bidi="ar-SA"/>
    </w:rPr>
  </w:style>
  <w:style w:type="paragraph" w:customStyle="1" w:styleId="64">
    <w:name w:val="WPSOffice手动目录 1"/>
    <w:qFormat/>
    <w:uiPriority w:val="0"/>
    <w:rPr>
      <w:rFonts w:ascii="Times New Roman" w:hAnsi="Times New Roman" w:eastAsia="宋体" w:cs="Times New Roman"/>
      <w:lang w:val="en-US" w:eastAsia="zh-CN" w:bidi="ar-SA"/>
    </w:rPr>
  </w:style>
  <w:style w:type="paragraph" w:customStyle="1" w:styleId="65">
    <w:name w:val="修订3"/>
    <w:hidden/>
    <w:unhideWhenUsed/>
    <w:qFormat/>
    <w:uiPriority w:val="99"/>
    <w:rPr>
      <w:rFonts w:ascii="Times New Roman" w:hAnsi="Times New Roman" w:eastAsia="宋体" w:cs="Times New Roman"/>
      <w:lang w:val="en-US" w:eastAsia="zh-CN" w:bidi="ar-SA"/>
    </w:rPr>
  </w:style>
  <w:style w:type="paragraph" w:customStyle="1" w:styleId="66">
    <w:name w:val="示例×："/>
    <w:basedOn w:val="40"/>
    <w:qFormat/>
    <w:uiPriority w:val="0"/>
    <w:pPr>
      <w:numPr>
        <w:ilvl w:val="0"/>
        <w:numId w:val="2"/>
      </w:numPr>
      <w:spacing w:beforeLines="0" w:afterLines="0"/>
      <w:outlineLvl w:val="9"/>
    </w:pPr>
    <w:rPr>
      <w:rFonts w:ascii="宋体" w:eastAsia="宋体"/>
      <w:sz w:val="18"/>
      <w:szCs w:val="18"/>
    </w:rPr>
  </w:style>
  <w:style w:type="paragraph" w:customStyle="1" w:styleId="67">
    <w:name w:val="示例"/>
    <w:next w:val="1"/>
    <w:qFormat/>
    <w:uiPriority w:val="0"/>
    <w:pPr>
      <w:widowControl w:val="0"/>
      <w:numPr>
        <w:ilvl w:val="0"/>
        <w:numId w:val="3"/>
      </w:numPr>
      <w:jc w:val="both"/>
    </w:pPr>
    <w:rPr>
      <w:rFonts w:ascii="宋体" w:hAnsi="Times New Roman" w:eastAsia="宋体" w:cs="Times New Roman"/>
      <w:sz w:val="18"/>
      <w:szCs w:val="18"/>
      <w:lang w:val="en-US" w:eastAsia="zh-CN" w:bidi="ar-SA"/>
    </w:rPr>
  </w:style>
  <w:style w:type="table" w:customStyle="1" w:styleId="68">
    <w:name w:val="TableGrid"/>
    <w:qFormat/>
    <w:uiPriority w:val="0"/>
    <w:rPr>
      <w:rFonts w:asciiTheme="minorHAnsi" w:hAnsiTheme="minorHAnsi" w:eastAsiaTheme="minorEastAsia" w:cstheme="minorBidi"/>
      <w:kern w:val="2"/>
      <w:sz w:val="21"/>
      <w:szCs w:val="22"/>
    </w:rPr>
    <w:tblPr>
      <w:tblCellMar>
        <w:top w:w="0" w:type="dxa"/>
        <w:left w:w="0" w:type="dxa"/>
        <w:bottom w:w="0" w:type="dxa"/>
        <w:right w:w="0" w:type="dxa"/>
      </w:tblCellMar>
    </w:tblPr>
  </w:style>
  <w:style w:type="paragraph" w:customStyle="1" w:styleId="69">
    <w:name w:val="二级无"/>
    <w:basedOn w:val="53"/>
    <w:qFormat/>
    <w:uiPriority w:val="0"/>
    <w:rPr>
      <w:rFonts w:ascii="宋体" w:eastAsia="宋体"/>
    </w:rPr>
  </w:style>
  <w:style w:type="paragraph" w:customStyle="1" w:styleId="70">
    <w:name w:val="修订4"/>
    <w:hidden/>
    <w:unhideWhenUsed/>
    <w:qFormat/>
    <w:uiPriority w:val="99"/>
    <w:rPr>
      <w:rFonts w:ascii="Times New Roman" w:hAnsi="Times New Roman" w:eastAsia="宋体" w:cs="Times New Roman"/>
      <w:sz w:val="21"/>
      <w:szCs w:val="21"/>
      <w:lang w:val="en-US" w:eastAsia="zh-CN" w:bidi="ar-SA"/>
    </w:rPr>
  </w:style>
  <w:style w:type="paragraph" w:customStyle="1" w:styleId="71">
    <w:name w:val="附录标识"/>
    <w:basedOn w:val="1"/>
    <w:next w:val="36"/>
    <w:qFormat/>
    <w:uiPriority w:val="0"/>
    <w:pPr>
      <w:keepNext/>
      <w:widowControl/>
      <w:numPr>
        <w:ilvl w:val="0"/>
        <w:numId w:val="4"/>
      </w:numPr>
      <w:shd w:val="clear" w:color="FFFFFF" w:fill="FFFFFF"/>
      <w:tabs>
        <w:tab w:val="left" w:pos="360"/>
        <w:tab w:val="left" w:pos="6405"/>
      </w:tabs>
      <w:spacing w:before="640" w:after="280"/>
      <w:outlineLvl w:val="0"/>
    </w:pPr>
    <w:rPr>
      <w:rFonts w:ascii="黑体" w:hAnsi="Calibri" w:eastAsia="黑体"/>
      <w:szCs w:val="20"/>
    </w:rPr>
  </w:style>
  <w:style w:type="paragraph" w:customStyle="1" w:styleId="72">
    <w:name w:val="标准文件_附录一级条标题"/>
    <w:next w:val="73"/>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74">
    <w:name w:val="标准文件_附录二级条标题"/>
    <w:basedOn w:val="72"/>
    <w:next w:val="73"/>
    <w:qFormat/>
    <w:uiPriority w:val="0"/>
    <w:pPr>
      <w:widowControl/>
      <w:numPr>
        <w:ilvl w:val="2"/>
      </w:numPr>
      <w:wordWrap w:val="0"/>
      <w:overflowPunct w:val="0"/>
      <w:autoSpaceDE w:val="0"/>
      <w:autoSpaceDN w:val="0"/>
      <w:textAlignment w:val="baseline"/>
      <w:outlineLvl w:val="3"/>
    </w:pPr>
  </w:style>
  <w:style w:type="paragraph" w:customStyle="1" w:styleId="75">
    <w:name w:val="修订5"/>
    <w:hidden/>
    <w:unhideWhenUsed/>
    <w:qFormat/>
    <w:uiPriority w:val="99"/>
    <w:rPr>
      <w:rFonts w:ascii="Times New Roman" w:hAnsi="Times New Roman" w:eastAsia="宋体" w:cs="Times New Roman"/>
      <w:sz w:val="21"/>
      <w:szCs w:val="21"/>
      <w:lang w:val="en-US" w:eastAsia="zh-CN" w:bidi="ar-SA"/>
    </w:rPr>
  </w:style>
  <w:style w:type="paragraph" w:customStyle="1" w:styleId="76">
    <w:name w:val="修订6"/>
    <w:hidden/>
    <w:unhideWhenUsed/>
    <w:qFormat/>
    <w:uiPriority w:val="99"/>
    <w:rPr>
      <w:rFonts w:ascii="Times New Roman" w:hAnsi="Times New Roman" w:eastAsia="宋体" w:cs="Times New Roman"/>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38F85A-13DB-4285-B868-A5F66DDACDE2}">
  <ds:schemaRefs/>
</ds:datastoreItem>
</file>

<file path=docProps/app.xml><?xml version="1.0" encoding="utf-8"?>
<Properties xmlns="http://schemas.openxmlformats.org/officeDocument/2006/extended-properties" xmlns:vt="http://schemas.openxmlformats.org/officeDocument/2006/docPropsVTypes">
  <Template>Normal</Template>
  <Pages>9</Pages>
  <Words>205</Words>
  <Characters>295</Characters>
  <Lines>27</Lines>
  <Paragraphs>7</Paragraphs>
  <TotalTime>90</TotalTime>
  <ScaleCrop>false</ScaleCrop>
  <LinksUpToDate>false</LinksUpToDate>
  <CharactersWithSpaces>333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2024-05-21T07:22:00Z</dcterms:created>
  <dc:creator>梵高先生 </dc:creator>
  <cp:lastModifiedBy>啦啦啦</cp:lastModifiedBy>
  <cp:lastPrinted>2026-07-03T01:43:00Z</cp:lastPrinted>
  <dcterms:modified xsi:type="dcterms:W3CDTF">2026-07-13T05:30:57Z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D2FAEB2B83394A95A5A9771565AB1DA8_13</vt:lpwstr>
  </property>
  <property fmtid="{D5CDD505-2E9C-101B-9397-08002B2CF9AE}" pid="4" name="KSOTemplateDocerSaveRecord">
    <vt:lpwstr>eyJoZGlkIjoiM2ZkNzgxNjEyYTdiNWUyYmE4MWFkYTg5ODZmZDA1YTEiLCJ1c2VySWQiOiIzNDU5NTI2OTAifQ==</vt:lpwstr>
  </property>
</Properties>
</file>