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29D7F">
      <w:pPr>
        <w:rPr>
          <w:b/>
          <w:color w:val="000000" w:themeColor="text1"/>
          <w:sz w:val="36"/>
          <w:szCs w:val="36"/>
          <w14:textFill>
            <w14:solidFill>
              <w14:schemeClr w14:val="tx1"/>
            </w14:solidFill>
          </w14:textFill>
        </w:rPr>
      </w:pPr>
      <w:bookmarkStart w:id="115" w:name="_GoBack"/>
      <w:bookmarkEnd w:id="115"/>
    </w:p>
    <w:p w14:paraId="0DE384DA">
      <w:pPr>
        <w:rPr>
          <w:b/>
          <w:color w:val="000000" w:themeColor="text1"/>
          <w:sz w:val="36"/>
          <w:szCs w:val="36"/>
          <w14:textFill>
            <w14:solidFill>
              <w14:schemeClr w14:val="tx1"/>
            </w14:solidFill>
          </w14:textFill>
        </w:rPr>
      </w:pPr>
    </w:p>
    <w:p w14:paraId="601434BD">
      <w:pPr>
        <w:rPr>
          <w:b/>
          <w:color w:val="000000" w:themeColor="text1"/>
          <w:sz w:val="36"/>
          <w:szCs w:val="36"/>
          <w14:textFill>
            <w14:solidFill>
              <w14:schemeClr w14:val="tx1"/>
            </w14:solidFill>
          </w14:textFill>
        </w:rPr>
      </w:pPr>
    </w:p>
    <w:p w14:paraId="7871BB1F">
      <w:pPr>
        <w:rPr>
          <w:b/>
          <w:color w:val="000000" w:themeColor="text1"/>
          <w:sz w:val="52"/>
          <w:szCs w:val="52"/>
          <w14:textFill>
            <w14:solidFill>
              <w14:schemeClr w14:val="tx1"/>
            </w14:solidFill>
          </w14:textFill>
        </w:rPr>
      </w:pPr>
    </w:p>
    <w:p w14:paraId="4B9D3AFF">
      <w:pPr>
        <w:ind w:firstLine="200" w:firstLineChars="50"/>
        <w:jc w:val="center"/>
        <w:rPr>
          <w:b/>
          <w:color w:val="000000" w:themeColor="text1"/>
          <w:sz w:val="40"/>
          <w:szCs w:val="40"/>
          <w14:textFill>
            <w14:solidFill>
              <w14:schemeClr w14:val="tx1"/>
            </w14:solidFill>
          </w14:textFill>
        </w:rPr>
      </w:pPr>
      <w:r>
        <w:rPr>
          <w:rFonts w:hint="eastAsia"/>
          <w:b/>
          <w:color w:val="000000" w:themeColor="text1"/>
          <w:sz w:val="40"/>
          <w:szCs w:val="40"/>
          <w14:textFill>
            <w14:solidFill>
              <w14:schemeClr w14:val="tx1"/>
            </w14:solidFill>
          </w14:textFill>
        </w:rPr>
        <w:t>《地面防滑剂应用技术规程》</w:t>
      </w:r>
    </w:p>
    <w:p w14:paraId="5AB50132">
      <w:pPr>
        <w:ind w:firstLine="220" w:firstLineChars="50"/>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编制说明</w:t>
      </w:r>
    </w:p>
    <w:p w14:paraId="0BADDEE3">
      <w:pPr>
        <w:jc w:val="center"/>
        <w:rPr>
          <w:b/>
          <w:color w:val="000000" w:themeColor="text1"/>
          <w:sz w:val="44"/>
          <w:szCs w:val="44"/>
          <w14:textFill>
            <w14:solidFill>
              <w14:schemeClr w14:val="tx1"/>
            </w14:solidFill>
          </w14:textFill>
        </w:rPr>
      </w:pPr>
    </w:p>
    <w:p w14:paraId="288B6F8C">
      <w:pPr>
        <w:jc w:val="center"/>
        <w:rPr>
          <w:b/>
          <w:color w:val="000000" w:themeColor="text1"/>
          <w:sz w:val="44"/>
          <w:szCs w:val="44"/>
          <w14:textFill>
            <w14:solidFill>
              <w14:schemeClr w14:val="tx1"/>
            </w14:solidFill>
          </w14:textFill>
        </w:rPr>
      </w:pPr>
    </w:p>
    <w:p w14:paraId="7A032BDD">
      <w:pPr>
        <w:jc w:val="center"/>
        <w:rPr>
          <w:b/>
          <w:color w:val="000000" w:themeColor="text1"/>
          <w:sz w:val="44"/>
          <w:szCs w:val="44"/>
          <w14:textFill>
            <w14:solidFill>
              <w14:schemeClr w14:val="tx1"/>
            </w14:solidFill>
          </w14:textFill>
        </w:rPr>
      </w:pPr>
    </w:p>
    <w:p w14:paraId="3FCCB9BB">
      <w:pPr>
        <w:jc w:val="center"/>
        <w:rPr>
          <w:b/>
          <w:color w:val="000000" w:themeColor="text1"/>
          <w:sz w:val="44"/>
          <w:szCs w:val="44"/>
          <w14:textFill>
            <w14:solidFill>
              <w14:schemeClr w14:val="tx1"/>
            </w14:solidFill>
          </w14:textFill>
        </w:rPr>
      </w:pPr>
    </w:p>
    <w:p w14:paraId="5EB05BDE">
      <w:pPr>
        <w:jc w:val="center"/>
        <w:rPr>
          <w:b/>
          <w:color w:val="000000" w:themeColor="text1"/>
          <w:sz w:val="44"/>
          <w:szCs w:val="44"/>
          <w14:textFill>
            <w14:solidFill>
              <w14:schemeClr w14:val="tx1"/>
            </w14:solidFill>
          </w14:textFill>
        </w:rPr>
      </w:pPr>
    </w:p>
    <w:p w14:paraId="7250277A">
      <w:pPr>
        <w:jc w:val="center"/>
        <w:rPr>
          <w:b/>
          <w:color w:val="000000" w:themeColor="text1"/>
          <w:sz w:val="44"/>
          <w:szCs w:val="44"/>
          <w14:textFill>
            <w14:solidFill>
              <w14:schemeClr w14:val="tx1"/>
            </w14:solidFill>
          </w14:textFill>
        </w:rPr>
      </w:pPr>
    </w:p>
    <w:p w14:paraId="4F8D5F19">
      <w:pPr>
        <w:jc w:val="center"/>
        <w:rPr>
          <w:b/>
          <w:color w:val="000000" w:themeColor="text1"/>
          <w:sz w:val="44"/>
          <w:szCs w:val="44"/>
          <w14:textFill>
            <w14:solidFill>
              <w14:schemeClr w14:val="tx1"/>
            </w14:solidFill>
          </w14:textFill>
        </w:rPr>
      </w:pPr>
    </w:p>
    <w:p w14:paraId="4C45BA6A">
      <w:pPr>
        <w:rPr>
          <w:b/>
          <w:color w:val="000000" w:themeColor="text1"/>
          <w:sz w:val="44"/>
          <w:szCs w:val="44"/>
          <w14:textFill>
            <w14:solidFill>
              <w14:schemeClr w14:val="tx1"/>
            </w14:solidFill>
          </w14:textFill>
        </w:rPr>
      </w:pPr>
    </w:p>
    <w:p w14:paraId="1A38C308">
      <w:pPr>
        <w:rPr>
          <w:b/>
          <w:color w:val="000000" w:themeColor="text1"/>
          <w:sz w:val="44"/>
          <w:szCs w:val="44"/>
          <w14:textFill>
            <w14:solidFill>
              <w14:schemeClr w14:val="tx1"/>
            </w14:solidFill>
          </w14:textFill>
        </w:rPr>
      </w:pPr>
    </w:p>
    <w:p w14:paraId="603B50A7">
      <w:pPr>
        <w:rPr>
          <w:b/>
          <w:color w:val="000000" w:themeColor="text1"/>
          <w:sz w:val="44"/>
          <w:szCs w:val="44"/>
          <w14:textFill>
            <w14:solidFill>
              <w14:schemeClr w14:val="tx1"/>
            </w14:solidFill>
          </w14:textFill>
        </w:rPr>
      </w:pPr>
    </w:p>
    <w:p w14:paraId="79B25AD4">
      <w:pPr>
        <w:jc w:val="center"/>
        <w:rPr>
          <w:b/>
          <w:color w:val="000000" w:themeColor="text1"/>
          <w:sz w:val="44"/>
          <w:szCs w:val="44"/>
          <w14:textFill>
            <w14:solidFill>
              <w14:schemeClr w14:val="tx1"/>
            </w14:solidFill>
          </w14:textFill>
        </w:rPr>
      </w:pPr>
    </w:p>
    <w:p w14:paraId="1198C882">
      <w:pPr>
        <w:jc w:val="center"/>
        <w:rPr>
          <w:b/>
          <w:color w:val="000000" w:themeColor="text1"/>
          <w:sz w:val="44"/>
          <w:szCs w:val="44"/>
          <w14:textFill>
            <w14:solidFill>
              <w14:schemeClr w14:val="tx1"/>
            </w14:solidFill>
          </w14:textFill>
        </w:rPr>
      </w:pPr>
    </w:p>
    <w:p w14:paraId="00DB3BF6">
      <w:pPr>
        <w:jc w:val="center"/>
        <w:rPr>
          <w:rFonts w:hint="default"/>
          <w:b/>
          <w:color w:val="000000" w:themeColor="text1"/>
          <w:sz w:val="36"/>
          <w:szCs w:val="36"/>
          <w:lang w:val="en-US"/>
          <w14:textFill>
            <w14:solidFill>
              <w14:schemeClr w14:val="tx1"/>
            </w14:solidFill>
          </w14:textFill>
        </w:rPr>
      </w:pPr>
      <w:r>
        <w:rPr>
          <w:rFonts w:hint="eastAsia"/>
          <w:b/>
          <w:color w:val="000000" w:themeColor="text1"/>
          <w:sz w:val="36"/>
          <w:szCs w:val="36"/>
          <w:lang w:eastAsia="zh-CN"/>
          <w14:textFill>
            <w14:solidFill>
              <w14:schemeClr w14:val="tx1"/>
            </w14:solidFill>
          </w14:textFill>
        </w:rPr>
        <w:t>《</w:t>
      </w:r>
      <w:r>
        <w:rPr>
          <w:rFonts w:hint="eastAsia"/>
          <w:b/>
          <w:color w:val="000000" w:themeColor="text1"/>
          <w:sz w:val="36"/>
          <w:szCs w:val="36"/>
          <w14:textFill>
            <w14:solidFill>
              <w14:schemeClr w14:val="tx1"/>
            </w14:solidFill>
          </w14:textFill>
        </w:rPr>
        <w:t>地面防滑剂应用技术规程</w:t>
      </w:r>
      <w:r>
        <w:rPr>
          <w:rFonts w:hint="eastAsia"/>
          <w:b/>
          <w:color w:val="000000" w:themeColor="text1"/>
          <w:sz w:val="36"/>
          <w:szCs w:val="36"/>
          <w:lang w:eastAsia="zh-CN"/>
          <w14:textFill>
            <w14:solidFill>
              <w14:schemeClr w14:val="tx1"/>
            </w14:solidFill>
          </w14:textFill>
        </w:rPr>
        <w:t>》</w:t>
      </w:r>
      <w:r>
        <w:rPr>
          <w:rFonts w:hint="eastAsia"/>
          <w:b/>
          <w:color w:val="000000" w:themeColor="text1"/>
          <w:sz w:val="36"/>
          <w:szCs w:val="36"/>
          <w:lang w:val="en-US" w:eastAsia="zh-CN"/>
          <w14:textFill>
            <w14:solidFill>
              <w14:schemeClr w14:val="tx1"/>
            </w14:solidFill>
          </w14:textFill>
        </w:rPr>
        <w:t>标准编制组</w:t>
      </w:r>
    </w:p>
    <w:p w14:paraId="508B9BE7">
      <w:pPr>
        <w:ind w:firstLine="3211" w:firstLineChars="892"/>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二零二</w:t>
      </w:r>
      <w:r>
        <w:rPr>
          <w:rFonts w:hint="eastAsia"/>
          <w:b/>
          <w:color w:val="000000" w:themeColor="text1"/>
          <w:sz w:val="36"/>
          <w:szCs w:val="36"/>
          <w:lang w:val="en-US" w:eastAsia="zh-CN"/>
          <w14:textFill>
            <w14:solidFill>
              <w14:schemeClr w14:val="tx1"/>
            </w14:solidFill>
          </w14:textFill>
        </w:rPr>
        <w:t>六</w:t>
      </w:r>
      <w:r>
        <w:rPr>
          <w:rFonts w:hint="eastAsia"/>
          <w:b/>
          <w:color w:val="000000" w:themeColor="text1"/>
          <w:sz w:val="36"/>
          <w:szCs w:val="36"/>
          <w14:textFill>
            <w14:solidFill>
              <w14:schemeClr w14:val="tx1"/>
            </w14:solidFill>
          </w14:textFill>
        </w:rPr>
        <w:t>年</w:t>
      </w:r>
      <w:r>
        <w:rPr>
          <w:rFonts w:hint="eastAsia"/>
          <w:b/>
          <w:color w:val="000000" w:themeColor="text1"/>
          <w:sz w:val="36"/>
          <w:szCs w:val="36"/>
          <w:lang w:val="en-US" w:eastAsia="zh-CN"/>
          <w14:textFill>
            <w14:solidFill>
              <w14:schemeClr w14:val="tx1"/>
            </w14:solidFill>
          </w14:textFill>
        </w:rPr>
        <w:t>八</w:t>
      </w:r>
      <w:r>
        <w:rPr>
          <w:rFonts w:hint="eastAsia"/>
          <w:b/>
          <w:color w:val="000000" w:themeColor="text1"/>
          <w:sz w:val="36"/>
          <w:szCs w:val="36"/>
          <w14:textFill>
            <w14:solidFill>
              <w14:schemeClr w14:val="tx1"/>
            </w14:solidFill>
          </w14:textFill>
        </w:rPr>
        <w:t>月</w:t>
      </w:r>
    </w:p>
    <w:p w14:paraId="4BBE9223">
      <w:pPr>
        <w:rPr>
          <w:color w:val="000000" w:themeColor="text1"/>
          <w14:textFill>
            <w14:solidFill>
              <w14:schemeClr w14:val="tx1"/>
            </w14:solidFill>
          </w14:textFill>
        </w:rPr>
      </w:pPr>
    </w:p>
    <w:p w14:paraId="7FBB6FF7">
      <w:pPr>
        <w:rPr>
          <w:color w:val="000000" w:themeColor="text1"/>
          <w14:textFill>
            <w14:solidFill>
              <w14:schemeClr w14:val="tx1"/>
            </w14:solidFill>
          </w14:textFill>
        </w:rPr>
      </w:pPr>
    </w:p>
    <w:p w14:paraId="668F4E68">
      <w:pPr>
        <w:ind w:firstLine="1904" w:firstLineChars="595"/>
        <w:rPr>
          <w:b/>
          <w:color w:val="000000" w:themeColor="text1"/>
          <w:sz w:val="32"/>
          <w:szCs w:val="32"/>
          <w14:textFill>
            <w14:solidFill>
              <w14:schemeClr w14:val="tx1"/>
            </w14:solidFill>
          </w14:textFill>
        </w:rPr>
      </w:pPr>
    </w:p>
    <w:p w14:paraId="5D715C7C">
      <w:pPr>
        <w:ind w:firstLine="1904" w:firstLineChars="595"/>
        <w:rPr>
          <w:b/>
          <w:color w:val="000000" w:themeColor="text1"/>
          <w:sz w:val="32"/>
          <w:szCs w:val="32"/>
          <w14:textFill>
            <w14:solidFill>
              <w14:schemeClr w14:val="tx1"/>
            </w14:solidFill>
          </w14:textFill>
        </w:rPr>
        <w:sectPr>
          <w:pgSz w:w="11906" w:h="16838"/>
          <w:pgMar w:top="1474" w:right="1276" w:bottom="1440" w:left="1418" w:header="851" w:footer="992" w:gutter="0"/>
          <w:cols w:space="425" w:num="1"/>
          <w:titlePg/>
          <w:docGrid w:type="linesAndChars" w:linePitch="312" w:charSpace="0"/>
        </w:sectPr>
      </w:pPr>
    </w:p>
    <w:p w14:paraId="41479599">
      <w:pPr>
        <w:ind w:firstLine="1904" w:firstLineChars="595"/>
        <w:rPr>
          <w:b/>
          <w:color w:val="000000" w:themeColor="text1"/>
          <w:sz w:val="32"/>
          <w:szCs w:val="32"/>
          <w14:textFill>
            <w14:solidFill>
              <w14:schemeClr w14:val="tx1"/>
            </w14:solidFill>
          </w14:textFill>
        </w:rPr>
      </w:pPr>
    </w:p>
    <w:p w14:paraId="13A5BB47">
      <w:pPr>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目录</w:t>
      </w:r>
    </w:p>
    <w:p w14:paraId="4438DE87">
      <w:pPr>
        <w:pStyle w:val="13"/>
        <w:tabs>
          <w:tab w:val="right" w:leader="dot" w:pos="9212"/>
        </w:tabs>
      </w:pPr>
      <w:r>
        <w:rPr>
          <w:b/>
          <w:color w:val="000000" w:themeColor="text1"/>
          <w:sz w:val="32"/>
          <w:szCs w:val="32"/>
          <w14:textFill>
            <w14:solidFill>
              <w14:schemeClr w14:val="tx1"/>
            </w14:solidFill>
          </w14:textFill>
        </w:rPr>
        <w:fldChar w:fldCharType="begin"/>
      </w:r>
      <w:r>
        <w:rPr>
          <w:b/>
          <w:color w:val="000000" w:themeColor="text1"/>
          <w:sz w:val="32"/>
          <w:szCs w:val="32"/>
          <w14:textFill>
            <w14:solidFill>
              <w14:schemeClr w14:val="tx1"/>
            </w14:solidFill>
          </w14:textFill>
        </w:rPr>
        <w:instrText xml:space="preserve"> TOC \o "1-3" \h \z \u </w:instrText>
      </w:r>
      <w:r>
        <w:rPr>
          <w:b/>
          <w:color w:val="000000" w:themeColor="text1"/>
          <w:sz w:val="32"/>
          <w:szCs w:val="32"/>
          <w14:textFill>
            <w14:solidFill>
              <w14:schemeClr w14:val="tx1"/>
            </w14:solidFill>
          </w14:textFill>
        </w:rPr>
        <w:fldChar w:fldCharType="separate"/>
      </w:r>
      <w:r>
        <w:rPr>
          <w:color w:val="000000" w:themeColor="text1"/>
          <w:szCs w:val="32"/>
          <w14:textFill>
            <w14:solidFill>
              <w14:schemeClr w14:val="tx1"/>
            </w14:solidFill>
          </w14:textFill>
        </w:rPr>
        <w:fldChar w:fldCharType="begin"/>
      </w:r>
      <w:r>
        <w:rPr>
          <w:szCs w:val="32"/>
        </w:rPr>
        <w:instrText xml:space="preserve"> HYPERLINK \l _Toc5885 </w:instrText>
      </w:r>
      <w:r>
        <w:rPr>
          <w:szCs w:val="32"/>
        </w:rPr>
        <w:fldChar w:fldCharType="separate"/>
      </w:r>
      <w:r>
        <w:rPr>
          <w:rFonts w:hint="default" w:ascii="黑体" w:hAnsi="Times New Roman" w:eastAsia="黑体"/>
          <w:i w:val="0"/>
          <w:szCs w:val="28"/>
        </w:rPr>
        <w:t xml:space="preserve">1 </w:t>
      </w:r>
      <w:r>
        <w:rPr>
          <w:rFonts w:hint="eastAsia"/>
          <w:szCs w:val="28"/>
        </w:rPr>
        <w:t>标准编制</w:t>
      </w:r>
      <w:r>
        <w:rPr>
          <w:rFonts w:hint="eastAsia"/>
          <w:bCs/>
          <w:szCs w:val="28"/>
        </w:rPr>
        <w:t>工作</w:t>
      </w:r>
      <w:r>
        <w:rPr>
          <w:rFonts w:hint="eastAsia"/>
          <w:szCs w:val="28"/>
        </w:rPr>
        <w:t>简况</w:t>
      </w:r>
      <w:r>
        <w:tab/>
      </w:r>
      <w:r>
        <w:fldChar w:fldCharType="begin"/>
      </w:r>
      <w:r>
        <w:instrText xml:space="preserve"> PAGEREF _Toc5885 \h </w:instrText>
      </w:r>
      <w:r>
        <w:fldChar w:fldCharType="separate"/>
      </w:r>
      <w:r>
        <w:t>1</w:t>
      </w:r>
      <w:r>
        <w:fldChar w:fldCharType="end"/>
      </w:r>
      <w:r>
        <w:rPr>
          <w:color w:val="000000" w:themeColor="text1"/>
          <w:szCs w:val="32"/>
          <w14:textFill>
            <w14:solidFill>
              <w14:schemeClr w14:val="tx1"/>
            </w14:solidFill>
          </w14:textFill>
        </w:rPr>
        <w:fldChar w:fldCharType="end"/>
      </w:r>
    </w:p>
    <w:p w14:paraId="7C7BE4FD">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_Toc28585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1.1 </w:t>
      </w:r>
      <w:r>
        <w:rPr>
          <w:rFonts w:hint="eastAsia"/>
          <w:szCs w:val="24"/>
        </w:rPr>
        <w:t>任务来源</w:t>
      </w:r>
      <w:r>
        <w:tab/>
      </w:r>
      <w:r>
        <w:fldChar w:fldCharType="begin"/>
      </w:r>
      <w:r>
        <w:instrText xml:space="preserve"> PAGEREF _Toc28585 \h </w:instrText>
      </w:r>
      <w:r>
        <w:fldChar w:fldCharType="separate"/>
      </w:r>
      <w:r>
        <w:t>1</w:t>
      </w:r>
      <w:r>
        <w:fldChar w:fldCharType="end"/>
      </w:r>
      <w:r>
        <w:rPr>
          <w:color w:val="000000" w:themeColor="text1"/>
          <w:szCs w:val="32"/>
          <w14:textFill>
            <w14:solidFill>
              <w14:schemeClr w14:val="tx1"/>
            </w14:solidFill>
          </w14:textFill>
        </w:rPr>
        <w:fldChar w:fldCharType="end"/>
      </w:r>
    </w:p>
    <w:p w14:paraId="050F87EF">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_Toc24124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1.2 </w:t>
      </w:r>
      <w:r>
        <w:rPr>
          <w:rFonts w:hint="eastAsia"/>
          <w:szCs w:val="24"/>
        </w:rPr>
        <w:t>起草单位</w:t>
      </w:r>
      <w:r>
        <w:tab/>
      </w:r>
      <w:r>
        <w:fldChar w:fldCharType="begin"/>
      </w:r>
      <w:r>
        <w:instrText xml:space="preserve"> PAGEREF _Toc24124 \h </w:instrText>
      </w:r>
      <w:r>
        <w:fldChar w:fldCharType="separate"/>
      </w:r>
      <w:r>
        <w:t>1</w:t>
      </w:r>
      <w:r>
        <w:fldChar w:fldCharType="end"/>
      </w:r>
      <w:r>
        <w:rPr>
          <w:color w:val="000000" w:themeColor="text1"/>
          <w:szCs w:val="32"/>
          <w14:textFill>
            <w14:solidFill>
              <w14:schemeClr w14:val="tx1"/>
            </w14:solidFill>
          </w14:textFill>
        </w:rPr>
        <w:fldChar w:fldCharType="end"/>
      </w:r>
    </w:p>
    <w:p w14:paraId="16546382">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_Toc8880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1.3 </w:t>
      </w:r>
      <w:r>
        <w:rPr>
          <w:rFonts w:hint="eastAsia"/>
          <w:szCs w:val="24"/>
        </w:rPr>
        <w:t>标准编制背景及必要性</w:t>
      </w:r>
      <w:r>
        <w:tab/>
      </w:r>
      <w:r>
        <w:fldChar w:fldCharType="begin"/>
      </w:r>
      <w:r>
        <w:instrText xml:space="preserve"> PAGEREF _Toc8880 \h </w:instrText>
      </w:r>
      <w:r>
        <w:fldChar w:fldCharType="separate"/>
      </w:r>
      <w:r>
        <w:t>1</w:t>
      </w:r>
      <w:r>
        <w:fldChar w:fldCharType="end"/>
      </w:r>
      <w:r>
        <w:rPr>
          <w:color w:val="000000" w:themeColor="text1"/>
          <w:szCs w:val="32"/>
          <w14:textFill>
            <w14:solidFill>
              <w14:schemeClr w14:val="tx1"/>
            </w14:solidFill>
          </w14:textFill>
        </w:rPr>
        <w:fldChar w:fldCharType="end"/>
      </w:r>
    </w:p>
    <w:p w14:paraId="4A816646">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_Toc30457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1.4 </w:t>
      </w:r>
      <w:r>
        <w:rPr>
          <w:rFonts w:hint="eastAsia"/>
          <w:szCs w:val="24"/>
        </w:rPr>
        <w:t>主要工作过程</w:t>
      </w:r>
      <w:r>
        <w:tab/>
      </w:r>
      <w:r>
        <w:fldChar w:fldCharType="begin"/>
      </w:r>
      <w:r>
        <w:instrText xml:space="preserve"> PAGEREF _Toc30457 \h </w:instrText>
      </w:r>
      <w:r>
        <w:fldChar w:fldCharType="separate"/>
      </w:r>
      <w:r>
        <w:t>3</w:t>
      </w:r>
      <w:r>
        <w:fldChar w:fldCharType="end"/>
      </w:r>
      <w:r>
        <w:rPr>
          <w:color w:val="000000" w:themeColor="text1"/>
          <w:szCs w:val="32"/>
          <w14:textFill>
            <w14:solidFill>
              <w14:schemeClr w14:val="tx1"/>
            </w14:solidFill>
          </w14:textFill>
        </w:rPr>
        <w:fldChar w:fldCharType="end"/>
      </w:r>
    </w:p>
    <w:p w14:paraId="5EA531EF">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_Toc24227 </w:instrText>
      </w:r>
      <w:r>
        <w:rPr>
          <w:szCs w:val="32"/>
        </w:rPr>
        <w:fldChar w:fldCharType="separate"/>
      </w:r>
      <w:r>
        <w:rPr>
          <w:rFonts w:hint="default" w:ascii="黑体" w:hAnsi="Times New Roman" w:eastAsia="黑体"/>
          <w:i w:val="0"/>
          <w:szCs w:val="28"/>
        </w:rPr>
        <w:t xml:space="preserve">2 </w:t>
      </w:r>
      <w:r>
        <w:rPr>
          <w:rFonts w:hint="eastAsia"/>
          <w:szCs w:val="28"/>
        </w:rPr>
        <w:t>标准制定原则和依据</w:t>
      </w:r>
      <w:r>
        <w:tab/>
      </w:r>
      <w:r>
        <w:fldChar w:fldCharType="begin"/>
      </w:r>
      <w:r>
        <w:instrText xml:space="preserve"> PAGEREF _Toc24227 \h </w:instrText>
      </w:r>
      <w:r>
        <w:fldChar w:fldCharType="separate"/>
      </w:r>
      <w:r>
        <w:t>6</w:t>
      </w:r>
      <w:r>
        <w:fldChar w:fldCharType="end"/>
      </w:r>
      <w:r>
        <w:rPr>
          <w:color w:val="000000" w:themeColor="text1"/>
          <w:szCs w:val="32"/>
          <w14:textFill>
            <w14:solidFill>
              <w14:schemeClr w14:val="tx1"/>
            </w14:solidFill>
          </w14:textFill>
        </w:rPr>
        <w:fldChar w:fldCharType="end"/>
      </w:r>
    </w:p>
    <w:p w14:paraId="02A8DDFC">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_Toc24006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2.1 </w:t>
      </w:r>
      <w:r>
        <w:rPr>
          <w:rFonts w:hint="eastAsia"/>
          <w:szCs w:val="24"/>
        </w:rPr>
        <w:t>标准制定原则</w:t>
      </w:r>
      <w:r>
        <w:tab/>
      </w:r>
      <w:r>
        <w:fldChar w:fldCharType="begin"/>
      </w:r>
      <w:r>
        <w:instrText xml:space="preserve"> PAGEREF _Toc24006 \h </w:instrText>
      </w:r>
      <w:r>
        <w:fldChar w:fldCharType="separate"/>
      </w:r>
      <w:r>
        <w:t>6</w:t>
      </w:r>
      <w:r>
        <w:fldChar w:fldCharType="end"/>
      </w:r>
      <w:r>
        <w:rPr>
          <w:color w:val="000000" w:themeColor="text1"/>
          <w:szCs w:val="32"/>
          <w14:textFill>
            <w14:solidFill>
              <w14:schemeClr w14:val="tx1"/>
            </w14:solidFill>
          </w14:textFill>
        </w:rPr>
        <w:fldChar w:fldCharType="end"/>
      </w:r>
    </w:p>
    <w:p w14:paraId="1BCA8895">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_Toc21227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2.2 </w:t>
      </w:r>
      <w:r>
        <w:rPr>
          <w:rFonts w:hint="eastAsia"/>
          <w:szCs w:val="24"/>
        </w:rPr>
        <w:t>标准制定依据</w:t>
      </w:r>
      <w:r>
        <w:tab/>
      </w:r>
      <w:r>
        <w:fldChar w:fldCharType="begin"/>
      </w:r>
      <w:r>
        <w:instrText xml:space="preserve"> PAGEREF _Toc21227 \h </w:instrText>
      </w:r>
      <w:r>
        <w:fldChar w:fldCharType="separate"/>
      </w:r>
      <w:r>
        <w:t>6</w:t>
      </w:r>
      <w:r>
        <w:fldChar w:fldCharType="end"/>
      </w:r>
      <w:r>
        <w:rPr>
          <w:color w:val="000000" w:themeColor="text1"/>
          <w:szCs w:val="32"/>
          <w14:textFill>
            <w14:solidFill>
              <w14:schemeClr w14:val="tx1"/>
            </w14:solidFill>
          </w14:textFill>
        </w:rPr>
        <w:fldChar w:fldCharType="end"/>
      </w:r>
    </w:p>
    <w:p w14:paraId="3D2A79E9">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_Toc7425 </w:instrText>
      </w:r>
      <w:r>
        <w:rPr>
          <w:szCs w:val="32"/>
        </w:rPr>
        <w:fldChar w:fldCharType="separate"/>
      </w:r>
      <w:r>
        <w:rPr>
          <w:rFonts w:hint="default" w:ascii="黑体" w:hAnsi="Times New Roman" w:eastAsia="黑体"/>
          <w:i w:val="0"/>
          <w:szCs w:val="28"/>
        </w:rPr>
        <w:t xml:space="preserve">3 </w:t>
      </w:r>
      <w:r>
        <w:rPr>
          <w:rFonts w:hint="eastAsia"/>
          <w:szCs w:val="28"/>
        </w:rPr>
        <w:t>标准主要内容和试验方法说明</w:t>
      </w:r>
      <w:r>
        <w:tab/>
      </w:r>
      <w:r>
        <w:fldChar w:fldCharType="begin"/>
      </w:r>
      <w:r>
        <w:instrText xml:space="preserve"> PAGEREF _Toc7425 \h </w:instrText>
      </w:r>
      <w:r>
        <w:fldChar w:fldCharType="separate"/>
      </w:r>
      <w:r>
        <w:t>6</w:t>
      </w:r>
      <w:r>
        <w:fldChar w:fldCharType="end"/>
      </w:r>
      <w:r>
        <w:rPr>
          <w:color w:val="000000" w:themeColor="text1"/>
          <w:szCs w:val="32"/>
          <w14:textFill>
            <w14:solidFill>
              <w14:schemeClr w14:val="tx1"/>
            </w14:solidFill>
          </w14:textFill>
        </w:rPr>
        <w:fldChar w:fldCharType="end"/>
      </w:r>
    </w:p>
    <w:p w14:paraId="43F985E8">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_Toc32416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3.1 </w:t>
      </w:r>
      <w:r>
        <w:rPr>
          <w:rFonts w:hint="eastAsia"/>
          <w:szCs w:val="24"/>
        </w:rPr>
        <w:t>标准适用范围</w:t>
      </w:r>
      <w:r>
        <w:tab/>
      </w:r>
      <w:r>
        <w:fldChar w:fldCharType="begin"/>
      </w:r>
      <w:r>
        <w:instrText xml:space="preserve"> PAGEREF _Toc32416 \h </w:instrText>
      </w:r>
      <w:r>
        <w:fldChar w:fldCharType="separate"/>
      </w:r>
      <w:r>
        <w:t>6</w:t>
      </w:r>
      <w:r>
        <w:fldChar w:fldCharType="end"/>
      </w:r>
      <w:r>
        <w:rPr>
          <w:color w:val="000000" w:themeColor="text1"/>
          <w:szCs w:val="32"/>
          <w14:textFill>
            <w14:solidFill>
              <w14:schemeClr w14:val="tx1"/>
            </w14:solidFill>
          </w14:textFill>
        </w:rPr>
        <w:fldChar w:fldCharType="end"/>
      </w:r>
    </w:p>
    <w:p w14:paraId="3C00BA39">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_Toc9420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3.2 </w:t>
      </w:r>
      <w:r>
        <w:rPr>
          <w:rFonts w:hint="eastAsia"/>
          <w:szCs w:val="24"/>
          <w:highlight w:val="none"/>
        </w:rPr>
        <w:t>术语和定义</w:t>
      </w:r>
      <w:r>
        <w:tab/>
      </w:r>
      <w:r>
        <w:fldChar w:fldCharType="begin"/>
      </w:r>
      <w:r>
        <w:instrText xml:space="preserve"> PAGEREF _Toc9420 \h </w:instrText>
      </w:r>
      <w:r>
        <w:fldChar w:fldCharType="separate"/>
      </w:r>
      <w:r>
        <w:t>6</w:t>
      </w:r>
      <w:r>
        <w:fldChar w:fldCharType="end"/>
      </w:r>
      <w:r>
        <w:rPr>
          <w:color w:val="000000" w:themeColor="text1"/>
          <w:szCs w:val="32"/>
          <w14:textFill>
            <w14:solidFill>
              <w14:schemeClr w14:val="tx1"/>
            </w14:solidFill>
          </w14:textFill>
        </w:rPr>
        <w:fldChar w:fldCharType="end"/>
      </w:r>
    </w:p>
    <w:p w14:paraId="3046093C">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_Toc28961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3.3 </w:t>
      </w:r>
      <w:r>
        <w:rPr>
          <w:rFonts w:hint="eastAsia"/>
          <w:szCs w:val="24"/>
        </w:rPr>
        <w:t>性能指标</w:t>
      </w:r>
      <w:r>
        <w:rPr>
          <w:rFonts w:hint="eastAsia"/>
          <w:szCs w:val="24"/>
          <w:lang w:eastAsia="zh-CN"/>
        </w:rPr>
        <w:t>及试验方法</w:t>
      </w:r>
      <w:r>
        <w:tab/>
      </w:r>
      <w:r>
        <w:fldChar w:fldCharType="begin"/>
      </w:r>
      <w:r>
        <w:instrText xml:space="preserve"> PAGEREF _Toc28961 \h </w:instrText>
      </w:r>
      <w:r>
        <w:fldChar w:fldCharType="separate"/>
      </w:r>
      <w:r>
        <w:t>6</w:t>
      </w:r>
      <w:r>
        <w:fldChar w:fldCharType="end"/>
      </w:r>
      <w:r>
        <w:rPr>
          <w:color w:val="000000" w:themeColor="text1"/>
          <w:szCs w:val="32"/>
          <w14:textFill>
            <w14:solidFill>
              <w14:schemeClr w14:val="tx1"/>
            </w14:solidFill>
          </w14:textFill>
        </w:rPr>
        <w:fldChar w:fldCharType="end"/>
      </w:r>
    </w:p>
    <w:p w14:paraId="070DEF7C">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_Toc12228 </w:instrText>
      </w:r>
      <w:r>
        <w:rPr>
          <w:szCs w:val="32"/>
        </w:rPr>
        <w:fldChar w:fldCharType="separate"/>
      </w:r>
      <w:r>
        <w:rPr>
          <w:rFonts w:hint="default" w:ascii="黑体" w:hAnsi="Times New Roman" w:eastAsia="黑体"/>
          <w:i w:val="0"/>
          <w:szCs w:val="28"/>
        </w:rPr>
        <w:t xml:space="preserve">4 </w:t>
      </w:r>
      <w:r>
        <w:rPr>
          <w:rFonts w:hint="eastAsia"/>
          <w:szCs w:val="28"/>
          <w:highlight w:val="none"/>
        </w:rPr>
        <w:t>标准主要试验项目验证情况分析</w:t>
      </w:r>
      <w:r>
        <w:tab/>
      </w:r>
      <w:r>
        <w:fldChar w:fldCharType="begin"/>
      </w:r>
      <w:r>
        <w:instrText xml:space="preserve"> PAGEREF _Toc12228 \h </w:instrText>
      </w:r>
      <w:r>
        <w:fldChar w:fldCharType="separate"/>
      </w:r>
      <w:r>
        <w:t>9</w:t>
      </w:r>
      <w:r>
        <w:fldChar w:fldCharType="end"/>
      </w:r>
      <w:r>
        <w:rPr>
          <w:color w:val="000000" w:themeColor="text1"/>
          <w:szCs w:val="32"/>
          <w14:textFill>
            <w14:solidFill>
              <w14:schemeClr w14:val="tx1"/>
            </w14:solidFill>
          </w14:textFill>
        </w:rPr>
        <w:fldChar w:fldCharType="end"/>
      </w:r>
    </w:p>
    <w:p w14:paraId="7AC21FA1">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_Toc10345 </w:instrText>
      </w:r>
      <w:r>
        <w:rPr>
          <w:szCs w:val="32"/>
        </w:rPr>
        <w:fldChar w:fldCharType="separate"/>
      </w:r>
      <w:r>
        <w:rPr>
          <w:rFonts w:hint="default" w:ascii="黑体" w:hAnsi="Times New Roman" w:eastAsia="黑体"/>
          <w:i w:val="0"/>
          <w:szCs w:val="28"/>
        </w:rPr>
        <w:t xml:space="preserve">5 </w:t>
      </w:r>
      <w:r>
        <w:rPr>
          <w:rFonts w:hint="eastAsia"/>
          <w:szCs w:val="28"/>
        </w:rPr>
        <w:t>标准中涉及专利情况说明</w:t>
      </w:r>
      <w:r>
        <w:tab/>
      </w:r>
      <w:r>
        <w:fldChar w:fldCharType="begin"/>
      </w:r>
      <w:r>
        <w:instrText xml:space="preserve"> PAGEREF _Toc10345 \h </w:instrText>
      </w:r>
      <w:r>
        <w:fldChar w:fldCharType="separate"/>
      </w:r>
      <w:r>
        <w:t>12</w:t>
      </w:r>
      <w:r>
        <w:fldChar w:fldCharType="end"/>
      </w:r>
      <w:r>
        <w:rPr>
          <w:color w:val="000000" w:themeColor="text1"/>
          <w:szCs w:val="32"/>
          <w14:textFill>
            <w14:solidFill>
              <w14:schemeClr w14:val="tx1"/>
            </w14:solidFill>
          </w14:textFill>
        </w:rPr>
        <w:fldChar w:fldCharType="end"/>
      </w:r>
    </w:p>
    <w:p w14:paraId="452ECB3C">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_Toc643 </w:instrText>
      </w:r>
      <w:r>
        <w:rPr>
          <w:szCs w:val="32"/>
        </w:rPr>
        <w:fldChar w:fldCharType="separate"/>
      </w:r>
      <w:r>
        <w:rPr>
          <w:rFonts w:hint="default" w:ascii="黑体" w:hAnsi="Times New Roman" w:eastAsia="黑体"/>
          <w:i w:val="0"/>
          <w:szCs w:val="28"/>
        </w:rPr>
        <w:t xml:space="preserve">6 </w:t>
      </w:r>
      <w:r>
        <w:rPr>
          <w:rFonts w:hint="eastAsia"/>
          <w:szCs w:val="28"/>
        </w:rPr>
        <w:t>产业化情况和预期达到的经济效果等情况</w:t>
      </w:r>
      <w:r>
        <w:tab/>
      </w:r>
      <w:r>
        <w:fldChar w:fldCharType="begin"/>
      </w:r>
      <w:r>
        <w:instrText xml:space="preserve"> PAGEREF _Toc643 \h </w:instrText>
      </w:r>
      <w:r>
        <w:fldChar w:fldCharType="separate"/>
      </w:r>
      <w:r>
        <w:t>12</w:t>
      </w:r>
      <w:r>
        <w:fldChar w:fldCharType="end"/>
      </w:r>
      <w:r>
        <w:rPr>
          <w:color w:val="000000" w:themeColor="text1"/>
          <w:szCs w:val="32"/>
          <w14:textFill>
            <w14:solidFill>
              <w14:schemeClr w14:val="tx1"/>
            </w14:solidFill>
          </w14:textFill>
        </w:rPr>
        <w:fldChar w:fldCharType="end"/>
      </w:r>
    </w:p>
    <w:p w14:paraId="4825E2D0">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_Toc17158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rPr>
        <w:t xml:space="preserve">6.1 </w:t>
      </w:r>
      <w:r>
        <w:rPr>
          <w:rFonts w:hint="eastAsia"/>
          <w:szCs w:val="24"/>
        </w:rPr>
        <w:t>预期经济效果</w:t>
      </w:r>
      <w:r>
        <w:tab/>
      </w:r>
      <w:r>
        <w:fldChar w:fldCharType="begin"/>
      </w:r>
      <w:r>
        <w:instrText xml:space="preserve"> PAGEREF _Toc17158 \h </w:instrText>
      </w:r>
      <w:r>
        <w:fldChar w:fldCharType="separate"/>
      </w:r>
      <w:r>
        <w:t>13</w:t>
      </w:r>
      <w:r>
        <w:fldChar w:fldCharType="end"/>
      </w:r>
      <w:r>
        <w:rPr>
          <w:color w:val="000000" w:themeColor="text1"/>
          <w:szCs w:val="32"/>
          <w14:textFill>
            <w14:solidFill>
              <w14:schemeClr w14:val="tx1"/>
            </w14:solidFill>
          </w14:textFill>
        </w:rPr>
        <w:fldChar w:fldCharType="end"/>
      </w:r>
    </w:p>
    <w:p w14:paraId="7F711873">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_Toc1081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6.2 </w:t>
      </w:r>
      <w:r>
        <w:rPr>
          <w:rFonts w:hint="eastAsia"/>
          <w:szCs w:val="24"/>
          <w:lang w:val="en-US" w:eastAsia="zh-CN"/>
        </w:rPr>
        <w:t>预期社会效益</w:t>
      </w:r>
      <w:r>
        <w:tab/>
      </w:r>
      <w:r>
        <w:fldChar w:fldCharType="begin"/>
      </w:r>
      <w:r>
        <w:instrText xml:space="preserve"> PAGEREF _Toc1081 \h </w:instrText>
      </w:r>
      <w:r>
        <w:fldChar w:fldCharType="separate"/>
      </w:r>
      <w:r>
        <w:t>13</w:t>
      </w:r>
      <w:r>
        <w:fldChar w:fldCharType="end"/>
      </w:r>
      <w:r>
        <w:rPr>
          <w:color w:val="000000" w:themeColor="text1"/>
          <w:szCs w:val="32"/>
          <w14:textFill>
            <w14:solidFill>
              <w14:schemeClr w14:val="tx1"/>
            </w14:solidFill>
          </w14:textFill>
        </w:rPr>
        <w:fldChar w:fldCharType="end"/>
      </w:r>
    </w:p>
    <w:p w14:paraId="696B5596">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_Toc10978 </w:instrText>
      </w:r>
      <w:r>
        <w:rPr>
          <w:szCs w:val="32"/>
        </w:rPr>
        <w:fldChar w:fldCharType="separate"/>
      </w:r>
      <w:r>
        <w:rPr>
          <w:rFonts w:hint="default" w:ascii="黑体" w:hAnsi="Times New Roman" w:eastAsia="黑体"/>
          <w:i w:val="0"/>
          <w:szCs w:val="28"/>
        </w:rPr>
        <w:t xml:space="preserve">7 </w:t>
      </w:r>
      <w:r>
        <w:rPr>
          <w:rFonts w:hint="eastAsia"/>
          <w:szCs w:val="28"/>
        </w:rPr>
        <w:t>采用国际标准和国外先进标准情况</w:t>
      </w:r>
      <w:r>
        <w:tab/>
      </w:r>
      <w:r>
        <w:fldChar w:fldCharType="begin"/>
      </w:r>
      <w:r>
        <w:instrText xml:space="preserve"> PAGEREF _Toc10978 \h </w:instrText>
      </w:r>
      <w:r>
        <w:fldChar w:fldCharType="separate"/>
      </w:r>
      <w:r>
        <w:t>14</w:t>
      </w:r>
      <w:r>
        <w:fldChar w:fldCharType="end"/>
      </w:r>
      <w:r>
        <w:rPr>
          <w:color w:val="000000" w:themeColor="text1"/>
          <w:szCs w:val="32"/>
          <w14:textFill>
            <w14:solidFill>
              <w14:schemeClr w14:val="tx1"/>
            </w14:solidFill>
          </w14:textFill>
        </w:rPr>
        <w:fldChar w:fldCharType="end"/>
      </w:r>
    </w:p>
    <w:p w14:paraId="10D2E714">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_Toc24782 </w:instrText>
      </w:r>
      <w:r>
        <w:rPr>
          <w:szCs w:val="32"/>
        </w:rPr>
        <w:fldChar w:fldCharType="separate"/>
      </w:r>
      <w:r>
        <w:rPr>
          <w:rFonts w:hint="default" w:ascii="黑体" w:hAnsi="Times New Roman" w:eastAsia="黑体"/>
          <w:i w:val="0"/>
          <w:szCs w:val="28"/>
        </w:rPr>
        <w:t xml:space="preserve">8 </w:t>
      </w:r>
      <w:r>
        <w:rPr>
          <w:rFonts w:hint="eastAsia"/>
          <w:szCs w:val="28"/>
        </w:rPr>
        <w:t>与现行相关法律、法规、规章及相关标准的协调性</w:t>
      </w:r>
      <w:r>
        <w:tab/>
      </w:r>
      <w:r>
        <w:fldChar w:fldCharType="begin"/>
      </w:r>
      <w:r>
        <w:instrText xml:space="preserve"> PAGEREF _Toc24782 \h </w:instrText>
      </w:r>
      <w:r>
        <w:fldChar w:fldCharType="separate"/>
      </w:r>
      <w:r>
        <w:t>14</w:t>
      </w:r>
      <w:r>
        <w:fldChar w:fldCharType="end"/>
      </w:r>
      <w:r>
        <w:rPr>
          <w:color w:val="000000" w:themeColor="text1"/>
          <w:szCs w:val="32"/>
          <w14:textFill>
            <w14:solidFill>
              <w14:schemeClr w14:val="tx1"/>
            </w14:solidFill>
          </w14:textFill>
        </w:rPr>
        <w:fldChar w:fldCharType="end"/>
      </w:r>
    </w:p>
    <w:p w14:paraId="0A7B44E7">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_Toc18240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8.1 </w:t>
      </w:r>
      <w:r>
        <w:rPr>
          <w:rFonts w:hint="eastAsia"/>
          <w:szCs w:val="24"/>
          <w:lang w:val="en-US" w:eastAsia="zh-CN"/>
        </w:rPr>
        <w:t>与工程建设通用国家标准的关系</w:t>
      </w:r>
      <w:r>
        <w:tab/>
      </w:r>
      <w:r>
        <w:fldChar w:fldCharType="begin"/>
      </w:r>
      <w:r>
        <w:instrText xml:space="preserve"> PAGEREF _Toc18240 \h </w:instrText>
      </w:r>
      <w:r>
        <w:fldChar w:fldCharType="separate"/>
      </w:r>
      <w:r>
        <w:t>14</w:t>
      </w:r>
      <w:r>
        <w:fldChar w:fldCharType="end"/>
      </w:r>
      <w:r>
        <w:rPr>
          <w:color w:val="000000" w:themeColor="text1"/>
          <w:szCs w:val="32"/>
          <w14:textFill>
            <w14:solidFill>
              <w14:schemeClr w14:val="tx1"/>
            </w14:solidFill>
          </w14:textFill>
        </w:rPr>
        <w:fldChar w:fldCharType="end"/>
      </w:r>
    </w:p>
    <w:p w14:paraId="7115D929">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_Toc10618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8.2 </w:t>
      </w:r>
      <w:r>
        <w:rPr>
          <w:rFonts w:hint="eastAsia"/>
          <w:szCs w:val="24"/>
          <w:lang w:val="en-US" w:eastAsia="zh-CN"/>
        </w:rPr>
        <w:t>与材料、检测方法类国家标准协调关系</w:t>
      </w:r>
      <w:r>
        <w:tab/>
      </w:r>
      <w:r>
        <w:fldChar w:fldCharType="begin"/>
      </w:r>
      <w:r>
        <w:instrText xml:space="preserve"> PAGEREF _Toc10618 \h </w:instrText>
      </w:r>
      <w:r>
        <w:fldChar w:fldCharType="separate"/>
      </w:r>
      <w:r>
        <w:t>16</w:t>
      </w:r>
      <w:r>
        <w:fldChar w:fldCharType="end"/>
      </w:r>
      <w:r>
        <w:rPr>
          <w:color w:val="000000" w:themeColor="text1"/>
          <w:szCs w:val="32"/>
          <w14:textFill>
            <w14:solidFill>
              <w14:schemeClr w14:val="tx1"/>
            </w14:solidFill>
          </w14:textFill>
        </w:rPr>
        <w:fldChar w:fldCharType="end"/>
      </w:r>
    </w:p>
    <w:p w14:paraId="42248AA6">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_Toc30607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8.3 </w:t>
      </w:r>
      <w:r>
        <w:rPr>
          <w:rFonts w:hint="eastAsia"/>
          <w:szCs w:val="24"/>
          <w:lang w:val="en-US" w:eastAsia="zh-CN"/>
        </w:rPr>
        <w:t>安全防护类</w:t>
      </w:r>
      <w:r>
        <w:tab/>
      </w:r>
      <w:r>
        <w:fldChar w:fldCharType="begin"/>
      </w:r>
      <w:r>
        <w:instrText xml:space="preserve"> PAGEREF _Toc30607 \h </w:instrText>
      </w:r>
      <w:r>
        <w:fldChar w:fldCharType="separate"/>
      </w:r>
      <w:r>
        <w:t>16</w:t>
      </w:r>
      <w:r>
        <w:fldChar w:fldCharType="end"/>
      </w:r>
      <w:r>
        <w:rPr>
          <w:color w:val="000000" w:themeColor="text1"/>
          <w:szCs w:val="32"/>
          <w14:textFill>
            <w14:solidFill>
              <w14:schemeClr w14:val="tx1"/>
            </w14:solidFill>
          </w14:textFill>
        </w:rPr>
        <w:fldChar w:fldCharType="end"/>
      </w:r>
    </w:p>
    <w:p w14:paraId="721B755E">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_Toc20146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8.4 </w:t>
      </w:r>
      <w:r>
        <w:rPr>
          <w:rFonts w:hint="eastAsia"/>
          <w:szCs w:val="24"/>
          <w:lang w:val="en-US" w:eastAsia="zh-CN"/>
        </w:rPr>
        <w:t>与其他专项建筑标准协调</w:t>
      </w:r>
      <w:r>
        <w:tab/>
      </w:r>
      <w:r>
        <w:fldChar w:fldCharType="begin"/>
      </w:r>
      <w:r>
        <w:instrText xml:space="preserve"> PAGEREF _Toc20146 \h </w:instrText>
      </w:r>
      <w:r>
        <w:fldChar w:fldCharType="separate"/>
      </w:r>
      <w:r>
        <w:t>16</w:t>
      </w:r>
      <w:r>
        <w:fldChar w:fldCharType="end"/>
      </w:r>
      <w:r>
        <w:rPr>
          <w:color w:val="000000" w:themeColor="text1"/>
          <w:szCs w:val="32"/>
          <w14:textFill>
            <w14:solidFill>
              <w14:schemeClr w14:val="tx1"/>
            </w14:solidFill>
          </w14:textFill>
        </w:rPr>
        <w:fldChar w:fldCharType="end"/>
      </w:r>
    </w:p>
    <w:p w14:paraId="75484D0C">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_Toc26128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8.5 </w:t>
      </w:r>
      <w:r>
        <w:rPr>
          <w:rFonts w:hint="eastAsia"/>
          <w:szCs w:val="24"/>
          <w:lang w:val="en-US" w:eastAsia="zh-CN"/>
        </w:rPr>
        <w:t>与法律、法规、规章层面的协调性</w:t>
      </w:r>
      <w:r>
        <w:tab/>
      </w:r>
      <w:r>
        <w:fldChar w:fldCharType="begin"/>
      </w:r>
      <w:r>
        <w:instrText xml:space="preserve"> PAGEREF _Toc26128 \h </w:instrText>
      </w:r>
      <w:r>
        <w:fldChar w:fldCharType="separate"/>
      </w:r>
      <w:r>
        <w:t>16</w:t>
      </w:r>
      <w:r>
        <w:fldChar w:fldCharType="end"/>
      </w:r>
      <w:r>
        <w:rPr>
          <w:color w:val="000000" w:themeColor="text1"/>
          <w:szCs w:val="32"/>
          <w14:textFill>
            <w14:solidFill>
              <w14:schemeClr w14:val="tx1"/>
            </w14:solidFill>
          </w14:textFill>
        </w:rPr>
        <w:fldChar w:fldCharType="end"/>
      </w:r>
    </w:p>
    <w:p w14:paraId="4DB0437A">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_Toc26325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8.6 </w:t>
      </w:r>
      <w:r>
        <w:rPr>
          <w:rFonts w:hint="eastAsia"/>
          <w:szCs w:val="24"/>
          <w:lang w:val="en-US" w:eastAsia="zh-CN"/>
        </w:rPr>
        <w:t>主要创新补充点与边界（不冲突，做填补）</w:t>
      </w:r>
      <w:r>
        <w:tab/>
      </w:r>
      <w:r>
        <w:fldChar w:fldCharType="begin"/>
      </w:r>
      <w:r>
        <w:instrText xml:space="preserve"> PAGEREF _Toc26325 \h </w:instrText>
      </w:r>
      <w:r>
        <w:fldChar w:fldCharType="separate"/>
      </w:r>
      <w:r>
        <w:t>17</w:t>
      </w:r>
      <w:r>
        <w:fldChar w:fldCharType="end"/>
      </w:r>
      <w:r>
        <w:rPr>
          <w:color w:val="000000" w:themeColor="text1"/>
          <w:szCs w:val="32"/>
          <w14:textFill>
            <w14:solidFill>
              <w14:schemeClr w14:val="tx1"/>
            </w14:solidFill>
          </w14:textFill>
        </w:rPr>
        <w:fldChar w:fldCharType="end"/>
      </w:r>
    </w:p>
    <w:p w14:paraId="6BAFAEAA">
      <w:pPr>
        <w:pStyle w:val="7"/>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_Toc30808 </w:instrText>
      </w:r>
      <w:r>
        <w:rPr>
          <w:szCs w:val="32"/>
        </w:rPr>
        <w:fldChar w:fldCharType="separate"/>
      </w:r>
      <w:r>
        <w:rPr>
          <w:rFonts w:hint="default" w:ascii="黑体" w:hAnsi="Times New Roman" w:eastAsia="黑体" w:cs="Times New Roman"/>
          <w:bCs w:val="0"/>
          <w:i w:val="0"/>
          <w:iCs w:val="0"/>
          <w:caps w:val="0"/>
          <w:strike w:val="0"/>
          <w:dstrike w:val="0"/>
          <w:outline w:val="0"/>
          <w:shadow w:val="0"/>
          <w:emboss w:val="0"/>
          <w:imprint w:val="0"/>
          <w:vanish w:val="0"/>
          <w:spacing w:val="0"/>
          <w:kern w:val="0"/>
          <w:position w:val="0"/>
          <w:szCs w:val="24"/>
          <w:vertAlign w:val="baseline"/>
          <w:lang w:val="en-US" w:eastAsia="zh-CN"/>
        </w:rPr>
        <w:t xml:space="preserve">8.7 </w:t>
      </w:r>
      <w:r>
        <w:rPr>
          <w:rFonts w:hint="eastAsia"/>
          <w:szCs w:val="24"/>
          <w:lang w:val="en-US" w:eastAsia="zh-CN"/>
        </w:rPr>
        <w:t>总结</w:t>
      </w:r>
      <w:r>
        <w:tab/>
      </w:r>
      <w:r>
        <w:fldChar w:fldCharType="begin"/>
      </w:r>
      <w:r>
        <w:instrText xml:space="preserve"> PAGEREF _Toc30808 \h </w:instrText>
      </w:r>
      <w:r>
        <w:fldChar w:fldCharType="separate"/>
      </w:r>
      <w:r>
        <w:t>17</w:t>
      </w:r>
      <w:r>
        <w:fldChar w:fldCharType="end"/>
      </w:r>
      <w:r>
        <w:rPr>
          <w:color w:val="000000" w:themeColor="text1"/>
          <w:szCs w:val="32"/>
          <w14:textFill>
            <w14:solidFill>
              <w14:schemeClr w14:val="tx1"/>
            </w14:solidFill>
          </w14:textFill>
        </w:rPr>
        <w:fldChar w:fldCharType="end"/>
      </w:r>
    </w:p>
    <w:p w14:paraId="691F40CF">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_Toc3850 </w:instrText>
      </w:r>
      <w:r>
        <w:rPr>
          <w:szCs w:val="32"/>
        </w:rPr>
        <w:fldChar w:fldCharType="separate"/>
      </w:r>
      <w:r>
        <w:rPr>
          <w:rFonts w:hint="default" w:ascii="黑体" w:hAnsi="Times New Roman" w:eastAsia="黑体"/>
          <w:i w:val="0"/>
          <w:szCs w:val="28"/>
        </w:rPr>
        <w:t xml:space="preserve">9 </w:t>
      </w:r>
      <w:r>
        <w:rPr>
          <w:rFonts w:hint="eastAsia"/>
          <w:szCs w:val="28"/>
        </w:rPr>
        <w:t>重大分歧意见的处理经过和依据</w:t>
      </w:r>
      <w:r>
        <w:tab/>
      </w:r>
      <w:r>
        <w:fldChar w:fldCharType="begin"/>
      </w:r>
      <w:r>
        <w:instrText xml:space="preserve"> PAGEREF _Toc3850 \h </w:instrText>
      </w:r>
      <w:r>
        <w:fldChar w:fldCharType="separate"/>
      </w:r>
      <w:r>
        <w:t>18</w:t>
      </w:r>
      <w:r>
        <w:fldChar w:fldCharType="end"/>
      </w:r>
      <w:r>
        <w:rPr>
          <w:color w:val="000000" w:themeColor="text1"/>
          <w:szCs w:val="32"/>
          <w14:textFill>
            <w14:solidFill>
              <w14:schemeClr w14:val="tx1"/>
            </w14:solidFill>
          </w14:textFill>
        </w:rPr>
        <w:fldChar w:fldCharType="end"/>
      </w:r>
    </w:p>
    <w:p w14:paraId="5D7660EE">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_Toc5429 </w:instrText>
      </w:r>
      <w:r>
        <w:rPr>
          <w:szCs w:val="32"/>
        </w:rPr>
        <w:fldChar w:fldCharType="separate"/>
      </w:r>
      <w:r>
        <w:rPr>
          <w:rFonts w:hint="default" w:ascii="黑体" w:hAnsi="Times New Roman" w:eastAsia="黑体"/>
          <w:i w:val="0"/>
          <w:szCs w:val="28"/>
        </w:rPr>
        <w:t xml:space="preserve">10 </w:t>
      </w:r>
      <w:r>
        <w:rPr>
          <w:rFonts w:hint="eastAsia"/>
          <w:szCs w:val="28"/>
        </w:rPr>
        <w:t>标准性质的建议说明</w:t>
      </w:r>
      <w:r>
        <w:tab/>
      </w:r>
      <w:r>
        <w:fldChar w:fldCharType="begin"/>
      </w:r>
      <w:r>
        <w:instrText xml:space="preserve"> PAGEREF _Toc5429 \h </w:instrText>
      </w:r>
      <w:r>
        <w:fldChar w:fldCharType="separate"/>
      </w:r>
      <w:r>
        <w:t>18</w:t>
      </w:r>
      <w:r>
        <w:fldChar w:fldCharType="end"/>
      </w:r>
      <w:r>
        <w:rPr>
          <w:color w:val="000000" w:themeColor="text1"/>
          <w:szCs w:val="32"/>
          <w14:textFill>
            <w14:solidFill>
              <w14:schemeClr w14:val="tx1"/>
            </w14:solidFill>
          </w14:textFill>
        </w:rPr>
        <w:fldChar w:fldCharType="end"/>
      </w:r>
    </w:p>
    <w:p w14:paraId="5857D4D6">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_Toc24608 </w:instrText>
      </w:r>
      <w:r>
        <w:rPr>
          <w:szCs w:val="32"/>
        </w:rPr>
        <w:fldChar w:fldCharType="separate"/>
      </w:r>
      <w:r>
        <w:rPr>
          <w:rFonts w:hint="default" w:ascii="黑体" w:hAnsi="Times New Roman" w:eastAsia="黑体"/>
          <w:i w:val="0"/>
          <w:szCs w:val="28"/>
        </w:rPr>
        <w:t xml:space="preserve">11 </w:t>
      </w:r>
      <w:r>
        <w:rPr>
          <w:rFonts w:hint="eastAsia"/>
          <w:szCs w:val="28"/>
        </w:rPr>
        <w:t>贯彻标准的要求和措施建议</w:t>
      </w:r>
      <w:r>
        <w:tab/>
      </w:r>
      <w:r>
        <w:fldChar w:fldCharType="begin"/>
      </w:r>
      <w:r>
        <w:instrText xml:space="preserve"> PAGEREF _Toc24608 \h </w:instrText>
      </w:r>
      <w:r>
        <w:fldChar w:fldCharType="separate"/>
      </w:r>
      <w:r>
        <w:t>18</w:t>
      </w:r>
      <w:r>
        <w:fldChar w:fldCharType="end"/>
      </w:r>
      <w:r>
        <w:rPr>
          <w:color w:val="000000" w:themeColor="text1"/>
          <w:szCs w:val="32"/>
          <w14:textFill>
            <w14:solidFill>
              <w14:schemeClr w14:val="tx1"/>
            </w14:solidFill>
          </w14:textFill>
        </w:rPr>
        <w:fldChar w:fldCharType="end"/>
      </w:r>
    </w:p>
    <w:p w14:paraId="59DC8757">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_Toc29321 </w:instrText>
      </w:r>
      <w:r>
        <w:rPr>
          <w:szCs w:val="32"/>
        </w:rPr>
        <w:fldChar w:fldCharType="separate"/>
      </w:r>
      <w:r>
        <w:rPr>
          <w:rFonts w:hint="default" w:ascii="黑体" w:hAnsi="Times New Roman" w:eastAsia="黑体"/>
          <w:i w:val="0"/>
          <w:szCs w:val="28"/>
        </w:rPr>
        <w:t xml:space="preserve">12 </w:t>
      </w:r>
      <w:r>
        <w:rPr>
          <w:rFonts w:hint="eastAsia"/>
          <w:szCs w:val="28"/>
        </w:rPr>
        <w:t>废止现行相关标准的建议</w:t>
      </w:r>
      <w:r>
        <w:tab/>
      </w:r>
      <w:r>
        <w:fldChar w:fldCharType="begin"/>
      </w:r>
      <w:r>
        <w:instrText xml:space="preserve"> PAGEREF _Toc29321 \h </w:instrText>
      </w:r>
      <w:r>
        <w:fldChar w:fldCharType="separate"/>
      </w:r>
      <w:r>
        <w:t>18</w:t>
      </w:r>
      <w:r>
        <w:fldChar w:fldCharType="end"/>
      </w:r>
      <w:r>
        <w:rPr>
          <w:color w:val="000000" w:themeColor="text1"/>
          <w:szCs w:val="32"/>
          <w14:textFill>
            <w14:solidFill>
              <w14:schemeClr w14:val="tx1"/>
            </w14:solidFill>
          </w14:textFill>
        </w:rPr>
        <w:fldChar w:fldCharType="end"/>
      </w:r>
    </w:p>
    <w:p w14:paraId="276F8C9D">
      <w:pPr>
        <w:pStyle w:val="13"/>
        <w:tabs>
          <w:tab w:val="right" w:leader="dot" w:pos="9212"/>
        </w:tabs>
      </w:pPr>
      <w:r>
        <w:rPr>
          <w:color w:val="000000" w:themeColor="text1"/>
          <w:szCs w:val="32"/>
          <w14:textFill>
            <w14:solidFill>
              <w14:schemeClr w14:val="tx1"/>
            </w14:solidFill>
          </w14:textFill>
        </w:rPr>
        <w:fldChar w:fldCharType="begin"/>
      </w:r>
      <w:r>
        <w:rPr>
          <w:szCs w:val="32"/>
        </w:rPr>
        <w:instrText xml:space="preserve"> HYPERLINK \l _Toc32636 </w:instrText>
      </w:r>
      <w:r>
        <w:rPr>
          <w:szCs w:val="32"/>
        </w:rPr>
        <w:fldChar w:fldCharType="separate"/>
      </w:r>
      <w:r>
        <w:rPr>
          <w:rFonts w:hint="default" w:ascii="黑体" w:hAnsi="Times New Roman" w:eastAsia="黑体"/>
          <w:i w:val="0"/>
          <w:szCs w:val="28"/>
        </w:rPr>
        <w:t xml:space="preserve">13 </w:t>
      </w:r>
      <w:r>
        <w:rPr>
          <w:rFonts w:hint="eastAsia"/>
          <w:szCs w:val="28"/>
        </w:rPr>
        <w:t>其它应予说明的事项</w:t>
      </w:r>
      <w:r>
        <w:tab/>
      </w:r>
      <w:r>
        <w:fldChar w:fldCharType="begin"/>
      </w:r>
      <w:r>
        <w:instrText xml:space="preserve"> PAGEREF _Toc32636 \h </w:instrText>
      </w:r>
      <w:r>
        <w:fldChar w:fldCharType="separate"/>
      </w:r>
      <w:r>
        <w:t>18</w:t>
      </w:r>
      <w:r>
        <w:fldChar w:fldCharType="end"/>
      </w:r>
      <w:r>
        <w:rPr>
          <w:color w:val="000000" w:themeColor="text1"/>
          <w:szCs w:val="32"/>
          <w14:textFill>
            <w14:solidFill>
              <w14:schemeClr w14:val="tx1"/>
            </w14:solidFill>
          </w14:textFill>
        </w:rPr>
        <w:fldChar w:fldCharType="end"/>
      </w:r>
    </w:p>
    <w:p w14:paraId="6A956623">
      <w:pPr>
        <w:pStyle w:val="13"/>
        <w:tabs>
          <w:tab w:val="right" w:leader="dot" w:pos="9212"/>
        </w:tabs>
        <w:rPr>
          <w:rFonts w:hint="eastAsia" w:eastAsiaTheme="minorEastAsia"/>
          <w:color w:val="000000" w:themeColor="text1"/>
          <w:szCs w:val="32"/>
          <w:lang w:val="en-US" w:eastAsia="zh-CN"/>
          <w14:textFill>
            <w14:solidFill>
              <w14:schemeClr w14:val="tx1"/>
            </w14:solidFill>
          </w14:textFill>
        </w:rPr>
      </w:pPr>
      <w:r>
        <w:rPr>
          <w:color w:val="000000" w:themeColor="text1"/>
          <w:szCs w:val="32"/>
          <w14:textFill>
            <w14:solidFill>
              <w14:schemeClr w14:val="tx1"/>
            </w14:solidFill>
          </w14:textFill>
        </w:rPr>
        <w:fldChar w:fldCharType="end"/>
      </w:r>
    </w:p>
    <w:p w14:paraId="7699D6B5">
      <w:pPr>
        <w:ind w:firstLine="1904" w:firstLineChars="595"/>
        <w:rPr>
          <w:b/>
          <w:color w:val="000000" w:themeColor="text1"/>
          <w:sz w:val="32"/>
          <w:szCs w:val="32"/>
          <w14:textFill>
            <w14:solidFill>
              <w14:schemeClr w14:val="tx1"/>
            </w14:solidFill>
          </w14:textFill>
        </w:rPr>
      </w:pPr>
    </w:p>
    <w:p w14:paraId="27E25DD9">
      <w:pPr>
        <w:jc w:val="center"/>
        <w:rPr>
          <w:rFonts w:hint="eastAsia"/>
          <w:b/>
          <w:color w:val="000000" w:themeColor="text1"/>
          <w:sz w:val="32"/>
          <w:szCs w:val="32"/>
          <w14:textFill>
            <w14:solidFill>
              <w14:schemeClr w14:val="tx1"/>
            </w14:solidFill>
          </w14:textFill>
        </w:rPr>
        <w:sectPr>
          <w:footerReference r:id="rId4" w:type="first"/>
          <w:footerReference r:id="rId3" w:type="default"/>
          <w:pgSz w:w="11906" w:h="16838"/>
          <w:pgMar w:top="1474" w:right="1276" w:bottom="1440" w:left="1418" w:header="851" w:footer="992" w:gutter="0"/>
          <w:pgNumType w:start="1"/>
          <w:cols w:space="425" w:num="1"/>
          <w:docGrid w:type="linesAndChars" w:linePitch="312" w:charSpace="0"/>
        </w:sectPr>
      </w:pPr>
    </w:p>
    <w:p w14:paraId="0DE7BF3A">
      <w:pPr>
        <w:jc w:val="center"/>
        <w:rPr>
          <w:b/>
          <w:color w:val="000000" w:themeColor="text1"/>
          <w:sz w:val="32"/>
          <w:szCs w:val="32"/>
          <w14:textFill>
            <w14:solidFill>
              <w14:schemeClr w14:val="tx1"/>
            </w14:solidFill>
          </w14:textFill>
        </w:rPr>
      </w:pPr>
      <w:r>
        <w:rPr>
          <w:rFonts w:hint="eastAsia"/>
          <w:b w:val="0"/>
          <w:bCs/>
          <w:color w:val="000000" w:themeColor="text1"/>
          <w:sz w:val="32"/>
          <w:szCs w:val="32"/>
          <w14:textFill>
            <w14:solidFill>
              <w14:schemeClr w14:val="tx1"/>
            </w14:solidFill>
          </w14:textFill>
        </w:rPr>
        <w:t>T/CBMF XXXX-202X</w:t>
      </w:r>
      <w:r>
        <w:rPr>
          <w:rFonts w:hint="eastAsia"/>
          <w:b/>
          <w:color w:val="000000" w:themeColor="text1"/>
          <w:sz w:val="32"/>
          <w:szCs w:val="32"/>
          <w14:textFill>
            <w14:solidFill>
              <w14:schemeClr w14:val="tx1"/>
            </w14:solidFill>
          </w14:textFill>
        </w:rPr>
        <w:t>《地面防滑剂应用技术规程》</w:t>
      </w:r>
    </w:p>
    <w:p w14:paraId="11861A0B">
      <w:pPr>
        <w:jc w:val="center"/>
        <w:rPr>
          <w:b/>
          <w:color w:val="000000" w:themeColor="text1"/>
          <w:sz w:val="32"/>
          <w:szCs w:val="32"/>
          <w14:textFill>
            <w14:solidFill>
              <w14:schemeClr w14:val="tx1"/>
            </w14:solidFill>
          </w14:textFill>
        </w:rPr>
      </w:pPr>
      <w:r>
        <w:rPr>
          <w:rFonts w:hint="eastAsia"/>
          <w:b/>
          <w:color w:val="000000" w:themeColor="text1"/>
          <w:sz w:val="32"/>
          <w:szCs w:val="32"/>
          <w:lang w:val="en-US" w:eastAsia="zh-CN"/>
          <w14:textFill>
            <w14:solidFill>
              <w14:schemeClr w14:val="tx1"/>
            </w14:solidFill>
          </w14:textFill>
        </w:rPr>
        <w:t>中国建材联合会团体</w:t>
      </w:r>
      <w:r>
        <w:rPr>
          <w:rFonts w:hint="eastAsia"/>
          <w:b/>
          <w:color w:val="000000" w:themeColor="text1"/>
          <w:sz w:val="32"/>
          <w:szCs w:val="32"/>
          <w14:textFill>
            <w14:solidFill>
              <w14:schemeClr w14:val="tx1"/>
            </w14:solidFill>
          </w14:textFill>
        </w:rPr>
        <w:t>标准编制说明</w:t>
      </w:r>
    </w:p>
    <w:p w14:paraId="1C6E775E">
      <w:pPr>
        <w:pStyle w:val="27"/>
        <w:spacing w:before="312" w:after="312"/>
        <w:ind w:left="0"/>
        <w:rPr>
          <w:color w:val="000000" w:themeColor="text1"/>
          <w:sz w:val="28"/>
          <w:szCs w:val="28"/>
          <w14:textFill>
            <w14:solidFill>
              <w14:schemeClr w14:val="tx1"/>
            </w14:solidFill>
          </w14:textFill>
        </w:rPr>
      </w:pPr>
      <w:bookmarkStart w:id="0" w:name="_Toc5885"/>
      <w:r>
        <w:rPr>
          <w:rFonts w:hint="eastAsia"/>
          <w:color w:val="000000" w:themeColor="text1"/>
          <w:sz w:val="28"/>
          <w:szCs w:val="28"/>
          <w14:textFill>
            <w14:solidFill>
              <w14:schemeClr w14:val="tx1"/>
            </w14:solidFill>
          </w14:textFill>
        </w:rPr>
        <w:t>标准编制</w:t>
      </w:r>
      <w:r>
        <w:rPr>
          <w:rFonts w:hint="eastAsia"/>
          <w:bCs/>
          <w:color w:val="000000" w:themeColor="text1"/>
          <w:sz w:val="28"/>
          <w:szCs w:val="28"/>
          <w14:textFill>
            <w14:solidFill>
              <w14:schemeClr w14:val="tx1"/>
            </w14:solidFill>
          </w14:textFill>
        </w:rPr>
        <w:t>工作</w:t>
      </w:r>
      <w:r>
        <w:rPr>
          <w:rFonts w:hint="eastAsia"/>
          <w:color w:val="000000" w:themeColor="text1"/>
          <w:sz w:val="28"/>
          <w:szCs w:val="28"/>
          <w14:textFill>
            <w14:solidFill>
              <w14:schemeClr w14:val="tx1"/>
            </w14:solidFill>
          </w14:textFill>
        </w:rPr>
        <w:t>简况</w:t>
      </w:r>
      <w:bookmarkEnd w:id="0"/>
    </w:p>
    <w:p w14:paraId="76CE96ED">
      <w:pPr>
        <w:pStyle w:val="26"/>
        <w:spacing w:before="156" w:after="156" w:line="500" w:lineRule="exact"/>
        <w:rPr>
          <w:color w:val="000000" w:themeColor="text1"/>
          <w:sz w:val="24"/>
          <w:szCs w:val="24"/>
          <w14:textFill>
            <w14:solidFill>
              <w14:schemeClr w14:val="tx1"/>
            </w14:solidFill>
          </w14:textFill>
        </w:rPr>
      </w:pPr>
      <w:bookmarkStart w:id="1" w:name="_Toc28585"/>
      <w:r>
        <w:rPr>
          <w:rFonts w:hint="eastAsia"/>
          <w:color w:val="000000" w:themeColor="text1"/>
          <w:sz w:val="24"/>
          <w:szCs w:val="24"/>
          <w14:textFill>
            <w14:solidFill>
              <w14:schemeClr w14:val="tx1"/>
            </w14:solidFill>
          </w14:textFill>
        </w:rPr>
        <w:t>任务来源</w:t>
      </w:r>
      <w:bookmarkEnd w:id="1"/>
    </w:p>
    <w:p w14:paraId="703DF33C">
      <w:pPr>
        <w:spacing w:line="500" w:lineRule="exact"/>
        <w:ind w:firstLine="480" w:firstLineChars="200"/>
        <w:rPr>
          <w:rFonts w:cs="Times New Roman" w:asciiTheme="majorEastAsia" w:hAnsiTheme="majorEastAsia" w:eastAsiaTheme="majorEastAsia"/>
          <w:bCs/>
          <w:color w:val="000000" w:themeColor="text1"/>
          <w:sz w:val="24"/>
          <w:szCs w:val="24"/>
          <w14:textFill>
            <w14:solidFill>
              <w14:schemeClr w14:val="tx1"/>
            </w14:solidFill>
          </w14:textFill>
        </w:rPr>
      </w:pPr>
      <w:r>
        <w:rPr>
          <w:rFonts w:hint="eastAsia" w:cs="Times New Roman" w:asciiTheme="majorEastAsia" w:hAnsiTheme="majorEastAsia" w:eastAsiaTheme="majorEastAsia"/>
          <w:bCs/>
          <w:color w:val="000000" w:themeColor="text1"/>
          <w:sz w:val="24"/>
          <w:szCs w:val="24"/>
          <w14:textFill>
            <w14:solidFill>
              <w14:schemeClr w14:val="tx1"/>
            </w14:solidFill>
          </w14:textFill>
        </w:rPr>
        <w:t>依据</w:t>
      </w:r>
      <w:r>
        <w:rPr>
          <w:rFonts w:hint="eastAsia" w:cs="Times New Roman" w:asciiTheme="majorEastAsia" w:hAnsiTheme="majorEastAsia" w:eastAsiaTheme="majorEastAsia"/>
          <w:bCs/>
          <w:color w:val="000000" w:themeColor="text1"/>
          <w:sz w:val="24"/>
          <w:szCs w:val="24"/>
          <w:lang w:val="en-US" w:eastAsia="zh-CN"/>
          <w14:textFill>
            <w14:solidFill>
              <w14:schemeClr w14:val="tx1"/>
            </w14:solidFill>
          </w14:textFill>
        </w:rPr>
        <w:t>中国建材联合会</w:t>
      </w:r>
      <w:r>
        <w:rPr>
          <w:rFonts w:hint="eastAsia" w:cs="Times New Roman" w:asciiTheme="majorEastAsia" w:hAnsiTheme="majorEastAsia" w:eastAsiaTheme="majorEastAsia"/>
          <w:bCs/>
          <w:color w:val="000000" w:themeColor="text1"/>
          <w:sz w:val="24"/>
          <w:szCs w:val="24"/>
          <w14:textFill>
            <w14:solidFill>
              <w14:schemeClr w14:val="tx1"/>
            </w14:solidFill>
          </w14:textFill>
        </w:rPr>
        <w:t>《关于下达2020年第一批协会标准制定计划的通知》文件（中建材联标发〔2020〕</w:t>
      </w:r>
      <w:r>
        <w:rPr>
          <w:rFonts w:hint="eastAsia" w:cs="Times New Roman" w:asciiTheme="majorEastAsia" w:hAnsiTheme="majorEastAsia" w:eastAsiaTheme="majorEastAsia"/>
          <w:bCs/>
          <w:color w:val="000000" w:themeColor="text1"/>
          <w:sz w:val="24"/>
          <w:szCs w:val="24"/>
          <w:lang w:val="en-US" w:eastAsia="zh-CN"/>
          <w14:textFill>
            <w14:solidFill>
              <w14:schemeClr w14:val="tx1"/>
            </w14:solidFill>
          </w14:textFill>
        </w:rPr>
        <w:t>19</w:t>
      </w:r>
      <w:r>
        <w:rPr>
          <w:rFonts w:hint="eastAsia" w:cs="Times New Roman" w:asciiTheme="majorEastAsia" w:hAnsiTheme="majorEastAsia" w:eastAsiaTheme="majorEastAsia"/>
          <w:bCs/>
          <w:color w:val="000000" w:themeColor="text1"/>
          <w:sz w:val="24"/>
          <w:szCs w:val="24"/>
          <w14:textFill>
            <w14:solidFill>
              <w14:schemeClr w14:val="tx1"/>
            </w14:solidFill>
          </w14:textFill>
        </w:rPr>
        <w:t>号），批准《地面防滑剂应用技术规程》</w:t>
      </w:r>
      <w:r>
        <w:rPr>
          <w:rFonts w:hint="eastAsia" w:cs="Times New Roman" w:asciiTheme="majorEastAsia" w:hAnsiTheme="majorEastAsia" w:eastAsiaTheme="majorEastAsia"/>
          <w:bCs/>
          <w:color w:val="000000" w:themeColor="text1"/>
          <w:sz w:val="24"/>
          <w:szCs w:val="24"/>
          <w:lang w:val="en-US" w:eastAsia="zh-CN"/>
          <w14:textFill>
            <w14:solidFill>
              <w14:schemeClr w14:val="tx1"/>
            </w14:solidFill>
          </w14:textFill>
        </w:rPr>
        <w:t>团体</w:t>
      </w:r>
      <w:r>
        <w:rPr>
          <w:rFonts w:hint="eastAsia" w:cs="Times New Roman" w:asciiTheme="majorEastAsia" w:hAnsiTheme="majorEastAsia" w:eastAsiaTheme="majorEastAsia"/>
          <w:bCs/>
          <w:color w:val="000000" w:themeColor="text1"/>
          <w:sz w:val="24"/>
          <w:szCs w:val="24"/>
          <w14:textFill>
            <w14:solidFill>
              <w14:schemeClr w14:val="tx1"/>
            </w14:solidFill>
          </w14:textFill>
        </w:rPr>
        <w:t>标准（计划号：2020-35-xbjh）立项。</w:t>
      </w:r>
    </w:p>
    <w:p w14:paraId="6E18C0A8">
      <w:pPr>
        <w:pStyle w:val="26"/>
        <w:snapToGrid w:val="0"/>
        <w:spacing w:before="156" w:after="156" w:line="500" w:lineRule="exact"/>
        <w:rPr>
          <w:color w:val="000000" w:themeColor="text1"/>
          <w:sz w:val="24"/>
          <w:szCs w:val="24"/>
          <w14:textFill>
            <w14:solidFill>
              <w14:schemeClr w14:val="tx1"/>
            </w14:solidFill>
          </w14:textFill>
        </w:rPr>
      </w:pPr>
      <w:bookmarkStart w:id="2" w:name="_Toc24124"/>
      <w:r>
        <w:rPr>
          <w:rFonts w:hint="eastAsia"/>
          <w:color w:val="000000" w:themeColor="text1"/>
          <w:sz w:val="24"/>
          <w:szCs w:val="24"/>
          <w14:textFill>
            <w14:solidFill>
              <w14:schemeClr w14:val="tx1"/>
            </w14:solidFill>
          </w14:textFill>
        </w:rPr>
        <w:t>起草单位</w:t>
      </w:r>
      <w:bookmarkEnd w:id="2"/>
      <w:r>
        <w:rPr>
          <w:rFonts w:hint="eastAsia"/>
          <w:color w:val="000000" w:themeColor="text1"/>
          <w:sz w:val="24"/>
          <w:szCs w:val="24"/>
          <w14:textFill>
            <w14:solidFill>
              <w14:schemeClr w14:val="tx1"/>
            </w14:solidFill>
          </w14:textFill>
        </w:rPr>
        <w:t xml:space="preserve"> </w:t>
      </w:r>
    </w:p>
    <w:p w14:paraId="6DA36FDA">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kern w:val="0"/>
          <w:sz w:val="24"/>
          <w:szCs w:val="24"/>
          <w:lang w:val="en-US" w:eastAsia="zh-CN"/>
          <w14:textFill>
            <w14:solidFill>
              <w14:schemeClr w14:val="tx1"/>
            </w14:solidFill>
          </w14:textFill>
        </w:rPr>
        <w:t>本规程由建筑材料工业技术情报研究所、上海地宝防滑防护科技有限公司、上海世卿防滑防护科技有限公司、中国建筑技术集团有限公司、同纳检测认证集团有限公司、四川林阳防滑科技有限公司、上海硕奇防滑防护科技有限公司等</w:t>
      </w:r>
      <w:r>
        <w:rPr>
          <w:rFonts w:hint="eastAsia" w:ascii="宋体" w:hAnsi="宋体" w:cs="宋体" w:eastAsiaTheme="majorEastAsia"/>
          <w:color w:val="000000" w:themeColor="text1"/>
          <w:sz w:val="24"/>
          <w:szCs w:val="24"/>
          <w14:textFill>
            <w14:solidFill>
              <w14:schemeClr w14:val="tx1"/>
            </w14:solidFill>
          </w14:textFill>
        </w:rPr>
        <w:t>共同起草</w:t>
      </w:r>
      <w:r>
        <w:rPr>
          <w:rFonts w:hint="eastAsia" w:ascii="宋体" w:hAnsi="宋体" w:cs="宋体"/>
          <w:color w:val="000000" w:themeColor="text1"/>
          <w:sz w:val="24"/>
          <w:szCs w:val="24"/>
          <w14:textFill>
            <w14:solidFill>
              <w14:schemeClr w14:val="tx1"/>
            </w14:solidFill>
          </w14:textFill>
        </w:rPr>
        <w:t>，成立《</w:t>
      </w:r>
      <w:r>
        <w:rPr>
          <w:rFonts w:hint="eastAsia" w:cs="Times New Roman" w:asciiTheme="majorEastAsia" w:hAnsiTheme="majorEastAsia" w:eastAsiaTheme="majorEastAsia"/>
          <w:bCs/>
          <w:color w:val="000000" w:themeColor="text1"/>
          <w:sz w:val="24"/>
          <w:szCs w:val="24"/>
          <w14:textFill>
            <w14:solidFill>
              <w14:schemeClr w14:val="tx1"/>
            </w14:solidFill>
          </w14:textFill>
        </w:rPr>
        <w:t>地面防滑剂应用技术规程</w:t>
      </w:r>
      <w:r>
        <w:rPr>
          <w:rFonts w:hint="eastAsia" w:ascii="宋体" w:hAnsi="宋体" w:cs="宋体"/>
          <w:color w:val="000000" w:themeColor="text1"/>
          <w:sz w:val="24"/>
          <w:szCs w:val="24"/>
          <w14:textFill>
            <w14:solidFill>
              <w14:schemeClr w14:val="tx1"/>
            </w14:solidFill>
          </w14:textFill>
        </w:rPr>
        <w:t>》标准的编制组。其中</w:t>
      </w:r>
      <w:r>
        <w:rPr>
          <w:rFonts w:hint="eastAsia" w:asciiTheme="majorEastAsia" w:hAnsiTheme="majorEastAsia" w:eastAsiaTheme="majorEastAsia"/>
          <w:color w:val="000000" w:themeColor="text1"/>
          <w:kern w:val="0"/>
          <w:sz w:val="24"/>
          <w:szCs w:val="24"/>
          <w14:textFill>
            <w14:solidFill>
              <w14:schemeClr w14:val="tx1"/>
            </w14:solidFill>
          </w14:textFill>
        </w:rPr>
        <w:t>建筑材料工业技术情报研究所</w:t>
      </w:r>
      <w:r>
        <w:rPr>
          <w:rFonts w:hint="eastAsia" w:asciiTheme="majorEastAsia" w:hAnsiTheme="majorEastAsia" w:eastAsiaTheme="majorEastAsia"/>
          <w:color w:val="000000" w:themeColor="text1"/>
          <w:kern w:val="0"/>
          <w:sz w:val="24"/>
          <w:szCs w:val="24"/>
          <w:lang w:val="en-US" w:eastAsia="zh-CN"/>
          <w14:textFill>
            <w14:solidFill>
              <w14:schemeClr w14:val="tx1"/>
            </w14:solidFill>
          </w14:textFill>
        </w:rPr>
        <w:t>负责标准编制过程的全面协调，把握标准工作的整体进度及方向、资料收集、</w:t>
      </w:r>
      <w:r>
        <w:rPr>
          <w:rFonts w:hint="eastAsia" w:asciiTheme="majorEastAsia" w:hAnsiTheme="majorEastAsia" w:eastAsiaTheme="majorEastAsia"/>
          <w:color w:val="000000" w:themeColor="text1"/>
          <w:kern w:val="0"/>
          <w:sz w:val="24"/>
          <w:szCs w:val="24"/>
          <w14:textFill>
            <w14:solidFill>
              <w14:schemeClr w14:val="tx1"/>
            </w14:solidFill>
          </w14:textFill>
        </w:rPr>
        <w:t>会议组织、标准申报</w:t>
      </w:r>
      <w:r>
        <w:rPr>
          <w:rFonts w:hint="eastAsia" w:asciiTheme="majorEastAsia" w:hAnsiTheme="majorEastAsia" w:eastAsiaTheme="majorEastAsia"/>
          <w:color w:val="000000" w:themeColor="text1"/>
          <w:kern w:val="0"/>
          <w:sz w:val="24"/>
          <w:szCs w:val="24"/>
          <w:lang w:val="en-US" w:eastAsia="zh-CN"/>
          <w14:textFill>
            <w14:solidFill>
              <w14:schemeClr w14:val="tx1"/>
            </w14:solidFill>
          </w14:textFill>
        </w:rPr>
        <w:t>等工作；建筑材料工业技术情报研究所、上海世卿防滑防护科技有限公司</w:t>
      </w:r>
      <w:r>
        <w:rPr>
          <w:rFonts w:hint="eastAsia" w:asciiTheme="majorEastAsia" w:hAnsiTheme="majorEastAsia" w:eastAsiaTheme="majorEastAsia"/>
          <w:color w:val="000000" w:themeColor="text1"/>
          <w:kern w:val="0"/>
          <w:sz w:val="24"/>
          <w:szCs w:val="24"/>
          <w14:textFill>
            <w14:solidFill>
              <w14:schemeClr w14:val="tx1"/>
            </w14:solidFill>
          </w14:textFill>
        </w:rPr>
        <w:t>、中国建筑技术集团</w:t>
      </w:r>
      <w:r>
        <w:rPr>
          <w:rFonts w:hint="eastAsia" w:asciiTheme="majorEastAsia" w:hAnsiTheme="majorEastAsia" w:eastAsiaTheme="majorEastAsia"/>
          <w:color w:val="000000" w:themeColor="text1"/>
          <w:kern w:val="0"/>
          <w:sz w:val="24"/>
          <w:szCs w:val="24"/>
          <w:lang w:val="en-US" w:eastAsia="zh-CN"/>
          <w14:textFill>
            <w14:solidFill>
              <w14:schemeClr w14:val="tx1"/>
            </w14:solidFill>
          </w14:textFill>
        </w:rPr>
        <w:t>有限公司负责</w:t>
      </w:r>
      <w:r>
        <w:rPr>
          <w:rFonts w:hint="eastAsia" w:asciiTheme="majorEastAsia" w:hAnsiTheme="majorEastAsia" w:eastAsiaTheme="majorEastAsia"/>
          <w:color w:val="000000" w:themeColor="text1"/>
          <w:kern w:val="0"/>
          <w:sz w:val="24"/>
          <w:szCs w:val="24"/>
          <w14:textFill>
            <w14:solidFill>
              <w14:schemeClr w14:val="tx1"/>
            </w14:solidFill>
          </w14:textFill>
        </w:rPr>
        <w:t>标准编制</w:t>
      </w:r>
      <w:r>
        <w:rPr>
          <w:rFonts w:hint="eastAsia" w:asciiTheme="majorEastAsia" w:hAnsiTheme="majorEastAsia" w:eastAsiaTheme="majorEastAsia"/>
          <w:color w:val="000000" w:themeColor="text1"/>
          <w:kern w:val="0"/>
          <w:sz w:val="24"/>
          <w:szCs w:val="24"/>
          <w:lang w:eastAsia="zh-CN"/>
          <w14:textFill>
            <w14:solidFill>
              <w14:schemeClr w14:val="tx1"/>
            </w14:solidFill>
          </w14:textFill>
        </w:rPr>
        <w:t>、</w:t>
      </w:r>
      <w:r>
        <w:rPr>
          <w:rFonts w:hint="eastAsia" w:asciiTheme="majorEastAsia" w:hAnsiTheme="majorEastAsia" w:eastAsiaTheme="majorEastAsia"/>
          <w:color w:val="000000" w:themeColor="text1"/>
          <w:kern w:val="0"/>
          <w:sz w:val="24"/>
          <w:szCs w:val="24"/>
          <w:lang w:val="en-US" w:eastAsia="zh-CN"/>
          <w14:textFill>
            <w14:solidFill>
              <w14:schemeClr w14:val="tx1"/>
            </w14:solidFill>
          </w14:textFill>
        </w:rPr>
        <w:t>行业数据、资料、案例的收集、验证和整理</w:t>
      </w:r>
      <w:r>
        <w:rPr>
          <w:rFonts w:hint="eastAsia" w:asciiTheme="majorEastAsia" w:hAnsiTheme="majorEastAsia" w:eastAsiaTheme="majorEastAsia"/>
          <w:color w:val="000000" w:themeColor="text1"/>
          <w:kern w:val="0"/>
          <w:sz w:val="24"/>
          <w:szCs w:val="24"/>
          <w14:textFill>
            <w14:solidFill>
              <w14:schemeClr w14:val="tx1"/>
            </w14:solidFill>
          </w14:textFill>
        </w:rPr>
        <w:t>等工作，</w:t>
      </w:r>
      <w:r>
        <w:rPr>
          <w:rFonts w:hint="eastAsia" w:asciiTheme="majorEastAsia" w:hAnsiTheme="majorEastAsia" w:eastAsiaTheme="majorEastAsia"/>
          <w:color w:val="000000" w:themeColor="text1"/>
          <w:kern w:val="0"/>
          <w:sz w:val="24"/>
          <w:szCs w:val="24"/>
          <w:lang w:val="en-US" w:eastAsia="zh-CN"/>
          <w14:textFill>
            <w14:solidFill>
              <w14:schemeClr w14:val="tx1"/>
            </w14:solidFill>
          </w14:textFill>
        </w:rPr>
        <w:t>其余单位</w:t>
      </w:r>
      <w:r>
        <w:rPr>
          <w:rFonts w:hint="eastAsia" w:asciiTheme="majorEastAsia" w:hAnsiTheme="majorEastAsia" w:eastAsiaTheme="majorEastAsia"/>
          <w:color w:val="000000" w:themeColor="text1"/>
          <w:kern w:val="0"/>
          <w:sz w:val="24"/>
          <w:szCs w:val="24"/>
          <w14:textFill>
            <w14:solidFill>
              <w14:schemeClr w14:val="tx1"/>
            </w14:solidFill>
          </w14:textFill>
        </w:rPr>
        <w:t>提供了材料应用案例，协助进行行业调研。</w:t>
      </w:r>
    </w:p>
    <w:p w14:paraId="1CD4BDAC">
      <w:pPr>
        <w:pStyle w:val="26"/>
        <w:spacing w:before="156" w:after="156" w:line="500" w:lineRule="exact"/>
        <w:rPr>
          <w:color w:val="000000" w:themeColor="text1"/>
          <w:sz w:val="24"/>
          <w:szCs w:val="24"/>
          <w14:textFill>
            <w14:solidFill>
              <w14:schemeClr w14:val="tx1"/>
            </w14:solidFill>
          </w14:textFill>
        </w:rPr>
      </w:pPr>
      <w:bookmarkStart w:id="3" w:name="_Toc39166851"/>
      <w:bookmarkEnd w:id="3"/>
      <w:bookmarkStart w:id="4" w:name="_Toc39166793"/>
      <w:bookmarkEnd w:id="4"/>
      <w:bookmarkStart w:id="5" w:name="_Toc39166792"/>
      <w:bookmarkEnd w:id="5"/>
      <w:bookmarkStart w:id="6" w:name="_Toc39166853"/>
      <w:bookmarkEnd w:id="6"/>
      <w:bookmarkStart w:id="7" w:name="_Toc39166852"/>
      <w:bookmarkEnd w:id="7"/>
      <w:bookmarkStart w:id="8" w:name="_Toc39166854"/>
      <w:bookmarkEnd w:id="8"/>
      <w:bookmarkStart w:id="9" w:name="_Toc39166794"/>
      <w:bookmarkEnd w:id="9"/>
      <w:bookmarkStart w:id="10" w:name="_Toc39166795"/>
      <w:bookmarkEnd w:id="10"/>
      <w:bookmarkStart w:id="11" w:name="_Toc8880"/>
      <w:bookmarkStart w:id="12" w:name="_Toc25643"/>
      <w:r>
        <w:rPr>
          <w:rFonts w:hint="eastAsia"/>
          <w:color w:val="000000" w:themeColor="text1"/>
          <w:sz w:val="24"/>
          <w:szCs w:val="24"/>
          <w14:textFill>
            <w14:solidFill>
              <w14:schemeClr w14:val="tx1"/>
            </w14:solidFill>
          </w14:textFill>
        </w:rPr>
        <w:t>标准编制背景及必要性</w:t>
      </w:r>
      <w:bookmarkEnd w:id="11"/>
      <w:bookmarkEnd w:id="12"/>
    </w:p>
    <w:p w14:paraId="2966FC8F">
      <w:pPr>
        <w:pStyle w:val="24"/>
        <w:spacing w:line="500" w:lineRule="exact"/>
        <w:ind w:left="105" w:leftChars="50" w:right="105" w:rightChars="50" w:firstLine="0" w:firstLineChars="0"/>
        <w:rPr>
          <w:rFonts w:ascii="黑体" w:hAnsi="黑体" w:eastAsia="黑体"/>
          <w:color w:val="000000" w:themeColor="text1"/>
          <w:sz w:val="24"/>
          <w:szCs w:val="24"/>
          <w14:textFill>
            <w14:solidFill>
              <w14:schemeClr w14:val="tx1"/>
            </w14:solidFill>
          </w14:textFill>
        </w:rPr>
      </w:pPr>
      <w:r>
        <w:rPr>
          <w:rFonts w:hint="eastAsia" w:ascii="黑体" w:hAnsi="黑体" w:eastAsia="黑体"/>
          <w:color w:val="000000" w:themeColor="text1"/>
          <w:sz w:val="24"/>
          <w:szCs w:val="24"/>
          <w14:textFill>
            <w14:solidFill>
              <w14:schemeClr w14:val="tx1"/>
            </w14:solidFill>
          </w14:textFill>
        </w:rPr>
        <w:t>1.3.1 编制背景</w:t>
      </w:r>
    </w:p>
    <w:p w14:paraId="688448B2">
      <w:pPr>
        <w:autoSpaceDE w:val="0"/>
        <w:autoSpaceDN w:val="0"/>
        <w:adjustRightInd w:val="0"/>
        <w:spacing w:line="500" w:lineRule="exact"/>
        <w:ind w:firstLine="480" w:firstLineChars="200"/>
        <w:jc w:val="left"/>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地面防滑剂是一种涂刷在地面（地板）表面，既能清洁地面表面，又能增加地面表面静摩擦的的液体材料。涂刷后，能够在地面被弄湿时有效增加表面摩擦系数，防止人为滑倒，杜绝因湿滑产生的事故及引起的身体伤害。近年来，国内公共场所地面由于过于光滑而导致意外滑倒致伤致残等事件不断上升。据不完全统计，每年由于意外滑倒造成扭伤等住院数据的比例占全部的35%，</w:t>
      </w:r>
      <w:r>
        <w:rPr>
          <w:rFonts w:hint="eastAsia" w:asciiTheme="majorEastAsia" w:hAnsiTheme="majorEastAsia" w:eastAsiaTheme="majorEastAsia"/>
          <w:color w:val="000000" w:themeColor="text1"/>
          <w:sz w:val="24"/>
          <w:szCs w:val="24"/>
          <w:lang w:eastAsia="zh-CN"/>
          <w14:textFill>
            <w14:solidFill>
              <w14:schemeClr w14:val="tx1"/>
            </w14:solidFill>
          </w14:textFill>
        </w:rPr>
        <w:t>其中</w:t>
      </w:r>
      <w:r>
        <w:rPr>
          <w:rFonts w:hint="eastAsia" w:asciiTheme="majorEastAsia" w:hAnsiTheme="majorEastAsia" w:eastAsiaTheme="majorEastAsia"/>
          <w:color w:val="000000" w:themeColor="text1"/>
          <w:sz w:val="24"/>
          <w:szCs w:val="24"/>
          <w14:textFill>
            <w14:solidFill>
              <w14:schemeClr w14:val="tx1"/>
            </w14:solidFill>
          </w14:textFill>
        </w:rPr>
        <w:t>大部分是老人和小孩。医院属于</w:t>
      </w:r>
      <w:r>
        <w:rPr>
          <w:rFonts w:hint="default" w:asciiTheme="majorEastAsia" w:hAnsiTheme="majorEastAsia" w:eastAsiaTheme="majorEastAsia"/>
          <w:color w:val="000000" w:themeColor="text1"/>
          <w:sz w:val="24"/>
          <w:szCs w:val="24"/>
          <w14:textFill>
            <w14:solidFill>
              <w14:schemeClr w14:val="tx1"/>
            </w14:solidFill>
          </w14:textFill>
        </w:rPr>
        <w:t>高风险公共场所，约30%的院内跌倒事件与地面湿滑直接相关，防滑是安全管理的重点环节</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2019年，因湿滑摔伤事件在案507.7万起，赔款高达2.8亿元以上。地面滑倒已经成为公共安全新问题。</w:t>
      </w:r>
    </w:p>
    <w:p w14:paraId="131E097E">
      <w:pPr>
        <w:pStyle w:val="24"/>
        <w:spacing w:line="500" w:lineRule="exact"/>
        <w:ind w:right="105" w:rightChars="50" w:firstLine="0" w:firstLineChars="0"/>
        <w:rPr>
          <w:rFonts w:ascii="黑体" w:hAnsi="黑体" w:eastAsia="黑体"/>
          <w:color w:val="000000" w:themeColor="text1"/>
          <w:sz w:val="24"/>
          <w:szCs w:val="24"/>
          <w14:textFill>
            <w14:solidFill>
              <w14:schemeClr w14:val="tx1"/>
            </w14:solidFill>
          </w14:textFill>
        </w:rPr>
      </w:pPr>
      <w:r>
        <w:rPr>
          <w:rFonts w:hint="eastAsia" w:ascii="黑体" w:hAnsi="黑体" w:eastAsia="黑体"/>
          <w:color w:val="000000" w:themeColor="text1"/>
          <w:sz w:val="24"/>
          <w:szCs w:val="24"/>
          <w14:textFill>
            <w14:solidFill>
              <w14:schemeClr w14:val="tx1"/>
            </w14:solidFill>
          </w14:textFill>
        </w:rPr>
        <w:t>1.3.2 标准编制的必要性</w:t>
      </w:r>
    </w:p>
    <w:p w14:paraId="43197EAC">
      <w:pPr>
        <w:autoSpaceDE w:val="0"/>
        <w:autoSpaceDN w:val="0"/>
        <w:adjustRightInd w:val="0"/>
        <w:spacing w:line="500" w:lineRule="exact"/>
        <w:ind w:firstLine="480" w:firstLineChars="200"/>
        <w:jc w:val="left"/>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防滑处理范围、目标防滑等级、防滑剂产品类型、关键技术指标、施工控制及检验要求是防滑工程施工图设计文件应输出的核心技术内容，是施工、监理、验收的技术依据，应在设计文件中予以明确，避免工程实施阶段技术要求缺失。经调研，建筑设计阶段，大多数项目都没有对地面防滑做专门的详细设计，大多数设计人员对地面防滑剂完全不了解。</w:t>
      </w:r>
    </w:p>
    <w:p w14:paraId="60D42AC1">
      <w:pPr>
        <w:autoSpaceDE w:val="0"/>
        <w:autoSpaceDN w:val="0"/>
        <w:adjustRightInd w:val="0"/>
        <w:spacing w:line="500" w:lineRule="exact"/>
        <w:ind w:firstLine="480" w:firstLineChars="200"/>
        <w:jc w:val="left"/>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除了新建建筑，既有建筑大量高光抛光砖、镜面石材地面建成后防滑性能不足，拆除更换造价高、工期长。防滑剂改造属于原位处理技术，适合既有建筑防滑提升。</w:t>
      </w:r>
    </w:p>
    <w:p w14:paraId="5DA7CA90">
      <w:pPr>
        <w:autoSpaceDE w:val="0"/>
        <w:autoSpaceDN w:val="0"/>
        <w:adjustRightInd w:val="0"/>
        <w:spacing w:line="500" w:lineRule="exact"/>
        <w:ind w:firstLine="480" w:firstLineChars="200"/>
        <w:jc w:val="left"/>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中国现在老龄化严重，相关建筑和项目迫切将地面防滑提到日程中来。</w:t>
      </w:r>
    </w:p>
    <w:p w14:paraId="4DBA0D3E">
      <w:pPr>
        <w:autoSpaceDE w:val="0"/>
        <w:autoSpaceDN w:val="0"/>
        <w:adjustRightInd w:val="0"/>
        <w:spacing w:line="500" w:lineRule="exact"/>
        <w:ind w:firstLine="480" w:firstLineChars="200"/>
        <w:jc w:val="left"/>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地面防滑剂作为新型处理地面光滑问题的产品，使用越来越广泛。目前国内地面防滑剂生产企业300多家，年产量约50万吨，年产值近100亿元。但是，由于地面防滑剂的技术含量不高，行业门槛低，产品质量参差不齐，市场低价竞争问题严重。发达国家由于城镇化水平高，地面防滑要求严格，因此发达国家的地面防滑剂供需规模都比较大。而近年来，随着我国城镇化进程的加快，防滑剂产品需求量快速增加，企业数量和供给规模不断壮大，市场成长速度快。</w:t>
      </w:r>
    </w:p>
    <w:p w14:paraId="1B71548E">
      <w:pPr>
        <w:autoSpaceDE w:val="0"/>
        <w:autoSpaceDN w:val="0"/>
        <w:adjustRightInd w:val="0"/>
        <w:spacing w:line="500" w:lineRule="exact"/>
        <w:ind w:firstLine="480" w:firstLineChars="200"/>
        <w:jc w:val="left"/>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整理与地面防滑剂有关的标准，尤其针对设计、施工、验收做了相关有效规定。本规程</w:t>
      </w:r>
      <w:r>
        <w:rPr>
          <w:rFonts w:hint="eastAsia" w:asciiTheme="majorEastAsia" w:hAnsiTheme="majorEastAsia" w:eastAsiaTheme="majorEastAsia"/>
          <w:color w:val="000000" w:themeColor="text1"/>
          <w:sz w:val="24"/>
          <w:szCs w:val="24"/>
          <w14:textFill>
            <w14:solidFill>
              <w14:schemeClr w14:val="tx1"/>
            </w14:solidFill>
          </w14:textFill>
        </w:rPr>
        <w:t>的出台能够规范产品质量，促进产业健康发展，提升生存环境质量。</w:t>
      </w:r>
    </w:p>
    <w:p w14:paraId="4257FCC1">
      <w:pPr>
        <w:pStyle w:val="24"/>
        <w:spacing w:line="500" w:lineRule="exact"/>
        <w:ind w:right="105" w:rightChars="50" w:firstLine="0" w:firstLineChars="0"/>
        <w:rPr>
          <w:rFonts w:hint="eastAsia" w:ascii="黑体" w:hAnsi="黑体" w:eastAsia="黑体"/>
          <w:color w:val="000000" w:themeColor="text1"/>
          <w:sz w:val="24"/>
          <w:szCs w:val="24"/>
          <w14:textFill>
            <w14:solidFill>
              <w14:schemeClr w14:val="tx1"/>
            </w14:solidFill>
          </w14:textFill>
        </w:rPr>
      </w:pPr>
      <w:r>
        <w:rPr>
          <w:rFonts w:hint="eastAsia" w:ascii="黑体" w:hAnsi="黑体" w:eastAsia="黑体"/>
          <w:color w:val="000000" w:themeColor="text1"/>
          <w:sz w:val="24"/>
          <w:szCs w:val="24"/>
          <w:lang w:val="en-US" w:eastAsia="zh-CN"/>
          <w14:textFill>
            <w14:solidFill>
              <w14:schemeClr w14:val="tx1"/>
            </w14:solidFill>
          </w14:textFill>
        </w:rPr>
        <w:t>1.3.3</w:t>
      </w:r>
      <w:r>
        <w:rPr>
          <w:rFonts w:hint="eastAsia" w:ascii="黑体" w:hAnsi="黑体" w:eastAsia="黑体"/>
          <w:color w:val="000000" w:themeColor="text1"/>
          <w:sz w:val="24"/>
          <w:szCs w:val="24"/>
          <w14:textFill>
            <w14:solidFill>
              <w14:schemeClr w14:val="tx1"/>
            </w14:solidFill>
          </w14:textFill>
        </w:rPr>
        <w:t>国内外情况简要说明</w:t>
      </w:r>
    </w:p>
    <w:p w14:paraId="62C65BB1">
      <w:pPr>
        <w:pStyle w:val="24"/>
        <w:spacing w:line="500" w:lineRule="exact"/>
        <w:ind w:right="105" w:rightChars="50" w:firstLine="480" w:firstLineChars="200"/>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pPr>
      <w:r>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t>从供应情况看，由于防滑剂属于配方类生产制作，行业进入门槛较低，我国小型企业林立。因此，虽然目前我国地面防滑剂行业市场供给充足，但缺乏具备全国影响力的大品牌，产品质量、价格参差不齐，行业和企业缺乏竞争力。</w:t>
      </w:r>
    </w:p>
    <w:p w14:paraId="24FF37D1">
      <w:pPr>
        <w:pStyle w:val="24"/>
        <w:spacing w:line="500" w:lineRule="exact"/>
        <w:ind w:right="105" w:rightChars="50" w:firstLine="480" w:firstLineChars="200"/>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pPr>
      <w:r>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t>从需求情况看，目前地面防滑剂主要在市政工程、医院、学校、休闲娱乐场所等领域使用，在住宅等领域的用量还比较少。并且目前防滑剂的主要用户集中在经济水平和城镇化水平较高的一、二线城市及中东部城市地区，其他地区潜在用户的用量正在跟风市场、迅速发展。</w:t>
      </w:r>
    </w:p>
    <w:p w14:paraId="0F1ABBF3">
      <w:pPr>
        <w:pStyle w:val="24"/>
        <w:spacing w:line="500" w:lineRule="exact"/>
        <w:ind w:right="105" w:rightChars="50" w:firstLine="480" w:firstLineChars="200"/>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pPr>
      <w:r>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t>从市场竞争情况来看，受进入门槛较低的诱惑，目前企业数量众多，市场分散，企业之间的竞争激烈。尤其是不规范的作坊式企业，为了获取订单不惜降低质量、压低价格，使得行业市场更加混乱，不利于行业成长壮大。</w:t>
      </w:r>
    </w:p>
    <w:p w14:paraId="4D88F776">
      <w:pPr>
        <w:pStyle w:val="24"/>
        <w:spacing w:line="500" w:lineRule="exact"/>
        <w:ind w:right="105" w:rightChars="50" w:firstLine="480" w:firstLineChars="200"/>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pPr>
      <w:r>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t>目前，国内还没有防滑剂专门的产品标准和规程。与地面防滑剂相关的标准有JGJT331-2014《建筑地面工程防滑技术规程》，国外相关标准有美国ASTM F462-79《洗浴设施防滑性能安全规范》、澳大利亚/新西兰 AS/NZS 3661.1 《人行道地面防滑要求》等，但这些标准对地面防滑剂的具体参数和规定，没有明确提出。</w:t>
      </w:r>
    </w:p>
    <w:p w14:paraId="6D7766D8">
      <w:pPr>
        <w:pStyle w:val="24"/>
        <w:spacing w:line="500" w:lineRule="exact"/>
        <w:ind w:right="105" w:rightChars="50" w:firstLine="480" w:firstLineChars="200"/>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pPr>
      <w:r>
        <w:rPr>
          <w:rFonts w:hint="eastAsia" w:asciiTheme="majorEastAsia" w:hAnsiTheme="majorEastAsia" w:eastAsiaTheme="majorEastAsia" w:cstheme="minorBidi"/>
          <w:color w:val="000000" w:themeColor="text1"/>
          <w:kern w:val="2"/>
          <w:sz w:val="24"/>
          <w:szCs w:val="24"/>
          <w:lang w:val="en-US" w:eastAsia="zh-CN" w:bidi="ar-SA"/>
          <w14:textFill>
            <w14:solidFill>
              <w14:schemeClr w14:val="tx1"/>
            </w14:solidFill>
          </w14:textFill>
        </w:rPr>
        <w:t>本规程将参考国内外相关标准，并根据地面防滑剂在生产、施工和后期保养中的特殊要求，制定相应的产品标准。</w:t>
      </w:r>
    </w:p>
    <w:p w14:paraId="2A4E12AD">
      <w:pPr>
        <w:pStyle w:val="26"/>
        <w:spacing w:before="156" w:after="156" w:line="500" w:lineRule="exact"/>
        <w:rPr>
          <w:color w:val="000000" w:themeColor="text1"/>
          <w:sz w:val="24"/>
          <w:szCs w:val="24"/>
          <w14:textFill>
            <w14:solidFill>
              <w14:schemeClr w14:val="tx1"/>
            </w14:solidFill>
          </w14:textFill>
        </w:rPr>
      </w:pPr>
      <w:bookmarkStart w:id="13" w:name="_Toc30457"/>
      <w:r>
        <w:rPr>
          <w:rFonts w:hint="eastAsia"/>
          <w:color w:val="000000" w:themeColor="text1"/>
          <w:sz w:val="24"/>
          <w:szCs w:val="24"/>
          <w14:textFill>
            <w14:solidFill>
              <w14:schemeClr w14:val="tx1"/>
            </w14:solidFill>
          </w14:textFill>
        </w:rPr>
        <w:t>主要工作过程</w:t>
      </w:r>
      <w:bookmarkEnd w:id="13"/>
    </w:p>
    <w:p w14:paraId="3130D488">
      <w:pPr>
        <w:spacing w:line="500" w:lineRule="exact"/>
        <w:ind w:firstLine="480" w:firstLineChars="200"/>
        <w:rPr>
          <w:rFonts w:asciiTheme="majorEastAsia" w:hAnsiTheme="majorEastAsia" w:eastAsiaTheme="majorEastAsia"/>
          <w:b/>
          <w:color w:val="000000" w:themeColor="text1"/>
          <w:sz w:val="24"/>
          <w:szCs w:val="24"/>
          <w14:textFill>
            <w14:solidFill>
              <w14:schemeClr w14:val="tx1"/>
            </w14:solidFill>
          </w14:textFill>
        </w:rPr>
      </w:pPr>
      <w:r>
        <w:rPr>
          <w:rFonts w:hint="eastAsia" w:asciiTheme="majorEastAsia" w:hAnsiTheme="majorEastAsia" w:eastAsiaTheme="majorEastAsia"/>
          <w:b/>
          <w:color w:val="000000" w:themeColor="text1"/>
          <w:sz w:val="24"/>
          <w:szCs w:val="24"/>
          <w14:textFill>
            <w14:solidFill>
              <w14:schemeClr w14:val="tx1"/>
            </w14:solidFill>
          </w14:textFill>
        </w:rPr>
        <w:t>1.4.1 标准大纲讨论会</w:t>
      </w:r>
    </w:p>
    <w:p w14:paraId="713B5261">
      <w:pPr>
        <w:spacing w:line="500" w:lineRule="exact"/>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202</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1</w:t>
      </w:r>
      <w:r>
        <w:rPr>
          <w:rFonts w:hint="eastAsia" w:asciiTheme="majorEastAsia" w:hAnsiTheme="majorEastAsia" w:eastAsiaTheme="majorEastAsia"/>
          <w:color w:val="000000" w:themeColor="text1"/>
          <w:sz w:val="24"/>
          <w:szCs w:val="24"/>
          <w14:textFill>
            <w14:solidFill>
              <w14:schemeClr w14:val="tx1"/>
            </w14:solidFill>
          </w14:textFill>
        </w:rPr>
        <w:t>年1月15日，由建筑材料工业技术情报研究所</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上海世卿防滑防护科技有限公司</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和</w:t>
      </w:r>
      <w:r>
        <w:rPr>
          <w:rFonts w:hint="eastAsia" w:asciiTheme="majorEastAsia" w:hAnsiTheme="majorEastAsia" w:eastAsiaTheme="majorEastAsia"/>
          <w:color w:val="000000" w:themeColor="text1"/>
          <w:sz w:val="24"/>
          <w:szCs w:val="24"/>
          <w14:textFill>
            <w14:solidFill>
              <w14:schemeClr w14:val="tx1"/>
            </w14:solidFill>
          </w14:textFill>
        </w:rPr>
        <w:t>同纳检测认证集团有限公司组成标准编制筹备组，以线上视频会议形式召开了《地面防滑剂应用技术规程</w:t>
      </w:r>
      <w:r>
        <w:rPr>
          <w:rFonts w:hint="eastAsia" w:ascii="宋体" w:hAnsi="宋体" w:cs="宋体"/>
          <w:color w:val="000000" w:themeColor="text1"/>
          <w:sz w:val="24"/>
          <w:szCs w:val="24"/>
          <w14:textFill>
            <w14:solidFill>
              <w14:schemeClr w14:val="tx1"/>
            </w14:solidFill>
          </w14:textFill>
        </w:rPr>
        <w:t>》大纲</w:t>
      </w:r>
      <w:r>
        <w:rPr>
          <w:rFonts w:hint="eastAsia" w:asciiTheme="majorEastAsia" w:hAnsiTheme="majorEastAsia" w:eastAsiaTheme="majorEastAsia"/>
          <w:color w:val="000000" w:themeColor="text1"/>
          <w:sz w:val="24"/>
          <w:szCs w:val="24"/>
          <w14:textFill>
            <w14:solidFill>
              <w14:schemeClr w14:val="tx1"/>
            </w14:solidFill>
          </w14:textFill>
        </w:rPr>
        <w:t>讨论会</w:t>
      </w:r>
      <w:r>
        <w:rPr>
          <w:rFonts w:asciiTheme="majorEastAsia" w:hAnsiTheme="majorEastAsia" w:eastAsiaTheme="majorEastAsia"/>
          <w:color w:val="000000" w:themeColor="text1"/>
          <w:sz w:val="24"/>
          <w:szCs w:val="24"/>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就前期资料准备</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编制大纲等问题进行讨论，并确定</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了</w:t>
      </w:r>
      <w:r>
        <w:rPr>
          <w:rFonts w:hint="eastAsia" w:asciiTheme="majorEastAsia" w:hAnsiTheme="majorEastAsia" w:eastAsiaTheme="majorEastAsia"/>
          <w:color w:val="000000" w:themeColor="text1"/>
          <w:sz w:val="24"/>
          <w:szCs w:val="24"/>
          <w14:textFill>
            <w14:solidFill>
              <w14:schemeClr w14:val="tx1"/>
            </w14:solidFill>
          </w14:textFill>
        </w:rPr>
        <w:t>工作进度计划</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草案</w:t>
      </w:r>
      <w:r>
        <w:rPr>
          <w:rFonts w:hint="eastAsia" w:asciiTheme="majorEastAsia" w:hAnsiTheme="majorEastAsia" w:eastAsiaTheme="majorEastAsia"/>
          <w:color w:val="000000" w:themeColor="text1"/>
          <w:sz w:val="24"/>
          <w:szCs w:val="24"/>
          <w14:textFill>
            <w14:solidFill>
              <w14:schemeClr w14:val="tx1"/>
            </w14:solidFill>
          </w14:textFill>
        </w:rPr>
        <w:t>。</w:t>
      </w:r>
    </w:p>
    <w:p w14:paraId="120EE8C1">
      <w:pPr>
        <w:spacing w:line="500" w:lineRule="exact"/>
        <w:ind w:firstLine="480" w:firstLineChars="200"/>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因疫情，标准的调研、资料收集工作受到了严重影响。</w:t>
      </w:r>
    </w:p>
    <w:p w14:paraId="34A3F2A2">
      <w:pPr>
        <w:spacing w:line="500" w:lineRule="exact"/>
        <w:ind w:firstLine="480" w:firstLineChars="200"/>
        <w:rPr>
          <w:rFonts w:hint="default" w:asciiTheme="majorEastAsia" w:hAnsiTheme="majorEastAsia" w:eastAsiaTheme="majorEastAsia"/>
          <w:b/>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b/>
          <w:color w:val="000000" w:themeColor="text1"/>
          <w:sz w:val="24"/>
          <w:szCs w:val="24"/>
          <w14:textFill>
            <w14:solidFill>
              <w14:schemeClr w14:val="tx1"/>
            </w14:solidFill>
          </w14:textFill>
        </w:rPr>
        <w:t xml:space="preserve">1.4.2 </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标准编制启动会</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暨第一次工作会</w:t>
      </w:r>
    </w:p>
    <w:p w14:paraId="4625FB53">
      <w:pPr>
        <w:spacing w:line="500" w:lineRule="exact"/>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202</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3</w:t>
      </w:r>
      <w:r>
        <w:rPr>
          <w:rFonts w:hint="eastAsia" w:asciiTheme="majorEastAsia" w:hAnsiTheme="majorEastAsia" w:eastAsiaTheme="majorEastAsia"/>
          <w:color w:val="000000" w:themeColor="text1"/>
          <w:sz w:val="24"/>
          <w:szCs w:val="24"/>
          <w14:textFill>
            <w14:solidFill>
              <w14:schemeClr w14:val="tx1"/>
            </w14:solidFill>
          </w14:textFill>
        </w:rPr>
        <w:t>年</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8</w:t>
      </w:r>
      <w:r>
        <w:rPr>
          <w:rFonts w:hint="eastAsia" w:asciiTheme="majorEastAsia" w:hAnsiTheme="majorEastAsia" w:eastAsiaTheme="majorEastAsia"/>
          <w:color w:val="000000" w:themeColor="text1"/>
          <w:sz w:val="24"/>
          <w:szCs w:val="24"/>
          <w14:textFill>
            <w14:solidFill>
              <w14:schemeClr w14:val="tx1"/>
            </w14:solidFill>
          </w14:textFill>
        </w:rPr>
        <w:t>月</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22</w:t>
      </w:r>
      <w:r>
        <w:rPr>
          <w:rFonts w:hint="eastAsia" w:asciiTheme="majorEastAsia" w:hAnsiTheme="majorEastAsia" w:eastAsiaTheme="majorEastAsia"/>
          <w:color w:val="000000" w:themeColor="text1"/>
          <w:sz w:val="24"/>
          <w:szCs w:val="24"/>
          <w14:textFill>
            <w14:solidFill>
              <w14:schemeClr w14:val="tx1"/>
            </w14:solidFill>
          </w14:textFill>
        </w:rPr>
        <w:t>日，</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在</w:t>
      </w:r>
      <w:r>
        <w:rPr>
          <w:rFonts w:hint="eastAsia" w:asciiTheme="majorEastAsia" w:hAnsiTheme="majorEastAsia" w:eastAsiaTheme="majorEastAsia"/>
          <w:color w:val="000000" w:themeColor="text1"/>
          <w:sz w:val="24"/>
          <w:szCs w:val="24"/>
          <w14:textFill>
            <w14:solidFill>
              <w14:schemeClr w14:val="tx1"/>
            </w14:solidFill>
          </w14:textFill>
        </w:rPr>
        <w:t>上海世卿防滑防护科技有限公司</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召开</w:t>
      </w:r>
      <w:r>
        <w:rPr>
          <w:rFonts w:hint="eastAsia" w:asciiTheme="majorEastAsia" w:hAnsiTheme="majorEastAsia" w:eastAsiaTheme="majorEastAsia"/>
          <w:color w:val="000000" w:themeColor="text1"/>
          <w:sz w:val="24"/>
          <w:szCs w:val="24"/>
          <w14:textFill>
            <w14:solidFill>
              <w14:schemeClr w14:val="tx1"/>
            </w14:solidFill>
          </w14:textFill>
        </w:rPr>
        <w:t>启动会暨第一次工作</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会，建筑材料工业技术情报研究所、上海世卿防滑防护科技有限公司、同纳检测认证集团有限公司、上海硕奇防滑防护科技有限公司等参编单位参加了会议</w:t>
      </w:r>
      <w:r>
        <w:rPr>
          <w:rFonts w:hint="eastAsia" w:asciiTheme="majorEastAsia" w:hAnsiTheme="majorEastAsia" w:eastAsiaTheme="majorEastAsia"/>
          <w:color w:val="000000" w:themeColor="text1"/>
          <w:sz w:val="24"/>
          <w:szCs w:val="24"/>
          <w14:textFill>
            <w14:solidFill>
              <w14:schemeClr w14:val="tx1"/>
            </w14:solidFill>
          </w14:textFill>
        </w:rPr>
        <w:t>。</w:t>
      </w:r>
    </w:p>
    <w:p w14:paraId="6BDEE41C">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会前，参会单位一起参观了上海世卿防滑防护科技有限公司的产品展示室和试验室，对地面防滑剂有了深刻的感性认识，更坚定了把标准做好的信心和目标。</w:t>
      </w:r>
    </w:p>
    <w:p w14:paraId="45F7C526">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会上，建筑材料工业技术情报研究所</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姜可高级工程师（项目负责人）</w:t>
      </w:r>
      <w:r>
        <w:rPr>
          <w:rFonts w:hint="eastAsia" w:asciiTheme="majorEastAsia" w:hAnsiTheme="majorEastAsia" w:eastAsiaTheme="majorEastAsia"/>
          <w:color w:val="000000" w:themeColor="text1"/>
          <w:sz w:val="24"/>
          <w:szCs w:val="24"/>
          <w14:textFill>
            <w14:solidFill>
              <w14:schemeClr w14:val="tx1"/>
            </w14:solidFill>
          </w14:textFill>
        </w:rPr>
        <w:t>就标准立项背景</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编制工作大纲及标准草案（讨论稿）</w:t>
      </w:r>
      <w:r>
        <w:rPr>
          <w:rFonts w:hint="eastAsia" w:asciiTheme="majorEastAsia" w:hAnsiTheme="majorEastAsia" w:eastAsiaTheme="majorEastAsia"/>
          <w:color w:val="000000" w:themeColor="text1"/>
          <w:sz w:val="24"/>
          <w:szCs w:val="24"/>
          <w14:textFill>
            <w14:solidFill>
              <w14:schemeClr w14:val="tx1"/>
            </w14:solidFill>
          </w14:textFill>
        </w:rPr>
        <w:t>做了介绍，</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就现阶段工作进展和研究基础进行汇报。</w:t>
      </w:r>
      <w:r>
        <w:rPr>
          <w:rFonts w:hint="eastAsia" w:asciiTheme="majorEastAsia" w:hAnsiTheme="majorEastAsia" w:eastAsiaTheme="majorEastAsia"/>
          <w:color w:val="000000" w:themeColor="text1"/>
          <w:sz w:val="24"/>
          <w:szCs w:val="24"/>
          <w14:textFill>
            <w14:solidFill>
              <w14:schemeClr w14:val="tx1"/>
            </w14:solidFill>
          </w14:textFill>
        </w:rPr>
        <w:t>上海世卿防滑防护科技有限公司</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王永朗副总经理</w:t>
      </w:r>
      <w:r>
        <w:rPr>
          <w:rFonts w:hint="eastAsia" w:asciiTheme="majorEastAsia" w:hAnsiTheme="majorEastAsia" w:eastAsiaTheme="majorEastAsia"/>
          <w:color w:val="000000" w:themeColor="text1"/>
          <w:sz w:val="24"/>
          <w:szCs w:val="24"/>
          <w14:textFill>
            <w14:solidFill>
              <w14:schemeClr w14:val="tx1"/>
            </w14:solidFill>
          </w14:textFill>
        </w:rPr>
        <w:t>分享了多年的科研成果和在上海及部分地区的应用实践</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，参会的</w:t>
      </w:r>
      <w:r>
        <w:rPr>
          <w:rFonts w:hint="eastAsia" w:asciiTheme="majorEastAsia" w:hAnsiTheme="majorEastAsia" w:eastAsiaTheme="majorEastAsia"/>
          <w:color w:val="000000" w:themeColor="text1"/>
          <w:sz w:val="24"/>
          <w:szCs w:val="24"/>
          <w14:textFill>
            <w14:solidFill>
              <w14:schemeClr w14:val="tx1"/>
            </w14:solidFill>
          </w14:textFill>
        </w:rPr>
        <w:t>各位专家对草案中内容的合理性、完整性、符合性进行了讨论</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p>
    <w:p w14:paraId="2221F887">
      <w:pPr>
        <w:spacing w:line="500" w:lineRule="exact"/>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本次会议</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正式宣告</w:t>
      </w:r>
      <w:r>
        <w:rPr>
          <w:rFonts w:hint="eastAsia" w:asciiTheme="majorEastAsia" w:hAnsiTheme="majorEastAsia" w:eastAsiaTheme="majorEastAsia"/>
          <w:color w:val="000000" w:themeColor="text1"/>
          <w:sz w:val="24"/>
          <w:szCs w:val="24"/>
          <w14:textFill>
            <w14:solidFill>
              <w14:schemeClr w14:val="tx1"/>
            </w14:solidFill>
          </w14:textFill>
        </w:rPr>
        <w:t>标准编制</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组</w:t>
      </w:r>
      <w:r>
        <w:rPr>
          <w:rFonts w:hint="eastAsia" w:asciiTheme="majorEastAsia" w:hAnsiTheme="majorEastAsia" w:eastAsiaTheme="majorEastAsia"/>
          <w:color w:val="000000" w:themeColor="text1"/>
          <w:sz w:val="24"/>
          <w:szCs w:val="24"/>
          <w14:textFill>
            <w14:solidFill>
              <w14:schemeClr w14:val="tx1"/>
            </w14:solidFill>
          </w14:textFill>
        </w:rPr>
        <w:t>的</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成立</w:t>
      </w:r>
      <w:r>
        <w:rPr>
          <w:rFonts w:hint="eastAsia" w:asciiTheme="majorEastAsia" w:hAnsiTheme="majorEastAsia" w:eastAsiaTheme="majorEastAsia"/>
          <w:color w:val="000000" w:themeColor="text1"/>
          <w:sz w:val="24"/>
          <w:szCs w:val="24"/>
          <w14:textFill>
            <w14:solidFill>
              <w14:schemeClr w14:val="tx1"/>
            </w14:solidFill>
          </w14:textFill>
        </w:rPr>
        <w:t>，确定</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编写</w:t>
      </w:r>
      <w:r>
        <w:rPr>
          <w:rFonts w:hint="eastAsia" w:asciiTheme="majorEastAsia" w:hAnsiTheme="majorEastAsia" w:eastAsiaTheme="majorEastAsia"/>
          <w:color w:val="000000" w:themeColor="text1"/>
          <w:sz w:val="24"/>
          <w:szCs w:val="24"/>
          <w14:textFill>
            <w14:solidFill>
              <w14:schemeClr w14:val="tx1"/>
            </w14:solidFill>
          </w14:textFill>
        </w:rPr>
        <w:t>分工等事宜</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并确定</w:t>
      </w:r>
      <w:r>
        <w:rPr>
          <w:rFonts w:hint="eastAsia" w:asciiTheme="majorEastAsia" w:hAnsiTheme="majorEastAsia" w:eastAsiaTheme="majorEastAsia"/>
          <w:color w:val="000000" w:themeColor="text1"/>
          <w:sz w:val="24"/>
          <w:szCs w:val="24"/>
          <w14:textFill>
            <w14:solidFill>
              <w14:schemeClr w14:val="tx1"/>
            </w14:solidFill>
          </w14:textFill>
        </w:rPr>
        <w:t>了工作进度计划。编制组成员对《地面防滑剂应用技术规程》的条款逐条进行了讨论，</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会后将</w:t>
      </w:r>
      <w:r>
        <w:rPr>
          <w:rFonts w:hint="eastAsia" w:asciiTheme="majorEastAsia" w:hAnsiTheme="majorEastAsia" w:eastAsiaTheme="majorEastAsia"/>
          <w:color w:val="000000" w:themeColor="text1"/>
          <w:sz w:val="24"/>
          <w:szCs w:val="24"/>
          <w14:textFill>
            <w14:solidFill>
              <w14:schemeClr w14:val="tx1"/>
            </w14:solidFill>
          </w14:textFill>
        </w:rPr>
        <w:t>按照相关要求对标准草案进行修改。</w:t>
      </w:r>
    </w:p>
    <w:p w14:paraId="6562C6A0">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主要讨论内容如下：</w:t>
      </w:r>
    </w:p>
    <w:p w14:paraId="77690585">
      <w:pPr>
        <w:numPr>
          <w:ilvl w:val="0"/>
          <w:numId w:val="6"/>
        </w:numPr>
        <w:spacing w:line="500" w:lineRule="exact"/>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本规程是应用技术规程，应重视设计、施工和验收的相关内容，需要设计、施工单位的必要支持。</w:t>
      </w:r>
    </w:p>
    <w:p w14:paraId="31B74252">
      <w:pPr>
        <w:numPr>
          <w:ilvl w:val="0"/>
          <w:numId w:val="6"/>
        </w:numPr>
        <w:spacing w:line="500" w:lineRule="exact"/>
        <w:ind w:left="0" w:leftChars="0"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的产品技术性能部分，以技术指标+引用标准的形式进行表述，主要涵盖产品型式检验的要求。技术指标来源于生产厂家提供的检测报告数据和自有试验室实验数值。</w:t>
      </w:r>
    </w:p>
    <w:p w14:paraId="63502922">
      <w:pPr>
        <w:numPr>
          <w:ilvl w:val="0"/>
          <w:numId w:val="6"/>
        </w:numPr>
        <w:spacing w:line="500" w:lineRule="exact"/>
        <w:ind w:left="0" w:leftChars="0"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部分内容直接引用国家标准和行业标准。</w:t>
      </w:r>
    </w:p>
    <w:p w14:paraId="50C3D544">
      <w:pPr>
        <w:numPr>
          <w:ilvl w:val="0"/>
          <w:numId w:val="6"/>
        </w:numPr>
        <w:spacing w:line="500" w:lineRule="exact"/>
        <w:ind w:left="0" w:leftChars="0"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共同收集防滑性能分级、试验方法。</w:t>
      </w:r>
    </w:p>
    <w:p w14:paraId="658C4BC6">
      <w:pPr>
        <w:numPr>
          <w:ilvl w:val="0"/>
          <w:numId w:val="6"/>
        </w:numPr>
        <w:spacing w:line="500" w:lineRule="exact"/>
        <w:ind w:left="0" w:leftChars="0"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共同收集在实际使用中存在的问题，尽力在标准中解决。</w:t>
      </w:r>
    </w:p>
    <w:p w14:paraId="549FD47D">
      <w:pPr>
        <w:numPr>
          <w:ilvl w:val="0"/>
          <w:numId w:val="6"/>
        </w:numPr>
        <w:spacing w:line="500" w:lineRule="exact"/>
        <w:ind w:left="0" w:leftChars="0"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希望更多的设计、施工、检测单位参与到标准编制来，尽量涵盖全产业链。</w:t>
      </w:r>
    </w:p>
    <w:p w14:paraId="4052942C">
      <w:pPr>
        <w:spacing w:line="500" w:lineRule="exact"/>
        <w:ind w:firstLine="480" w:firstLineChars="200"/>
        <w:rPr>
          <w:rFonts w:hint="eastAsia" w:cs="Times New Roman" w:asciiTheme="majorEastAsia" w:hAnsiTheme="majorEastAsia" w:eastAsiaTheme="majorEastAsia"/>
          <w:b/>
          <w:bCs/>
          <w:color w:val="000000" w:themeColor="text1"/>
          <w:sz w:val="24"/>
          <w:szCs w:val="24"/>
          <w:lang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14:textFill>
            <w14:solidFill>
              <w14:schemeClr w14:val="tx1"/>
            </w14:solidFill>
          </w14:textFill>
        </w:rPr>
        <w:t>1.4.3 编制组内部讨论</w:t>
      </w:r>
      <w:r>
        <w:rPr>
          <w:rFonts w:hint="eastAsia" w:cs="Times New Roman" w:asciiTheme="majorEastAsia" w:hAnsiTheme="majorEastAsia" w:eastAsiaTheme="majorEastAsia"/>
          <w:b/>
          <w:bCs/>
          <w:color w:val="000000" w:themeColor="text1"/>
          <w:sz w:val="24"/>
          <w:szCs w:val="24"/>
          <w:lang w:eastAsia="zh-CN"/>
          <w14:textFill>
            <w14:solidFill>
              <w14:schemeClr w14:val="tx1"/>
            </w14:solidFill>
          </w14:textFill>
        </w:rPr>
        <w:t>会</w:t>
      </w:r>
    </w:p>
    <w:p w14:paraId="3CD0A8CD">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2024年</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-2025年，标准编制组内部多次讨论初稿条款的相关意见建议、产品数据（检测报告、测试报告等）、产品推广瓶颈和工程实践案例。</w:t>
      </w:r>
    </w:p>
    <w:p w14:paraId="5B0A63EB">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主要讨论内容如下：</w:t>
      </w:r>
    </w:p>
    <w:p w14:paraId="689D3874">
      <w:pPr>
        <w:numPr>
          <w:ilvl w:val="0"/>
          <w:numId w:val="7"/>
        </w:num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上海世卿防滑防护科技有限公司介绍了相关案例，已在多家养老院免费做防滑工程，全市场疫情后明显不好做，压价内卷，导致质量下降，收益降低。</w:t>
      </w:r>
    </w:p>
    <w:p w14:paraId="5B8A4520">
      <w:pPr>
        <w:numPr>
          <w:ilvl w:val="0"/>
          <w:numId w:val="7"/>
        </w:num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目前地面防滑剂行业的现状是只能做到防干滑，不能防湿滑。</w:t>
      </w:r>
    </w:p>
    <w:p w14:paraId="2D6F6013">
      <w:pPr>
        <w:spacing w:line="500" w:lineRule="exact"/>
        <w:ind w:firstLine="480" w:firstLineChars="200"/>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3）设计是工程建设的源头，目前设计方面没有标准，如果能从设计就引入地面防滑剂的设计，对工程质量和产品推广都会有质的飞跃。所以本规程一定要补充完善设计部分。需要与设计院、装修公司进行沟通。</w:t>
      </w:r>
    </w:p>
    <w:p w14:paraId="1BE6170B">
      <w:pPr>
        <w:spacing w:line="500" w:lineRule="exact"/>
        <w:ind w:firstLine="480" w:firstLineChars="200"/>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（4）施工、验收标准缺失，没有统一要求。</w:t>
      </w:r>
    </w:p>
    <w:p w14:paraId="5AD62F73">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（6）本行业的设备、机器、涂刷工具、测试工具等都是自主研发，这也是拉开质量差距的一个原因。</w:t>
      </w:r>
    </w:p>
    <w:p w14:paraId="1FF50469">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（7）收集近期的检测报告和数据。</w:t>
      </w:r>
    </w:p>
    <w:p w14:paraId="6E019E50">
      <w:pPr>
        <w:spacing w:line="500" w:lineRule="exact"/>
        <w:ind w:firstLine="480" w:firstLineChars="200"/>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（8）完善征集意见稿。</w:t>
      </w:r>
    </w:p>
    <w:p w14:paraId="6AC69367">
      <w:pPr>
        <w:spacing w:line="500" w:lineRule="exact"/>
        <w:ind w:firstLine="480" w:firstLineChars="200"/>
        <w:rPr>
          <w:rFonts w:hint="eastAsia" w:cs="Times New Roman" w:asciiTheme="majorEastAsia" w:hAnsiTheme="majorEastAsia" w:eastAsiaTheme="majorEastAsia"/>
          <w:b/>
          <w:bCs/>
          <w:color w:val="000000" w:themeColor="text1"/>
          <w:sz w:val="24"/>
          <w:szCs w:val="24"/>
          <w:lang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14:textFill>
            <w14:solidFill>
              <w14:schemeClr w14:val="tx1"/>
            </w14:solidFill>
          </w14:textFill>
        </w:rPr>
        <w:t>1.4.</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4</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 xml:space="preserve"> 编制组</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有关设计部分的</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讨论</w:t>
      </w:r>
      <w:r>
        <w:rPr>
          <w:rFonts w:hint="eastAsia" w:cs="Times New Roman" w:asciiTheme="majorEastAsia" w:hAnsiTheme="majorEastAsia" w:eastAsiaTheme="majorEastAsia"/>
          <w:b/>
          <w:bCs/>
          <w:color w:val="000000" w:themeColor="text1"/>
          <w:sz w:val="24"/>
          <w:szCs w:val="24"/>
          <w:lang w:eastAsia="zh-CN"/>
          <w14:textFill>
            <w14:solidFill>
              <w14:schemeClr w14:val="tx1"/>
            </w14:solidFill>
          </w14:textFill>
        </w:rPr>
        <w:t>会</w:t>
      </w:r>
    </w:p>
    <w:p w14:paraId="525632A1">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2026年5月21日，标准编制组在中国建筑技术集团有限公司举办了地面防滑剂设计专题讨论会，邀请了来自中国建筑技术集团有限公司、中国建筑科学研究院有限公司防火科技有限公司、中国建筑科学研究院有限公司城乡规划院、中国建筑科学研究院有限公司认证中心等单位的设计师、检测认证人员，共同结合地面防滑在建筑设计、国家十四五示范项目课题和住建部课题认证、后评估过程中遇到的问题做深入探讨，上海世卿防滑防护科技有限公司介绍了市场现状，同时解答了到场人员的问题，确认了本规程的第五章设计的内容和核心问题。</w:t>
      </w:r>
    </w:p>
    <w:p w14:paraId="1254007A">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default" w:asciiTheme="majorEastAsia" w:hAnsiTheme="majorEastAsia" w:eastAsiaTheme="majorEastAsia"/>
          <w:color w:val="000000" w:themeColor="text1"/>
          <w:sz w:val="24"/>
          <w:szCs w:val="24"/>
          <w:lang w:val="en-US" w:eastAsia="zh-CN"/>
          <w14:textFill>
            <w14:solidFill>
              <w14:schemeClr w14:val="tx1"/>
            </w14:solidFill>
          </w14:textFill>
        </w:rPr>
        <w:t>“社区适老化工效学关键技术标准研究与应用”</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default" w:asciiTheme="majorEastAsia" w:hAnsiTheme="majorEastAsia" w:eastAsiaTheme="majorEastAsia"/>
          <w:color w:val="000000" w:themeColor="text1"/>
          <w:sz w:val="24"/>
          <w:szCs w:val="24"/>
          <w:lang w:val="en-US" w:eastAsia="zh-CN"/>
          <w14:textFill>
            <w14:solidFill>
              <w14:schemeClr w14:val="tx1"/>
            </w14:solidFill>
          </w14:textFill>
        </w:rPr>
        <w:t>“十四五”国家重点研发计划“国家质量基础设施体系”重点专项项目</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）和</w:t>
      </w:r>
      <w:r>
        <w:rPr>
          <w:rFonts w:hint="default" w:asciiTheme="majorEastAsia" w:hAnsiTheme="majorEastAsia" w:eastAsiaTheme="majorEastAsia"/>
          <w:color w:val="000000" w:themeColor="text1"/>
          <w:sz w:val="24"/>
          <w:szCs w:val="24"/>
          <w:lang w:val="en-US" w:eastAsia="zh-CN"/>
          <w14:textFill>
            <w14:solidFill>
              <w14:schemeClr w14:val="tx1"/>
            </w14:solidFill>
          </w14:textFill>
        </w:rPr>
        <w:t>住建部适老化社区改造与研究项目课题</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均</w:t>
      </w:r>
      <w:r>
        <w:rPr>
          <w:rFonts w:hint="default" w:asciiTheme="majorEastAsia" w:hAnsiTheme="majorEastAsia" w:eastAsiaTheme="majorEastAsia"/>
          <w:color w:val="000000" w:themeColor="text1"/>
          <w:sz w:val="24"/>
          <w:szCs w:val="24"/>
          <w:lang w:val="en-US" w:eastAsia="zh-CN"/>
          <w14:textFill>
            <w14:solidFill>
              <w14:schemeClr w14:val="tx1"/>
            </w14:solidFill>
          </w14:textFill>
        </w:rPr>
        <w:t>由中国建筑科学研究院有限公司牵头。</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相关领导和课题组负责人对地面防滑非常重视，现有示范项目验收中发现防滑干态能达到要求，但湿态达不到；光面瓷砖美观，不能铺临时防滑装置，急需解决防滑问题；防滑处理不能影响地面的耐久性；需要新型材料参与到课题中来。</w:t>
      </w:r>
    </w:p>
    <w:p w14:paraId="08A1F52C">
      <w:pPr>
        <w:spacing w:line="500" w:lineRule="exact"/>
        <w:ind w:firstLine="480" w:firstLineChars="200"/>
        <w:rPr>
          <w:rFonts w:hint="default" w:cs="Times New Roman" w:asciiTheme="majorEastAsia" w:hAnsiTheme="majorEastAsia" w:eastAsiaTheme="majorEastAsia"/>
          <w:b w:val="0"/>
          <w:bCs/>
          <w:color w:val="000000" w:themeColor="text1"/>
          <w:kern w:val="2"/>
          <w:sz w:val="24"/>
          <w:szCs w:val="24"/>
          <w:lang w:val="en-US" w:eastAsia="zh-CN" w:bidi="ar-SA"/>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经讨论，本规程的第五章设计部分确定如下原则：编写</w:t>
      </w:r>
      <w:r>
        <w:rPr>
          <w:rFonts w:hint="eastAsia" w:cs="Times New Roman" w:asciiTheme="majorEastAsia" w:hAnsiTheme="majorEastAsia" w:eastAsiaTheme="majorEastAsia"/>
          <w:b w:val="0"/>
          <w:bCs/>
          <w:color w:val="000000" w:themeColor="text1"/>
          <w:kern w:val="2"/>
          <w:sz w:val="24"/>
          <w:szCs w:val="24"/>
          <w:lang w:val="en-US" w:eastAsia="zh-CN" w:bidi="ar-SA"/>
          <w14:textFill>
            <w14:solidFill>
              <w14:schemeClr w14:val="tx1"/>
            </w14:solidFill>
          </w14:textFill>
        </w:rPr>
        <w:t>补充防滑剂改造提升既有光滑地面防滑性能的设计方法、基材选型、单位用量、样板要求、特殊场所处理要点，填补</w:t>
      </w:r>
      <w:r>
        <w:rPr>
          <w:rFonts w:hint="eastAsia" w:hAnsi="宋体"/>
          <w:color w:val="000000"/>
          <w:sz w:val="24"/>
          <w:szCs w:val="24"/>
          <w:lang w:val="en-US" w:eastAsia="zh-CN"/>
        </w:rPr>
        <w:t>《建筑地面设计规范》</w:t>
      </w:r>
      <w:r>
        <w:rPr>
          <w:rFonts w:hint="eastAsia" w:cs="Times New Roman" w:asciiTheme="majorEastAsia" w:hAnsiTheme="majorEastAsia" w:eastAsiaTheme="majorEastAsia"/>
          <w:b w:val="0"/>
          <w:bCs/>
          <w:color w:val="000000" w:themeColor="text1"/>
          <w:kern w:val="2"/>
          <w:sz w:val="24"/>
          <w:szCs w:val="24"/>
          <w:lang w:val="en-US" w:eastAsia="zh-CN" w:bidi="ar-SA"/>
          <w14:textFill>
            <w14:solidFill>
              <w14:schemeClr w14:val="tx1"/>
            </w14:solidFill>
          </w14:textFill>
        </w:rPr>
        <w:t>GB 50037缺少的“后处理防滑工艺”设计细则；</w:t>
      </w:r>
      <w:r>
        <w:rPr>
          <w:rFonts w:hint="eastAsia" w:hAnsi="宋体"/>
          <w:color w:val="000000"/>
          <w:sz w:val="24"/>
          <w:szCs w:val="24"/>
          <w:lang w:val="en-US" w:eastAsia="zh-CN"/>
        </w:rPr>
        <w:t>明确无障碍地面干态不低于Ad级、湿态不低于Aw级，补充湿态附加静摩擦系数参考值，把规范“防滑”原则转化为可落地量化指标；针对老年人、无障碍区域，防滑指标不宜过高（干态COF不宜＞0.80，湿态BPN不宜＞90），防止摩擦过大绊倒，补充人体行走体验核查要求，弥补国标只设下限、无上限提示的不足；老人照料、托幼场所干态≥Ad级，涉水湿态≥Aw级，落实这类场所地面防滑安全要求。</w:t>
      </w:r>
    </w:p>
    <w:p w14:paraId="03EFD125">
      <w:pPr>
        <w:spacing w:line="500" w:lineRule="exact"/>
        <w:ind w:firstLine="480" w:firstLineChars="200"/>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14:textFill>
            <w14:solidFill>
              <w14:schemeClr w14:val="tx1"/>
            </w14:solidFill>
          </w14:textFill>
        </w:rPr>
        <w:t>1.4.</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5</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 xml:space="preserve"> 编制组</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对</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征求意见稿</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的</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讨论</w:t>
      </w:r>
      <w:r>
        <w:rPr>
          <w:rFonts w:hint="eastAsia" w:cs="Times New Roman" w:asciiTheme="majorEastAsia" w:hAnsiTheme="majorEastAsia" w:eastAsiaTheme="majorEastAsia"/>
          <w:b/>
          <w:bCs/>
          <w:color w:val="000000" w:themeColor="text1"/>
          <w:sz w:val="24"/>
          <w:szCs w:val="24"/>
          <w:lang w:eastAsia="zh-CN"/>
          <w14:textFill>
            <w14:solidFill>
              <w14:schemeClr w14:val="tx1"/>
            </w14:solidFill>
          </w14:textFill>
        </w:rPr>
        <w:t>会</w:t>
      </w:r>
    </w:p>
    <w:p w14:paraId="11F31FD0">
      <w:pPr>
        <w:spacing w:line="500" w:lineRule="exact"/>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20</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26</w:t>
      </w:r>
      <w:r>
        <w:rPr>
          <w:rFonts w:hint="eastAsia" w:asciiTheme="majorEastAsia" w:hAnsiTheme="majorEastAsia" w:eastAsiaTheme="majorEastAsia"/>
          <w:color w:val="000000" w:themeColor="text1"/>
          <w:sz w:val="24"/>
          <w:szCs w:val="24"/>
          <w14:textFill>
            <w14:solidFill>
              <w14:schemeClr w14:val="tx1"/>
            </w14:solidFill>
          </w14:textFill>
        </w:rPr>
        <w:t>年</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6月</w:t>
      </w:r>
      <w:r>
        <w:rPr>
          <w:rFonts w:hint="eastAsia" w:asciiTheme="majorEastAsia" w:hAnsiTheme="majorEastAsia" w:eastAsiaTheme="majorEastAsia"/>
          <w:color w:val="000000" w:themeColor="text1"/>
          <w:sz w:val="24"/>
          <w:szCs w:val="24"/>
          <w14:textFill>
            <w14:solidFill>
              <w14:schemeClr w14:val="tx1"/>
            </w14:solidFill>
          </w14:textFill>
        </w:rPr>
        <w:t>，《地面防滑剂应用技术规程（征求意见稿）》</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基本</w:t>
      </w:r>
      <w:r>
        <w:rPr>
          <w:rFonts w:hint="eastAsia" w:asciiTheme="majorEastAsia" w:hAnsiTheme="majorEastAsia" w:eastAsiaTheme="majorEastAsia"/>
          <w:color w:val="000000" w:themeColor="text1"/>
          <w:sz w:val="24"/>
          <w:szCs w:val="24"/>
          <w14:textFill>
            <w14:solidFill>
              <w14:schemeClr w14:val="tx1"/>
            </w14:solidFill>
          </w14:textFill>
        </w:rPr>
        <w:t>完成，标准编制组内部进行</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逐条</w:t>
      </w:r>
      <w:r>
        <w:rPr>
          <w:rFonts w:hint="eastAsia" w:asciiTheme="majorEastAsia" w:hAnsiTheme="majorEastAsia" w:eastAsiaTheme="majorEastAsia"/>
          <w:color w:val="000000" w:themeColor="text1"/>
          <w:sz w:val="24"/>
          <w:szCs w:val="24"/>
          <w14:textFill>
            <w14:solidFill>
              <w14:schemeClr w14:val="tx1"/>
            </w14:solidFill>
          </w14:textFill>
        </w:rPr>
        <w:t>审阅</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和讨论</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编制组对各成员提出的修改意见进行汇总整理，并对征求意见稿进行修改。</w:t>
      </w:r>
    </w:p>
    <w:p w14:paraId="64D417FB">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主要修改补充内容如下：</w:t>
      </w:r>
    </w:p>
    <w:p w14:paraId="08892DA8">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1</w:t>
      </w:r>
      <w:r>
        <w:rPr>
          <w:rFonts w:hint="eastAsia" w:asciiTheme="majorEastAsia" w:hAnsiTheme="majorEastAsia" w:eastAsiaTheme="majorEastAsia"/>
          <w:color w:val="000000" w:themeColor="text1"/>
          <w:sz w:val="24"/>
          <w:szCs w:val="24"/>
          <w:lang w:eastAsia="zh-CN"/>
          <w14:textFill>
            <w14:solidFill>
              <w14:schemeClr w14:val="tx1"/>
            </w14:solidFill>
          </w14:textFill>
        </w:rPr>
        <w:t>）按基材细化施工细则；</w:t>
      </w:r>
    </w:p>
    <w:p w14:paraId="6CE975EF">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2</w:t>
      </w:r>
      <w:r>
        <w:rPr>
          <w:rFonts w:hint="eastAsia" w:asciiTheme="majorEastAsia" w:hAnsiTheme="majorEastAsia" w:eastAsiaTheme="majorEastAsia"/>
          <w:color w:val="000000" w:themeColor="text1"/>
          <w:sz w:val="24"/>
          <w:szCs w:val="24"/>
          <w:lang w:eastAsia="zh-CN"/>
          <w14:textFill>
            <w14:solidFill>
              <w14:schemeClr w14:val="tx1"/>
            </w14:solidFill>
          </w14:textFill>
        </w:rPr>
        <w:t>）量化材料用量；</w:t>
      </w:r>
    </w:p>
    <w:p w14:paraId="049E183B">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3</w:t>
      </w:r>
      <w:r>
        <w:rPr>
          <w:rFonts w:hint="eastAsia" w:asciiTheme="majorEastAsia" w:hAnsiTheme="majorEastAsia" w:eastAsiaTheme="majorEastAsia"/>
          <w:color w:val="000000" w:themeColor="text1"/>
          <w:sz w:val="24"/>
          <w:szCs w:val="24"/>
          <w:lang w:eastAsia="zh-CN"/>
          <w14:textFill>
            <w14:solidFill>
              <w14:schemeClr w14:val="tx1"/>
            </w14:solidFill>
          </w14:textFill>
        </w:rPr>
        <w:t>）明确环境与时长要求；</w:t>
      </w:r>
    </w:p>
    <w:p w14:paraId="335A80EB">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4</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补充验收和运维环节细则；</w:t>
      </w:r>
    </w:p>
    <w:p w14:paraId="4EA735B5">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（5）增加适老化专项设计内容；</w:t>
      </w:r>
    </w:p>
    <w:p w14:paraId="20778A69">
      <w:pPr>
        <w:spacing w:line="500" w:lineRule="exact"/>
        <w:ind w:firstLine="480" w:firstLineChars="200"/>
        <w:rPr>
          <w:rFonts w:hint="eastAsia"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（6）增加场景化产品选型指南；</w:t>
      </w:r>
    </w:p>
    <w:p w14:paraId="75FF3434">
      <w:pPr>
        <w:spacing w:line="500" w:lineRule="exact"/>
        <w:ind w:firstLine="480" w:firstLineChars="20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（7）增加施工安全交底相关内容</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p>
    <w:p w14:paraId="63D01D6D">
      <w:pPr>
        <w:spacing w:line="500" w:lineRule="exact"/>
        <w:ind w:firstLine="480" w:firstLineChars="200"/>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14:textFill>
            <w14:solidFill>
              <w14:schemeClr w14:val="tx1"/>
            </w14:solidFill>
          </w14:textFill>
        </w:rPr>
        <w:t>1.4.</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6</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 xml:space="preserve"> 征求意见稿</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完成</w:t>
      </w:r>
    </w:p>
    <w:p w14:paraId="4424AE43">
      <w:pPr>
        <w:spacing w:line="500" w:lineRule="exact"/>
        <w:ind w:firstLine="480" w:firstLineChars="200"/>
        <w:rPr>
          <w:rFonts w:hint="default" w:asciiTheme="majorEastAsia" w:hAnsiTheme="majorEastAsia" w:eastAsiaTheme="majorEastAsia"/>
          <w:b w:val="0"/>
          <w:bCs w:val="0"/>
          <w:color w:val="000000" w:themeColor="text1"/>
          <w:sz w:val="24"/>
          <w:szCs w:val="24"/>
          <w:lang w:val="en-US" w:eastAsia="zh-CN"/>
          <w14:textFill>
            <w14:solidFill>
              <w14:schemeClr w14:val="tx1"/>
            </w14:solidFill>
          </w14:textFill>
        </w:rPr>
      </w:pPr>
      <w:r>
        <w:rPr>
          <w:rFonts w:hint="eastAsia" w:cs="Times New Roman" w:asciiTheme="majorEastAsia" w:hAnsiTheme="majorEastAsia" w:eastAsiaTheme="majorEastAsia"/>
          <w:b w:val="0"/>
          <w:bCs w:val="0"/>
          <w:color w:val="000000" w:themeColor="text1"/>
          <w:sz w:val="24"/>
          <w:szCs w:val="24"/>
          <w:lang w:val="en-US" w:eastAsia="zh-CN"/>
          <w14:textFill>
            <w14:solidFill>
              <w14:schemeClr w14:val="tx1"/>
            </w14:solidFill>
          </w14:textFill>
        </w:rPr>
        <w:t>2026年8月，征求意见稿完成，进入征集意见阶段。</w:t>
      </w:r>
    </w:p>
    <w:p w14:paraId="055D1CEF">
      <w:pPr>
        <w:pStyle w:val="27"/>
        <w:spacing w:before="312" w:after="312"/>
        <w:ind w:left="0"/>
        <w:rPr>
          <w:color w:val="000000" w:themeColor="text1"/>
          <w:sz w:val="28"/>
          <w:szCs w:val="28"/>
          <w14:textFill>
            <w14:solidFill>
              <w14:schemeClr w14:val="tx1"/>
            </w14:solidFill>
          </w14:textFill>
        </w:rPr>
      </w:pPr>
      <w:bookmarkStart w:id="14" w:name="_Toc24227"/>
      <w:r>
        <w:rPr>
          <w:rFonts w:hint="eastAsia"/>
          <w:color w:val="000000" w:themeColor="text1"/>
          <w:sz w:val="28"/>
          <w:szCs w:val="28"/>
          <w14:textFill>
            <w14:solidFill>
              <w14:schemeClr w14:val="tx1"/>
            </w14:solidFill>
          </w14:textFill>
        </w:rPr>
        <w:t>标准制定原则和依据</w:t>
      </w:r>
      <w:bookmarkEnd w:id="14"/>
    </w:p>
    <w:p w14:paraId="19386346">
      <w:pPr>
        <w:pStyle w:val="26"/>
        <w:spacing w:before="156" w:after="156" w:line="500" w:lineRule="exact"/>
        <w:rPr>
          <w:color w:val="000000" w:themeColor="text1"/>
          <w:sz w:val="24"/>
          <w:szCs w:val="24"/>
          <w14:textFill>
            <w14:solidFill>
              <w14:schemeClr w14:val="tx1"/>
            </w14:solidFill>
          </w14:textFill>
        </w:rPr>
      </w:pPr>
      <w:bookmarkStart w:id="15" w:name="_Toc24006"/>
      <w:r>
        <w:rPr>
          <w:rFonts w:hint="eastAsia"/>
          <w:color w:val="000000" w:themeColor="text1"/>
          <w:sz w:val="24"/>
          <w:szCs w:val="24"/>
          <w14:textFill>
            <w14:solidFill>
              <w14:schemeClr w14:val="tx1"/>
            </w14:solidFill>
          </w14:textFill>
        </w:rPr>
        <w:t>标准制定原则</w:t>
      </w:r>
      <w:bookmarkEnd w:id="15"/>
    </w:p>
    <w:p w14:paraId="3BF07AE8">
      <w:pPr>
        <w:spacing w:line="360" w:lineRule="auto"/>
        <w:ind w:firstLine="600" w:firstLineChars="25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lang w:eastAsia="zh-CN"/>
          <w14:textFill>
            <w14:solidFill>
              <w14:schemeClr w14:val="tx1"/>
            </w14:solidFill>
          </w14:textFill>
        </w:rPr>
        <w:t>本规程</w:t>
      </w:r>
      <w:r>
        <w:rPr>
          <w:rFonts w:hint="eastAsia" w:ascii="Times New Roman" w:hAnsi="Times New Roman"/>
          <w:color w:val="000000" w:themeColor="text1"/>
          <w:sz w:val="24"/>
          <w:szCs w:val="24"/>
          <w14:textFill>
            <w14:solidFill>
              <w14:schemeClr w14:val="tx1"/>
            </w14:solidFill>
          </w14:textFill>
        </w:rPr>
        <w:t>的制定根据国家和行业的相关法律法规，充分体现标准的科学性、先进性和实用性原则。</w:t>
      </w:r>
    </w:p>
    <w:p w14:paraId="732585A6">
      <w:pPr>
        <w:pStyle w:val="26"/>
        <w:spacing w:before="156" w:after="156" w:line="500" w:lineRule="exact"/>
        <w:rPr>
          <w:color w:val="000000" w:themeColor="text1"/>
          <w:sz w:val="24"/>
          <w:szCs w:val="24"/>
          <w14:textFill>
            <w14:solidFill>
              <w14:schemeClr w14:val="tx1"/>
            </w14:solidFill>
          </w14:textFill>
        </w:rPr>
      </w:pPr>
      <w:bookmarkStart w:id="16" w:name="_Toc21227"/>
      <w:r>
        <w:rPr>
          <w:rFonts w:hint="eastAsia"/>
          <w:color w:val="000000" w:themeColor="text1"/>
          <w:sz w:val="24"/>
          <w:szCs w:val="24"/>
          <w14:textFill>
            <w14:solidFill>
              <w14:schemeClr w14:val="tx1"/>
            </w14:solidFill>
          </w14:textFill>
        </w:rPr>
        <w:t>标准制定依据</w:t>
      </w:r>
      <w:bookmarkEnd w:id="16"/>
    </w:p>
    <w:p w14:paraId="04E59B5C">
      <w:pPr>
        <w:keepNext w:val="0"/>
        <w:keepLines w:val="0"/>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本规程</w:t>
      </w:r>
      <w:r>
        <w:rPr>
          <w:rFonts w:hint="eastAsia" w:ascii="宋体" w:hAnsi="宋体" w:eastAsia="宋体" w:cs="宋体"/>
          <w:color w:val="000000" w:themeColor="text1"/>
          <w:sz w:val="24"/>
          <w:szCs w:val="24"/>
          <w14:textFill>
            <w14:solidFill>
              <w14:schemeClr w14:val="tx1"/>
            </w14:solidFill>
          </w14:textFill>
        </w:rPr>
        <w:t>依据《工程建设标准</w:t>
      </w:r>
      <w:r>
        <w:rPr>
          <w:rFonts w:hint="eastAsia" w:ascii="宋体" w:hAnsi="宋体" w:eastAsia="宋体" w:cs="宋体"/>
          <w:color w:val="000000" w:themeColor="text1"/>
          <w:sz w:val="24"/>
          <w:szCs w:val="24"/>
          <w:lang w:eastAsia="zh-CN"/>
          <w14:textFill>
            <w14:solidFill>
              <w14:schemeClr w14:val="tx1"/>
            </w14:solidFill>
          </w14:textFill>
        </w:rPr>
        <w:t>编写</w:t>
      </w:r>
      <w:r>
        <w:rPr>
          <w:rFonts w:hint="eastAsia" w:ascii="宋体" w:hAnsi="宋体" w:eastAsia="宋体" w:cs="宋体"/>
          <w:color w:val="000000" w:themeColor="text1"/>
          <w:sz w:val="24"/>
          <w:szCs w:val="24"/>
          <w14:textFill>
            <w14:solidFill>
              <w14:schemeClr w14:val="tx1"/>
            </w14:solidFill>
          </w14:textFill>
        </w:rPr>
        <w:t>规定》</w:t>
      </w:r>
      <w:r>
        <w:rPr>
          <w:rFonts w:hint="eastAsia" w:ascii="宋体" w:hAnsi="宋体" w:eastAsia="宋体" w:cs="宋体"/>
          <w:color w:val="000000" w:themeColor="text1"/>
          <w:sz w:val="24"/>
          <w:szCs w:val="24"/>
          <w:lang w:eastAsia="zh-CN"/>
          <w14:textFill>
            <w14:solidFill>
              <w14:schemeClr w14:val="tx1"/>
            </w14:solidFill>
          </w14:textFill>
        </w:rPr>
        <w:t>（建标〔2008〕</w:t>
      </w:r>
      <w:r>
        <w:rPr>
          <w:rFonts w:hint="eastAsia" w:ascii="宋体" w:hAnsi="宋体" w:eastAsia="宋体" w:cs="宋体"/>
          <w:color w:val="000000" w:themeColor="text1"/>
          <w:sz w:val="24"/>
          <w:szCs w:val="24"/>
          <w:lang w:val="en-US" w:eastAsia="zh-CN"/>
          <w14:textFill>
            <w14:solidFill>
              <w14:schemeClr w14:val="tx1"/>
            </w14:solidFill>
          </w14:textFill>
        </w:rPr>
        <w:t>182号</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进行编制。</w:t>
      </w:r>
      <w:r>
        <w:rPr>
          <w:rFonts w:hint="eastAsia" w:ascii="宋体" w:hAnsi="宋体" w:eastAsia="宋体" w:cs="宋体"/>
          <w:color w:val="000000" w:themeColor="text1"/>
          <w:sz w:val="24"/>
          <w:szCs w:val="24"/>
          <w:lang w:val="en-US" w:eastAsia="zh-CN"/>
          <w14:textFill>
            <w14:solidFill>
              <w14:schemeClr w14:val="tx1"/>
            </w14:solidFill>
          </w14:textFill>
        </w:rPr>
        <w:t>本规程</w:t>
      </w:r>
      <w:r>
        <w:rPr>
          <w:rFonts w:hint="eastAsia" w:ascii="宋体" w:hAnsi="宋体" w:eastAsia="宋体" w:cs="宋体"/>
          <w:color w:val="000000" w:themeColor="text1"/>
          <w:sz w:val="24"/>
          <w:szCs w:val="24"/>
          <w14:textFill>
            <w14:solidFill>
              <w14:schemeClr w14:val="tx1"/>
            </w14:solidFill>
          </w14:textFill>
        </w:rPr>
        <w:t>的制定满足我国技术发展和生产需要，充分体现行业进步和发展趋势，符合国家产业政策，推动行业技术水平的提高。</w:t>
      </w:r>
    </w:p>
    <w:p w14:paraId="35A7CED2">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Theme="majorEastAsia" w:hAnsiTheme="majorEastAsia" w:eastAsiaTheme="majorEastAsia"/>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标准编制过程中，</w:t>
      </w:r>
      <w:r>
        <w:rPr>
          <w:rFonts w:hint="eastAsia" w:ascii="宋体" w:hAnsi="宋体" w:eastAsia="宋体" w:cs="宋体"/>
          <w:color w:val="000000" w:themeColor="text1"/>
          <w:sz w:val="24"/>
          <w:szCs w:val="24"/>
          <w14:textFill>
            <w14:solidFill>
              <w14:schemeClr w14:val="tx1"/>
            </w14:solidFill>
          </w14:textFill>
        </w:rPr>
        <w:t>主要参考</w:t>
      </w:r>
      <w:r>
        <w:rPr>
          <w:rFonts w:hint="eastAsia" w:ascii="宋体" w:hAnsi="宋体" w:eastAsia="宋体" w:cs="宋体"/>
          <w:color w:val="000000" w:themeColor="text1"/>
          <w:sz w:val="24"/>
          <w:szCs w:val="24"/>
          <w:lang w:eastAsia="zh-CN"/>
          <w14:textFill>
            <w14:solidFill>
              <w14:schemeClr w14:val="tx1"/>
            </w14:solidFill>
          </w14:textFill>
        </w:rPr>
        <w:t>或</w:t>
      </w:r>
      <w:r>
        <w:rPr>
          <w:rFonts w:hint="eastAsia" w:ascii="宋体" w:hAnsi="宋体" w:eastAsia="宋体" w:cs="宋体"/>
          <w:color w:val="000000" w:themeColor="text1"/>
          <w:sz w:val="24"/>
          <w:szCs w:val="24"/>
          <w14:textFill>
            <w14:solidFill>
              <w14:schemeClr w14:val="tx1"/>
            </w14:solidFill>
          </w14:textFill>
        </w:rPr>
        <w:t>引用标准</w:t>
      </w:r>
      <w:r>
        <w:rPr>
          <w:rFonts w:hint="eastAsia" w:ascii="宋体" w:hAnsi="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lang w:val="en-US" w:eastAsia="zh-CN"/>
          <w14:textFill>
            <w14:solidFill>
              <w14:schemeClr w14:val="tx1"/>
            </w14:solidFill>
          </w14:textFill>
        </w:rPr>
        <w:t>项，其中国家标准1</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项，行业标准5项。</w:t>
      </w:r>
    </w:p>
    <w:p w14:paraId="5E07E608">
      <w:pPr>
        <w:pStyle w:val="27"/>
        <w:spacing w:before="312" w:after="312"/>
        <w:ind w:left="0"/>
        <w:rPr>
          <w:color w:val="000000" w:themeColor="text1"/>
          <w:sz w:val="28"/>
          <w:szCs w:val="28"/>
          <w14:textFill>
            <w14:solidFill>
              <w14:schemeClr w14:val="tx1"/>
            </w14:solidFill>
          </w14:textFill>
        </w:rPr>
      </w:pPr>
      <w:bookmarkStart w:id="17" w:name="_Toc39166866"/>
      <w:bookmarkEnd w:id="17"/>
      <w:bookmarkStart w:id="18" w:name="_Toc39166801"/>
      <w:bookmarkEnd w:id="18"/>
      <w:bookmarkStart w:id="19" w:name="_Toc38976164"/>
      <w:bookmarkEnd w:id="19"/>
      <w:bookmarkStart w:id="20" w:name="_Toc39166862"/>
      <w:bookmarkEnd w:id="20"/>
      <w:bookmarkStart w:id="21" w:name="_Toc39166806"/>
      <w:bookmarkEnd w:id="21"/>
      <w:bookmarkStart w:id="22" w:name="_Toc39166807"/>
      <w:bookmarkEnd w:id="22"/>
      <w:bookmarkStart w:id="23" w:name="_Toc38976166"/>
      <w:bookmarkEnd w:id="23"/>
      <w:bookmarkStart w:id="24" w:name="_Toc38976161"/>
      <w:bookmarkEnd w:id="24"/>
      <w:bookmarkStart w:id="25" w:name="_Toc39166865"/>
      <w:bookmarkEnd w:id="25"/>
      <w:bookmarkStart w:id="26" w:name="_Toc39166803"/>
      <w:bookmarkEnd w:id="26"/>
      <w:bookmarkStart w:id="27" w:name="_Toc39166863"/>
      <w:bookmarkEnd w:id="27"/>
      <w:bookmarkStart w:id="28" w:name="_Toc39166861"/>
      <w:bookmarkEnd w:id="28"/>
      <w:bookmarkStart w:id="29" w:name="_Toc39166805"/>
      <w:bookmarkEnd w:id="29"/>
      <w:bookmarkStart w:id="30" w:name="_Toc38976167"/>
      <w:bookmarkEnd w:id="30"/>
      <w:bookmarkStart w:id="31" w:name="_Toc38976162"/>
      <w:bookmarkEnd w:id="31"/>
      <w:bookmarkStart w:id="32" w:name="_Toc39166804"/>
      <w:bookmarkEnd w:id="32"/>
      <w:bookmarkStart w:id="33" w:name="_Toc39166860"/>
      <w:bookmarkEnd w:id="33"/>
      <w:bookmarkStart w:id="34" w:name="_Toc39166802"/>
      <w:bookmarkEnd w:id="34"/>
      <w:bookmarkStart w:id="35" w:name="_Toc38976165"/>
      <w:bookmarkEnd w:id="35"/>
      <w:bookmarkStart w:id="36" w:name="_Toc39166864"/>
      <w:bookmarkEnd w:id="36"/>
      <w:bookmarkStart w:id="37" w:name="_Toc38976163"/>
      <w:bookmarkEnd w:id="37"/>
      <w:bookmarkStart w:id="38" w:name="_Toc7425"/>
      <w:r>
        <w:rPr>
          <w:rFonts w:hint="eastAsia"/>
          <w:color w:val="000000" w:themeColor="text1"/>
          <w:sz w:val="28"/>
          <w:szCs w:val="28"/>
          <w14:textFill>
            <w14:solidFill>
              <w14:schemeClr w14:val="tx1"/>
            </w14:solidFill>
          </w14:textFill>
        </w:rPr>
        <w:t>标准主要内容和试验方法说明</w:t>
      </w:r>
      <w:bookmarkEnd w:id="38"/>
    </w:p>
    <w:p w14:paraId="634A2661">
      <w:pPr>
        <w:pStyle w:val="26"/>
        <w:spacing w:before="156" w:after="156" w:line="500" w:lineRule="exact"/>
        <w:rPr>
          <w:color w:val="000000" w:themeColor="text1"/>
          <w:sz w:val="24"/>
          <w:szCs w:val="24"/>
          <w14:textFill>
            <w14:solidFill>
              <w14:schemeClr w14:val="tx1"/>
            </w14:solidFill>
          </w14:textFill>
        </w:rPr>
      </w:pPr>
      <w:bookmarkStart w:id="39" w:name="_Toc32416"/>
      <w:r>
        <w:rPr>
          <w:rFonts w:hint="eastAsia"/>
          <w:color w:val="000000" w:themeColor="text1"/>
          <w:sz w:val="24"/>
          <w:szCs w:val="24"/>
          <w14:textFill>
            <w14:solidFill>
              <w14:schemeClr w14:val="tx1"/>
            </w14:solidFill>
          </w14:textFill>
        </w:rPr>
        <w:t>标准适用范围</w:t>
      </w:r>
      <w:bookmarkEnd w:id="39"/>
    </w:p>
    <w:p w14:paraId="269F48AD">
      <w:pPr>
        <w:spacing w:line="50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bookmarkStart w:id="40" w:name="_Toc39166814"/>
      <w:bookmarkEnd w:id="40"/>
      <w:bookmarkStart w:id="41" w:name="_Toc39166817"/>
      <w:bookmarkEnd w:id="41"/>
      <w:bookmarkStart w:id="42" w:name="_Toc39166811"/>
      <w:bookmarkEnd w:id="42"/>
      <w:bookmarkStart w:id="43" w:name="_Toc39166825"/>
      <w:bookmarkEnd w:id="43"/>
      <w:bookmarkStart w:id="44" w:name="_Toc39166813"/>
      <w:bookmarkEnd w:id="44"/>
      <w:bookmarkStart w:id="45" w:name="_Toc39166876"/>
      <w:bookmarkEnd w:id="45"/>
      <w:bookmarkStart w:id="46" w:name="_Toc39166824"/>
      <w:bookmarkEnd w:id="46"/>
      <w:bookmarkStart w:id="47" w:name="_Toc39166815"/>
      <w:bookmarkEnd w:id="47"/>
      <w:bookmarkStart w:id="48" w:name="_Toc38976185"/>
      <w:bookmarkEnd w:id="48"/>
      <w:bookmarkStart w:id="49" w:name="_Toc39166873"/>
      <w:bookmarkEnd w:id="49"/>
      <w:bookmarkStart w:id="50" w:name="_Toc39166819"/>
      <w:bookmarkEnd w:id="50"/>
      <w:bookmarkStart w:id="51" w:name="_Toc39166881"/>
      <w:bookmarkEnd w:id="51"/>
      <w:bookmarkStart w:id="52" w:name="_Toc38976175"/>
      <w:bookmarkEnd w:id="52"/>
      <w:bookmarkStart w:id="53" w:name="_Toc39166884"/>
      <w:bookmarkEnd w:id="53"/>
      <w:bookmarkStart w:id="54" w:name="_Toc38976176"/>
      <w:bookmarkEnd w:id="54"/>
      <w:bookmarkStart w:id="55" w:name="_Toc39166812"/>
      <w:bookmarkEnd w:id="55"/>
      <w:bookmarkStart w:id="56" w:name="_Toc39166822"/>
      <w:bookmarkEnd w:id="56"/>
      <w:bookmarkStart w:id="57" w:name="_Toc38976179"/>
      <w:bookmarkEnd w:id="57"/>
      <w:bookmarkStart w:id="58" w:name="_Toc39166816"/>
      <w:bookmarkEnd w:id="58"/>
      <w:bookmarkStart w:id="59" w:name="_Toc39166877"/>
      <w:bookmarkEnd w:id="59"/>
      <w:bookmarkStart w:id="60" w:name="_Toc39166878"/>
      <w:bookmarkEnd w:id="60"/>
      <w:bookmarkStart w:id="61" w:name="_Toc38976182"/>
      <w:bookmarkEnd w:id="61"/>
      <w:bookmarkStart w:id="62" w:name="_Toc38976183"/>
      <w:bookmarkEnd w:id="62"/>
      <w:bookmarkStart w:id="63" w:name="_Toc39166818"/>
      <w:bookmarkEnd w:id="63"/>
      <w:bookmarkStart w:id="64" w:name="_Toc39166879"/>
      <w:bookmarkEnd w:id="64"/>
      <w:bookmarkStart w:id="65" w:name="_Toc39166821"/>
      <w:bookmarkEnd w:id="65"/>
      <w:bookmarkStart w:id="66" w:name="_Toc38976181"/>
      <w:bookmarkEnd w:id="66"/>
      <w:bookmarkStart w:id="67" w:name="_Toc39166875"/>
      <w:bookmarkEnd w:id="67"/>
      <w:bookmarkStart w:id="68" w:name="_Toc39166883"/>
      <w:bookmarkEnd w:id="68"/>
      <w:bookmarkStart w:id="69" w:name="_Toc39166880"/>
      <w:bookmarkEnd w:id="69"/>
      <w:bookmarkStart w:id="70" w:name="_Toc38976170"/>
      <w:bookmarkEnd w:id="70"/>
      <w:bookmarkStart w:id="71" w:name="_Toc39166882"/>
      <w:bookmarkEnd w:id="71"/>
      <w:bookmarkStart w:id="72" w:name="_Toc39166874"/>
      <w:bookmarkEnd w:id="72"/>
      <w:bookmarkStart w:id="73" w:name="_Toc39166869"/>
      <w:bookmarkEnd w:id="73"/>
      <w:bookmarkStart w:id="74" w:name="_Toc38976184"/>
      <w:bookmarkEnd w:id="74"/>
      <w:bookmarkStart w:id="75" w:name="_Toc38976173"/>
      <w:bookmarkEnd w:id="75"/>
      <w:bookmarkStart w:id="76" w:name="_Toc38976174"/>
      <w:bookmarkEnd w:id="76"/>
      <w:bookmarkStart w:id="77" w:name="_Toc39166810"/>
      <w:bookmarkEnd w:id="77"/>
      <w:bookmarkStart w:id="78" w:name="_Toc39166871"/>
      <w:bookmarkEnd w:id="78"/>
      <w:bookmarkStart w:id="79" w:name="_Toc38976171"/>
      <w:bookmarkEnd w:id="79"/>
      <w:bookmarkStart w:id="80" w:name="_Toc38976180"/>
      <w:bookmarkEnd w:id="80"/>
      <w:bookmarkStart w:id="81" w:name="_Toc39166872"/>
      <w:bookmarkEnd w:id="81"/>
      <w:bookmarkStart w:id="82" w:name="_Toc38976177"/>
      <w:bookmarkEnd w:id="82"/>
      <w:bookmarkStart w:id="83" w:name="_Toc39166870"/>
      <w:bookmarkEnd w:id="83"/>
      <w:bookmarkStart w:id="84" w:name="_Toc39166823"/>
      <w:bookmarkEnd w:id="84"/>
      <w:bookmarkStart w:id="85" w:name="_Toc38976178"/>
      <w:bookmarkEnd w:id="85"/>
      <w:bookmarkStart w:id="86" w:name="_Toc39166820"/>
      <w:bookmarkEnd w:id="86"/>
      <w:bookmarkStart w:id="87" w:name="_Toc38976172"/>
      <w:bookmarkEnd w:id="87"/>
      <w:r>
        <w:rPr>
          <w:rFonts w:hint="eastAsia" w:ascii="宋体" w:hAnsi="宋体" w:eastAsia="宋体" w:cs="宋体"/>
          <w:color w:val="000000" w:themeColor="text1"/>
          <w:sz w:val="24"/>
          <w:szCs w:val="24"/>
          <w:lang w:eastAsia="zh-CN"/>
          <w14:textFill>
            <w14:solidFill>
              <w14:schemeClr w14:val="tx1"/>
            </w14:solidFill>
          </w14:textFill>
        </w:rPr>
        <w:t>本规程</w:t>
      </w:r>
      <w:r>
        <w:rPr>
          <w:rFonts w:hint="eastAsia" w:ascii="宋体" w:hAnsi="宋体" w:eastAsia="宋体" w:cs="宋体"/>
          <w:color w:val="000000" w:themeColor="text1"/>
          <w:sz w:val="24"/>
          <w:szCs w:val="24"/>
          <w:lang w:val="en-US" w:eastAsia="zh-CN"/>
          <w14:textFill>
            <w14:solidFill>
              <w14:schemeClr w14:val="tx1"/>
            </w14:solidFill>
          </w14:textFill>
        </w:rPr>
        <w:t>由8章，其内容包括：总则、术语、基本规定、材料、设计、施工、质量检验与验收、维护与保养。</w:t>
      </w:r>
    </w:p>
    <w:p w14:paraId="209513E9">
      <w:pPr>
        <w:spacing w:line="500" w:lineRule="exact"/>
        <w:ind w:firstLine="480" w:firstLineChars="20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asciiTheme="majorEastAsia" w:hAnsiTheme="majorEastAsia" w:eastAsiaTheme="majorEastAsia"/>
          <w:color w:val="000000" w:themeColor="text1"/>
          <w:sz w:val="24"/>
          <w:szCs w:val="24"/>
          <w14:textFill>
            <w14:solidFill>
              <w14:schemeClr w14:val="tx1"/>
            </w14:solidFill>
          </w14:textFill>
        </w:rPr>
        <w:t>适用于新建、改建、扩建及维修的民用与工业建筑室内外地面的防滑剂应用工程，其他建设工程可参照执行。</w:t>
      </w:r>
    </w:p>
    <w:p w14:paraId="3C319972">
      <w:pPr>
        <w:pStyle w:val="26"/>
        <w:spacing w:before="156" w:after="156"/>
        <w:rPr>
          <w:color w:val="000000" w:themeColor="text1"/>
          <w:sz w:val="24"/>
          <w:szCs w:val="24"/>
          <w:highlight w:val="none"/>
          <w14:textFill>
            <w14:solidFill>
              <w14:schemeClr w14:val="tx1"/>
            </w14:solidFill>
          </w14:textFill>
        </w:rPr>
      </w:pPr>
      <w:bookmarkStart w:id="88" w:name="_Toc9420"/>
      <w:r>
        <w:rPr>
          <w:rFonts w:hint="eastAsia"/>
          <w:color w:val="000000" w:themeColor="text1"/>
          <w:sz w:val="24"/>
          <w:szCs w:val="24"/>
          <w:highlight w:val="none"/>
          <w14:textFill>
            <w14:solidFill>
              <w14:schemeClr w14:val="tx1"/>
            </w14:solidFill>
          </w14:textFill>
        </w:rPr>
        <w:t>术语和定义</w:t>
      </w:r>
      <w:bookmarkEnd w:id="88"/>
    </w:p>
    <w:p w14:paraId="3A2B49C0">
      <w:pPr>
        <w:spacing w:line="360" w:lineRule="auto"/>
        <w:ind w:firstLine="480" w:firstLineChars="20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术语和定义是对标准中有关名词的释义。本文件针对</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地面防滑剂相关概念</w:t>
      </w:r>
      <w:r>
        <w:rPr>
          <w:rFonts w:hint="eastAsia" w:asciiTheme="majorEastAsia" w:hAnsiTheme="majorEastAsia" w:eastAsiaTheme="majorEastAsia"/>
          <w:color w:val="000000" w:themeColor="text1"/>
          <w:sz w:val="24"/>
          <w:szCs w:val="24"/>
          <w14:textFill>
            <w14:solidFill>
              <w14:schemeClr w14:val="tx1"/>
            </w14:solidFill>
          </w14:textFill>
        </w:rPr>
        <w:t>给予明确定义。</w:t>
      </w:r>
    </w:p>
    <w:p w14:paraId="1082479B">
      <w:pPr>
        <w:pStyle w:val="26"/>
        <w:spacing w:before="156" w:after="156" w:line="500" w:lineRule="exact"/>
        <w:rPr>
          <w:color w:val="000000" w:themeColor="text1"/>
          <w:sz w:val="24"/>
          <w:szCs w:val="24"/>
          <w14:textFill>
            <w14:solidFill>
              <w14:schemeClr w14:val="tx1"/>
            </w14:solidFill>
          </w14:textFill>
        </w:rPr>
      </w:pPr>
      <w:bookmarkStart w:id="89" w:name="_Toc28961"/>
      <w:r>
        <w:rPr>
          <w:rFonts w:hint="eastAsia"/>
          <w:color w:val="000000" w:themeColor="text1"/>
          <w:sz w:val="24"/>
          <w:szCs w:val="24"/>
          <w14:textFill>
            <w14:solidFill>
              <w14:schemeClr w14:val="tx1"/>
            </w14:solidFill>
          </w14:textFill>
        </w:rPr>
        <w:t>性能指标</w:t>
      </w:r>
      <w:r>
        <w:rPr>
          <w:rFonts w:hint="eastAsia"/>
          <w:color w:val="000000" w:themeColor="text1"/>
          <w:sz w:val="24"/>
          <w:szCs w:val="24"/>
          <w:lang w:eastAsia="zh-CN"/>
          <w14:textFill>
            <w14:solidFill>
              <w14:schemeClr w14:val="tx1"/>
            </w14:solidFill>
          </w14:textFill>
        </w:rPr>
        <w:t>及试验方法</w:t>
      </w:r>
      <w:bookmarkEnd w:id="89"/>
    </w:p>
    <w:p w14:paraId="12F1C055">
      <w:pPr>
        <w:spacing w:line="500" w:lineRule="exact"/>
        <w:ind w:firstLine="480"/>
        <w:rPr>
          <w:rFonts w:hint="eastAsia" w:asciiTheme="majorEastAsia" w:hAnsiTheme="majorEastAsia" w:eastAsiaTheme="majorEastAsia"/>
          <w:b/>
          <w:bCs/>
          <w:color w:val="000000" w:themeColor="text1"/>
          <w:sz w:val="24"/>
          <w:szCs w:val="24"/>
          <w:lang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1</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 xml:space="preserve"> </w:t>
      </w:r>
      <w:r>
        <w:rPr>
          <w:rFonts w:hint="eastAsia" w:asciiTheme="majorEastAsia" w:hAnsiTheme="majorEastAsia" w:eastAsiaTheme="majorEastAsia"/>
          <w:b/>
          <w:bCs/>
          <w:color w:val="000000" w:themeColor="text1"/>
          <w:sz w:val="24"/>
          <w:szCs w:val="24"/>
          <w14:textFill>
            <w14:solidFill>
              <w14:schemeClr w14:val="tx1"/>
            </w14:solidFill>
          </w14:textFill>
        </w:rPr>
        <w:t>性能要求</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4.2章节</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p>
    <w:p w14:paraId="417D2C14">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针对地面防滑剂产品本体及经防滑处理后的地面表层建立完整技术考核体系。指标设置在充分调研国内主流产品、大量工程实证数据基础上，兼顾国内产业现状，同时面向安全耐久、绿色环保、风险预控的工程需求，体现标准先进性；全部试验方法优先采用现行国家、行业标准，不自创检测方法，保证检测结果的溯源性、复现性，便于第三方机构落地实施。</w:t>
      </w:r>
    </w:p>
    <w:p w14:paraId="13F0923B">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理化性能（表4.2.1）</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设置密度、粘度、pH值、耐热</w:t>
      </w:r>
      <w:r>
        <w:rPr>
          <w:rFonts w:hint="eastAsia" w:asciiTheme="majorEastAsia" w:hAnsiTheme="majorEastAsia" w:eastAsiaTheme="majorEastAsia"/>
          <w:color w:val="000000" w:themeColor="text1"/>
          <w:sz w:val="24"/>
          <w:szCs w:val="24"/>
          <w14:textFill>
            <w14:solidFill>
              <w14:schemeClr w14:val="tx1"/>
            </w14:solidFill>
          </w14:textFill>
        </w:rPr>
        <w:noBreakHyphen/>
      </w:r>
      <w:r>
        <w:rPr>
          <w:rFonts w:hint="eastAsia" w:asciiTheme="majorEastAsia" w:hAnsiTheme="majorEastAsia" w:eastAsiaTheme="majorEastAsia"/>
          <w:color w:val="000000" w:themeColor="text1"/>
          <w:sz w:val="24"/>
          <w:szCs w:val="24"/>
          <w14:textFill>
            <w14:solidFill>
              <w14:schemeClr w14:val="tx1"/>
            </w14:solidFill>
          </w14:textFill>
        </w:rPr>
        <w:t>耐寒稳定性、表干干燥时间五项关键理化指标。针对防滑剂多组分复配水性制剂特点，控制密度、粘度、pH实测值与产品标称值误差＜±5%，实现对产品配方一致性、批次稳定性的管控，解决行业内同类产品批次波动大、现场防滑效果离散的行业痛点。高低温稳定性模拟我国南北方储运、温差波动工况，通过40℃、</w:t>
      </w:r>
      <w:r>
        <w:rPr>
          <w:rFonts w:hint="eastAsia" w:asciiTheme="majorEastAsia" w:hAnsiTheme="majorEastAsia" w:eastAsiaTheme="majorEastAsia"/>
          <w:color w:val="000000" w:themeColor="text1"/>
          <w:sz w:val="24"/>
          <w:szCs w:val="24"/>
          <w14:textFill>
            <w14:solidFill>
              <w14:schemeClr w14:val="tx1"/>
            </w14:solidFill>
          </w14:textFill>
        </w:rPr>
        <w:noBreakHyphen/>
      </w:r>
      <w:r>
        <w:rPr>
          <w:rFonts w:hint="eastAsia" w:asciiTheme="majorEastAsia" w:hAnsiTheme="majorEastAsia" w:eastAsiaTheme="majorEastAsia"/>
          <w:color w:val="000000" w:themeColor="text1"/>
          <w:sz w:val="24"/>
          <w:szCs w:val="24"/>
          <w14:textFill>
            <w14:solidFill>
              <w14:schemeClr w14:val="tx1"/>
            </w14:solidFill>
          </w14:textFill>
        </w:rPr>
        <w:t>10℃交变储存考核产品在极端储运条件下不分层、无沉淀、不变质失效，保障跨区域工程应用可靠性。表干时间≤0.5h，适配建筑工程快速施工、快速开放通行的现场需求，降低施工现场封闭时间。试验方法引用GB/T 611、GB/T 10247、GB/T 6368、GB/T 1728等现行标准。</w:t>
      </w:r>
    </w:p>
    <w:p w14:paraId="13E4A78B">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有害物质限值（表4.2.2）</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地面防滑剂应用于人员高频接触的室内外地面，本规程对标建筑涂料强制性环保指标体系，严格限定VOC、甲醛、苯系物、可溶性重金属等有害物质，与现行绿色建筑、民用建筑室内环境污染控制要求衔接。相较于行业以往仅关注防滑性能、缺少统一环保准入门槛的现状，</w:t>
      </w:r>
      <w:r>
        <w:rPr>
          <w:rFonts w:hint="eastAsia"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asciiTheme="majorEastAsia" w:hAnsiTheme="majorEastAsia" w:eastAsiaTheme="majorEastAsia"/>
          <w:color w:val="000000" w:themeColor="text1"/>
          <w:sz w:val="24"/>
          <w:szCs w:val="24"/>
          <w14:textFill>
            <w14:solidFill>
              <w14:schemeClr w14:val="tx1"/>
            </w14:solidFill>
          </w14:textFill>
        </w:rPr>
        <w:t>将有害物质限值列为产品重要考核项目，推动防滑剂产品绿色化升级，从源头控制化学品带来的室内环境风险。试验方法采用GB 18582、GB 30981.1</w:t>
      </w:r>
      <w:r>
        <w:rPr>
          <w:rFonts w:hint="eastAsia" w:asciiTheme="majorEastAsia" w:hAnsiTheme="majorEastAsia" w:eastAsiaTheme="majorEastAsia"/>
          <w:color w:val="000000" w:themeColor="text1"/>
          <w:sz w:val="24"/>
          <w:szCs w:val="24"/>
          <w14:textFill>
            <w14:solidFill>
              <w14:schemeClr w14:val="tx1"/>
            </w14:solidFill>
          </w14:textFill>
        </w:rPr>
        <w:noBreakHyphen/>
      </w:r>
      <w:r>
        <w:rPr>
          <w:rFonts w:hint="eastAsia" w:asciiTheme="majorEastAsia" w:hAnsiTheme="majorEastAsia" w:eastAsiaTheme="majorEastAsia"/>
          <w:color w:val="000000" w:themeColor="text1"/>
          <w:sz w:val="24"/>
          <w:szCs w:val="24"/>
          <w14:textFill>
            <w14:solidFill>
              <w14:schemeClr w14:val="tx1"/>
            </w14:solidFill>
          </w14:textFill>
        </w:rPr>
        <w:t>2025等现行国标，与国内环保检测体系保持一致。</w:t>
      </w:r>
    </w:p>
    <w:p w14:paraId="5250D84C">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经防滑处理后地面表层性能（表4.2.3）</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国内现有标准大多仅对成品地砖提出防滑要求，缺少防滑剂处理后地材表层的成套耐久性能评价。本规程建立统一试样制备条件，采用GB/T 4100</w:t>
      </w:r>
      <w:r>
        <w:rPr>
          <w:rFonts w:hint="eastAsia" w:asciiTheme="majorEastAsia" w:hAnsiTheme="majorEastAsia" w:eastAsiaTheme="majorEastAsia"/>
          <w:color w:val="000000" w:themeColor="text1"/>
          <w:sz w:val="24"/>
          <w:szCs w:val="24"/>
          <w14:textFill>
            <w14:solidFill>
              <w14:schemeClr w14:val="tx1"/>
            </w14:solidFill>
          </w14:textFill>
        </w:rPr>
        <w:noBreakHyphen/>
      </w:r>
      <w:r>
        <w:rPr>
          <w:rFonts w:hint="eastAsia" w:asciiTheme="majorEastAsia" w:hAnsiTheme="majorEastAsia" w:eastAsiaTheme="majorEastAsia"/>
          <w:color w:val="000000" w:themeColor="text1"/>
          <w:sz w:val="24"/>
          <w:szCs w:val="24"/>
          <w14:textFill>
            <w14:solidFill>
              <w14:schemeClr w14:val="tx1"/>
            </w14:solidFill>
          </w14:textFill>
        </w:rPr>
        <w:t>2015规定BIb砖作为标准基材，模拟真实施工工艺制备试样，实现不同品牌防滑剂产品横向可比。除规定干、湿态防滑性能最低阈值外，创新性将耐磨、耐酸碱腐蚀、耐水浸泡、人工加速老化纳入成套考核，明确经历环境模拟试验后防滑性能下降不得大于5%，改变以往行业只测初始防滑值、不考核耐久保持能力的现状，倒逼产品兼顾初始防滑效果与长期服役性能。抗裂性、附着强度指标针对性区分适用对象，仅对涂层型防滑剂进行考核，渗透型防滑剂不作要求，指标设置科学区分产品类别，避免无效检测。外观指标控制处理后地面变色、裂纹缺陷，兼顾防滑功能与原地面装饰效果，解决工程中容易出现的失光、色差问题。各项性能试验均引用陶瓷砖、涂料相关国标方法。</w:t>
      </w:r>
    </w:p>
    <w:p w14:paraId="46A5236E">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试样制备先进性说明：统一规定试样基材、涂刷工艺、静置反应、冲洗干燥流程，消除试样制备环节人为差异，解决行业过去试样条件不统一、检测结果不可对比的突出问题。</w:t>
      </w:r>
    </w:p>
    <w:p w14:paraId="2575DEB5">
      <w:pPr>
        <w:spacing w:line="500" w:lineRule="exact"/>
        <w:ind w:firstLine="480"/>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 xml:space="preserve">2 </w:t>
      </w:r>
      <w:r>
        <w:rPr>
          <w:rFonts w:hint="eastAsia" w:asciiTheme="majorEastAsia" w:hAnsiTheme="majorEastAsia" w:eastAsiaTheme="majorEastAsia"/>
          <w:b/>
          <w:bCs/>
          <w:color w:val="000000" w:themeColor="text1"/>
          <w:sz w:val="24"/>
          <w:szCs w:val="24"/>
          <w14:textFill>
            <w14:solidFill>
              <w14:schemeClr w14:val="tx1"/>
            </w14:solidFill>
          </w14:textFill>
        </w:rPr>
        <w:t>标志、运输和贮存</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4.3章节</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p>
    <w:p w14:paraId="3F520169">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在常规建材标识基础上，强化防滑剂化学品属性管控，明确合格证、中文说明书、型式检验报告的交付要求；保质期不低于3年是基于产品稳定性试验与行业工程调研综合确定；同时增加儿童接触风险的安全提示，落实化学品使用安全，体现标准安全预控理念。</w:t>
      </w:r>
    </w:p>
    <w:p w14:paraId="1811F631">
      <w:pPr>
        <w:spacing w:line="500" w:lineRule="exact"/>
        <w:ind w:firstLine="480"/>
        <w:rPr>
          <w:rFonts w:hint="eastAsia" w:asciiTheme="majorEastAsia" w:hAnsiTheme="majorEastAsia" w:eastAsiaTheme="majorEastAsia"/>
          <w:b/>
          <w:bCs/>
          <w:color w:val="000000" w:themeColor="text1"/>
          <w:sz w:val="24"/>
          <w:szCs w:val="24"/>
          <w:lang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 xml:space="preserve">3 </w:t>
      </w:r>
      <w:r>
        <w:rPr>
          <w:rFonts w:hint="eastAsia" w:asciiTheme="majorEastAsia" w:hAnsiTheme="majorEastAsia" w:eastAsiaTheme="majorEastAsia"/>
          <w:b/>
          <w:bCs/>
          <w:color w:val="000000" w:themeColor="text1"/>
          <w:sz w:val="24"/>
          <w:szCs w:val="24"/>
          <w14:textFill>
            <w14:solidFill>
              <w14:schemeClr w14:val="tx1"/>
            </w14:solidFill>
          </w14:textFill>
        </w:rPr>
        <w:t>设计、施工、质量检验与验收涉及性能检测</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第5、6、7章</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p>
    <w:p w14:paraId="12F19DD9">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防滑性能评价体系与JGJ/T 331体系完全兼容，沿用干态静摩擦系数COF、湿态摆式阻滑值BPN的分级方法。创新提出防滑性能双向管控理念：既规定防滑等级下限保障防跌倒安全，又针对老年人照料设施、无障碍场所增设防滑指标参考上限，避免摩擦系数过高造成老年人抬脚阻滞引发绊倒风险，突破以往标准仅设置防滑下限的局限，兼顾“防滑”与“防绊倒”双重安全目标。该上限为工程参考控制指标，不作为强制判定依据。</w:t>
      </w:r>
    </w:p>
    <w:p w14:paraId="2B207884">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区分出厂检验与型式检验项目：出厂检验重点管控理化指标实现生产端质量把控；型式检验覆盖理化、环保、表层全套耐久性能。工程验收以养护完成后现场实测防滑性能为核心，检验批抽样规则与现行行业规程保持一致，实现产品实验室检测和工程现场验证相结合，规避“实验室合格，现场工程不达标”的行业常见问题。</w:t>
      </w:r>
    </w:p>
    <w:p w14:paraId="1CCE8097">
      <w:pPr>
        <w:spacing w:line="500" w:lineRule="exact"/>
        <w:ind w:firstLine="480"/>
        <w:rPr>
          <w:rFonts w:hint="eastAsia" w:asciiTheme="majorEastAsia" w:hAnsiTheme="majorEastAsia" w:eastAsiaTheme="majorEastAsia"/>
          <w:b/>
          <w:bCs/>
          <w:color w:val="000000" w:themeColor="text1"/>
          <w:sz w:val="24"/>
          <w:szCs w:val="24"/>
          <w14:textFill>
            <w14:solidFill>
              <w14:schemeClr w14:val="tx1"/>
            </w14:solidFill>
          </w14:textFill>
        </w:rPr>
      </w:pP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 xml:space="preserve">4 </w:t>
      </w:r>
      <w:r>
        <w:rPr>
          <w:rFonts w:hint="eastAsia" w:asciiTheme="majorEastAsia" w:hAnsiTheme="majorEastAsia" w:eastAsiaTheme="majorEastAsia"/>
          <w:b/>
          <w:bCs/>
          <w:color w:val="000000" w:themeColor="text1"/>
          <w:sz w:val="24"/>
          <w:szCs w:val="24"/>
          <w14:textFill>
            <w14:solidFill>
              <w14:schemeClr w14:val="tx1"/>
            </w14:solidFill>
          </w14:textFill>
        </w:rPr>
        <w:t>维护与保养性能复核</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第</w:t>
      </w:r>
      <w:r>
        <w:rPr>
          <w:rFonts w:hint="eastAsia" w:asciiTheme="majorEastAsia" w:hAnsiTheme="majorEastAsia" w:eastAsiaTheme="majorEastAsia"/>
          <w:b/>
          <w:bCs/>
          <w:color w:val="000000" w:themeColor="text1"/>
          <w:sz w:val="24"/>
          <w:szCs w:val="24"/>
          <w14:textFill>
            <w14:solidFill>
              <w14:schemeClr w14:val="tx1"/>
            </w14:solidFill>
          </w14:textFill>
        </w:rPr>
        <w:t>8</w:t>
      </w:r>
      <w:r>
        <w:rPr>
          <w:rFonts w:hint="eastAsia" w:asciiTheme="majorEastAsia" w:hAnsiTheme="majorEastAsia" w:eastAsiaTheme="majorEastAsia"/>
          <w:b/>
          <w:bCs/>
          <w:color w:val="000000" w:themeColor="text1"/>
          <w:sz w:val="24"/>
          <w:szCs w:val="24"/>
          <w:lang w:val="en-US" w:eastAsia="zh-CN"/>
          <w14:textFill>
            <w14:solidFill>
              <w14:schemeClr w14:val="tx1"/>
            </w14:solidFill>
          </w14:textFill>
        </w:rPr>
        <w:t>章</w:t>
      </w:r>
      <w:r>
        <w:rPr>
          <w:rFonts w:hint="eastAsia" w:asciiTheme="majorEastAsia" w:hAnsiTheme="majorEastAsia" w:eastAsiaTheme="majorEastAsia"/>
          <w:b/>
          <w:bCs/>
          <w:color w:val="000000" w:themeColor="text1"/>
          <w:sz w:val="24"/>
          <w:szCs w:val="24"/>
          <w:lang w:eastAsia="zh-CN"/>
          <w14:textFill>
            <w14:solidFill>
              <w14:schemeClr w14:val="tx1"/>
            </w14:solidFill>
          </w14:textFill>
        </w:rPr>
        <w:t>）</w:t>
      </w:r>
    </w:p>
    <w:p w14:paraId="49C1E8BD">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基于大量工程回访、防滑效果衰减跟踪数据，建立分场所差异化防滑性能复测制度，区分高磨损场所、公共场所、住宅办公场所设置不同复测周期；明确防滑性能衰减至设计值80%时应开展复涂修复。把防滑性能管控延伸到交付后的使用运维阶段，打破多数建材标准“只管验收、不管后期服役”的局限，形成“产品</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设计</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施工</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验收</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运维”全链条技术管控，保障建筑全生命周期地面通行安全。</w:t>
      </w:r>
    </w:p>
    <w:p w14:paraId="1EA3AB5A">
      <w:pPr>
        <w:spacing w:line="500" w:lineRule="exact"/>
        <w:ind w:firstLine="480"/>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pP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3</w:t>
      </w:r>
      <w:r>
        <w:rPr>
          <w:rFonts w:hint="eastAsia" w:cs="Times New Roman" w:asciiTheme="majorEastAsia" w:hAnsiTheme="majorEastAsia" w:eastAsiaTheme="majorEastAsia"/>
          <w:b/>
          <w:bCs/>
          <w:color w:val="000000" w:themeColor="text1"/>
          <w:sz w:val="24"/>
          <w:szCs w:val="24"/>
          <w14:textFill>
            <w14:solidFill>
              <w14:schemeClr w14:val="tx1"/>
            </w14:solidFill>
          </w14:textFill>
        </w:rPr>
        <w:t>.</w:t>
      </w:r>
      <w:r>
        <w:rPr>
          <w:rFonts w:hint="eastAsia" w:cs="Times New Roman" w:asciiTheme="majorEastAsia" w:hAnsiTheme="majorEastAsia" w:eastAsiaTheme="majorEastAsia"/>
          <w:b/>
          <w:bCs/>
          <w:color w:val="000000" w:themeColor="text1"/>
          <w:sz w:val="24"/>
          <w:szCs w:val="24"/>
          <w:lang w:val="en-US" w:eastAsia="zh-CN"/>
          <w14:textFill>
            <w14:solidFill>
              <w14:schemeClr w14:val="tx1"/>
            </w14:solidFill>
          </w14:textFill>
        </w:rPr>
        <w:t>5总结</w:t>
      </w:r>
    </w:p>
    <w:p w14:paraId="7BAE943E">
      <w:p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综上，</w:t>
      </w:r>
      <w:r>
        <w:rPr>
          <w:rFonts w:hint="eastAsia"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asciiTheme="majorEastAsia" w:hAnsiTheme="majorEastAsia" w:eastAsiaTheme="majorEastAsia"/>
          <w:color w:val="000000" w:themeColor="text1"/>
          <w:sz w:val="24"/>
          <w:szCs w:val="24"/>
          <w14:textFill>
            <w14:solidFill>
              <w14:schemeClr w14:val="tx1"/>
            </w14:solidFill>
          </w14:textFill>
        </w:rPr>
        <w:t xml:space="preserve">的先进性主要体现在： </w:t>
      </w:r>
    </w:p>
    <w:p w14:paraId="66DD7206">
      <w:pPr>
        <w:numPr>
          <w:ilvl w:val="0"/>
          <w:numId w:val="8"/>
        </w:num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构建防滑剂产品本体</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处理后表层耐久</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工程现场实测</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后期运维复测的全链条技术评价体系；</w:t>
      </w:r>
    </w:p>
    <w:p w14:paraId="5A9B9C96">
      <w:pPr>
        <w:numPr>
          <w:ilvl w:val="0"/>
          <w:numId w:val="8"/>
        </w:num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统一试样制备流程，解决行业检测条件不一致、数据不可比对的痛点；</w:t>
      </w:r>
    </w:p>
    <w:p w14:paraId="44692935">
      <w:pPr>
        <w:numPr>
          <w:ilvl w:val="0"/>
          <w:numId w:val="8"/>
        </w:num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环保指标对标国内强制建材环保体系，填补防滑剂产品环保准入要求空白；</w:t>
      </w:r>
    </w:p>
    <w:p w14:paraId="0A1F0FD5">
      <w:pPr>
        <w:numPr>
          <w:ilvl w:val="0"/>
          <w:numId w:val="8"/>
        </w:num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创新防滑双向安全控制理念，兼顾防滑倒与防绊倒双重风险；</w:t>
      </w:r>
    </w:p>
    <w:p w14:paraId="33F6619F">
      <w:pPr>
        <w:numPr>
          <w:ilvl w:val="0"/>
          <w:numId w:val="8"/>
        </w:numPr>
        <w:spacing w:line="500" w:lineRule="exact"/>
        <w:ind w:firstLine="480"/>
        <w:rPr>
          <w:rFonts w:hint="eastAsia"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将性能管控延伸至运维阶段，实现建筑全生命周期防滑安全保障。</w:t>
      </w:r>
    </w:p>
    <w:p w14:paraId="060D7657">
      <w:pPr>
        <w:pStyle w:val="27"/>
        <w:spacing w:before="312" w:after="312"/>
        <w:ind w:left="0"/>
        <w:rPr>
          <w:color w:val="000000" w:themeColor="text1"/>
          <w:sz w:val="28"/>
          <w:szCs w:val="28"/>
          <w:highlight w:val="none"/>
          <w14:textFill>
            <w14:solidFill>
              <w14:schemeClr w14:val="tx1"/>
            </w14:solidFill>
          </w14:textFill>
        </w:rPr>
      </w:pPr>
      <w:bookmarkStart w:id="90" w:name="_Toc12228"/>
      <w:r>
        <w:rPr>
          <w:rFonts w:hint="eastAsia"/>
          <w:color w:val="000000" w:themeColor="text1"/>
          <w:sz w:val="28"/>
          <w:szCs w:val="28"/>
          <w:highlight w:val="none"/>
          <w14:textFill>
            <w14:solidFill>
              <w14:schemeClr w14:val="tx1"/>
            </w14:solidFill>
          </w14:textFill>
        </w:rPr>
        <w:t>标准主要试验项目验证情况分析</w:t>
      </w:r>
      <w:bookmarkEnd w:id="90"/>
    </w:p>
    <w:p w14:paraId="36E7BB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4.1 标准主要试验项目验证情况分析</w:t>
      </w:r>
    </w:p>
    <w:p w14:paraId="13DDBF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本规程编制过程中，起草工作组充分调研行业产品现状、收集第三方权威检测试验数据，结合多组基材对照试验、化学品安全评估、环保有害物质检测结果，对标准中理化性能、有害物质限值、处理后地面表层防滑及耐久性能、化学品安全、试样制备条件等核心技术指标与试验方法开展验证分析，验证样品覆盖玻化砖、釉面砖、大理石等工程常用矿物质地材，试验均采用国家现行有效标准方法，全部检测报告由具备CMA、CNAS资质第三方机构出具，为本规程指标限值确定、试验方法选取提供实测数据支撑。</w:t>
      </w:r>
    </w:p>
    <w:p w14:paraId="6C2FC5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 1.1 防滑性能指标验证</w:t>
      </w:r>
    </w:p>
    <w:p w14:paraId="60C440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为验证防滑剂对不同矿物基材防滑提升效果，分别对未处理基材、防滑剂处理后基材开展湿态摩擦系数对照试验，基材包含玻化砖、釉面砖、抛光大理石三类工程高频使用地材。</w:t>
      </w:r>
    </w:p>
    <w:p w14:paraId="4F2EA5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1）未涂刷防滑剂空白基材测试结果：玻化砖湿法摩擦系数0.48～0.49，釉面砖湿法摩擦系数0.48～0.49，抛光大理石湿态防滑系数0.48，均达不到通行地面安全防滑要求，证实抛光类矿物质地材湿态存在较高滑倒风险，是防滑剂改造的典型应用对象。</w:t>
      </w:r>
    </w:p>
    <w:p w14:paraId="6020C9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2）经防滑剂按规定工艺处理后试样测试结果：玻化砖湿法摩擦系数0.78～0.79，釉面砖湿法摩擦系数0.79～0.80，大理石湿态防滑系数0.75，全部满足本规程4.2.3中湿态静摩擦系数不小于0.7的指标要求，验证防滑剂可有效提升各类光滑矿物地材湿态防滑性能，标准设定的防滑性能下限具备工程现实可行性。</w:t>
      </w:r>
    </w:p>
    <w:p w14:paraId="0DDE94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本次验证同时确认：不同种类矿物基材初始防滑本底差异较大，统一试样基材、标准化施涂-静置-冲洗-干燥流程是实现不同产品横向比对的关键，支撑标准4.2.3中BIb砖试样制备规定的编制依据，可消除试样制备环节人为操作差异，解决行业过去试样条件不统一、检测结果不可比对的痛点。</w:t>
      </w:r>
    </w:p>
    <w:p w14:paraId="6B6594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4.1.2 有害物质及环保指标验证</w:t>
      </w:r>
    </w:p>
    <w:p w14:paraId="6A19F0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本规程4.2.2设置VOC、甲醛、苯系物、可溶性重金属等有害物质限值，参考建筑涂料强制性国标体系，同步结合国内产品实测与国际RoHS管控要求开展双重验证。</w:t>
      </w:r>
    </w:p>
    <w:p w14:paraId="032B731C">
      <w:pPr>
        <w:spacing w:line="500" w:lineRule="exact"/>
        <w:jc w:val="center"/>
        <w:rPr>
          <w:rFonts w:hint="eastAsia" w:ascii="黑体" w:hAnsi="Times New Roman" w:eastAsia="黑体" w:cs="Times New Roman"/>
          <w:color w:val="000000" w:themeColor="text1"/>
          <w:kern w:val="0"/>
          <w:sz w:val="28"/>
          <w:szCs w:val="28"/>
          <w:lang w:val="en-US" w:eastAsia="zh-CN" w:bidi="ar-SA"/>
          <w14:textFill>
            <w14:solidFill>
              <w14:schemeClr w14:val="tx1"/>
            </w14:solidFill>
          </w14:textFill>
        </w:rPr>
      </w:pPr>
      <w:r>
        <w:rPr>
          <w:rFonts w:hint="eastAsia" w:ascii="黑体" w:hAnsi="Times New Roman" w:eastAsia="黑体" w:cs="Times New Roman"/>
          <w:color w:val="000000" w:themeColor="text1"/>
          <w:kern w:val="0"/>
          <w:sz w:val="21"/>
          <w:szCs w:val="21"/>
          <w:lang w:val="en-US" w:eastAsia="zh-CN" w:bidi="ar-SA"/>
          <w14:textFill>
            <w14:solidFill>
              <w14:schemeClr w14:val="tx1"/>
            </w14:solidFill>
          </w14:textFill>
        </w:rPr>
        <w:t>表1 《地面防滑剂应用技术规程》验证试验数据汇总</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957"/>
        <w:gridCol w:w="1037"/>
        <w:gridCol w:w="1037"/>
        <w:gridCol w:w="1900"/>
        <w:gridCol w:w="1005"/>
        <w:gridCol w:w="816"/>
        <w:gridCol w:w="1374"/>
      </w:tblGrid>
      <w:tr w14:paraId="327E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116" w:type="dxa"/>
            <w:vMerge w:val="restart"/>
            <w:vAlign w:val="center"/>
          </w:tcPr>
          <w:p w14:paraId="77D63E94">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ascii="Times New Roman" w:hAnsi="Times New Roman" w:eastAsia="宋体" w:cs="Times New Roman"/>
                <w:color w:val="000000" w:themeColor="text1"/>
                <w:kern w:val="0"/>
                <w:sz w:val="18"/>
                <w:szCs w:val="18"/>
                <w14:textFill>
                  <w14:solidFill>
                    <w14:schemeClr w14:val="tx1"/>
                  </w14:solidFill>
                </w14:textFill>
              </w:rPr>
              <w:t>试样编号</w:t>
            </w:r>
          </w:p>
        </w:tc>
        <w:tc>
          <w:tcPr>
            <w:tcW w:w="957" w:type="dxa"/>
            <w:vMerge w:val="restart"/>
            <w:vAlign w:val="center"/>
          </w:tcPr>
          <w:p w14:paraId="144415BA">
            <w:pPr>
              <w:pStyle w:val="24"/>
              <w:ind w:firstLine="0" w:firstLineChars="0"/>
              <w:jc w:val="cente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t>挥发性有机物（VOC）含量</w:t>
            </w:r>
          </w:p>
          <w:p w14:paraId="1B8C255C">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t>（g/L）</w:t>
            </w:r>
          </w:p>
        </w:tc>
        <w:tc>
          <w:tcPr>
            <w:tcW w:w="1037" w:type="dxa"/>
            <w:vMerge w:val="restart"/>
            <w:vAlign w:val="center"/>
          </w:tcPr>
          <w:p w14:paraId="0ECEFB74">
            <w:pPr>
              <w:widowControl/>
              <w:jc w:val="center"/>
              <w:rPr>
                <w:rFonts w:hint="eastAsia"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甲醛含量</w:t>
            </w:r>
          </w:p>
          <w:p w14:paraId="045F9B23">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（mg/kg）</w:t>
            </w:r>
          </w:p>
        </w:tc>
        <w:tc>
          <w:tcPr>
            <w:tcW w:w="1037" w:type="dxa"/>
            <w:vMerge w:val="restart"/>
            <w:vAlign w:val="center"/>
          </w:tcPr>
          <w:p w14:paraId="59923006">
            <w:pPr>
              <w:widowControl/>
              <w:jc w:val="center"/>
              <w:rPr>
                <w:rFonts w:hint="eastAsia"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苯系物总和含量</w:t>
            </w:r>
          </w:p>
          <w:p w14:paraId="3F006CC8">
            <w:pPr>
              <w:widowControl/>
              <w:jc w:val="center"/>
              <w:rPr>
                <w:rFonts w:hint="eastAsia"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[限苯、甲苯、二甲苯（含乙苯）]</w:t>
            </w:r>
          </w:p>
          <w:p w14:paraId="4C361601">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（mg/kg）</w:t>
            </w:r>
          </w:p>
        </w:tc>
        <w:tc>
          <w:tcPr>
            <w:tcW w:w="5281" w:type="dxa"/>
            <w:gridSpan w:val="4"/>
            <w:vAlign w:val="center"/>
          </w:tcPr>
          <w:p w14:paraId="57F0828B">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可溶性重金属含量（mg/kg）</w:t>
            </w:r>
          </w:p>
        </w:tc>
      </w:tr>
      <w:tr w14:paraId="023C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dxa"/>
            <w:vMerge w:val="continue"/>
          </w:tcPr>
          <w:p w14:paraId="6B85B46B">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957" w:type="dxa"/>
            <w:vMerge w:val="continue"/>
          </w:tcPr>
          <w:p w14:paraId="559B8941">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1037" w:type="dxa"/>
            <w:vMerge w:val="continue"/>
          </w:tcPr>
          <w:p w14:paraId="175DCE1E">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1037" w:type="dxa"/>
            <w:vMerge w:val="continue"/>
          </w:tcPr>
          <w:p w14:paraId="3930EF60">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vAlign w:val="center"/>
          </w:tcPr>
          <w:p w14:paraId="7A295246">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总铅（Pb）含量（限腻子和色浆），mg/kg</w:t>
            </w:r>
          </w:p>
        </w:tc>
        <w:tc>
          <w:tcPr>
            <w:tcW w:w="0" w:type="auto"/>
            <w:tcBorders>
              <w:top w:val="single" w:color="auto" w:sz="4" w:space="0"/>
              <w:left w:val="single" w:color="auto" w:sz="4" w:space="0"/>
              <w:bottom w:val="single" w:color="auto" w:sz="4" w:space="0"/>
              <w:right w:val="single" w:color="auto" w:sz="4" w:space="0"/>
            </w:tcBorders>
            <w:vAlign w:val="center"/>
          </w:tcPr>
          <w:p w14:paraId="0C599550">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镉（Cd）含量</w:t>
            </w:r>
          </w:p>
        </w:tc>
        <w:tc>
          <w:tcPr>
            <w:tcW w:w="816" w:type="dxa"/>
            <w:tcBorders>
              <w:top w:val="single" w:color="auto" w:sz="4" w:space="0"/>
              <w:left w:val="single" w:color="auto" w:sz="4" w:space="0"/>
              <w:bottom w:val="single" w:color="auto" w:sz="4" w:space="0"/>
              <w:right w:val="single" w:color="auto" w:sz="4" w:space="0"/>
            </w:tcBorders>
            <w:vAlign w:val="center"/>
          </w:tcPr>
          <w:p w14:paraId="7F9E7F0E">
            <w:pPr>
              <w:widowControl/>
              <w:jc w:val="center"/>
              <w:rPr>
                <w:rFonts w:hint="eastAsia" w:ascii="Times New Roman" w:hAnsi="Times New Roman" w:eastAsia="宋体" w:cs="Times New Roman"/>
                <w:color w:val="000000" w:themeColor="text1"/>
                <w:kern w:val="0"/>
                <w:sz w:val="18"/>
                <w:szCs w:val="18"/>
                <w:lang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eastAsia="zh-CN"/>
                <w14:textFill>
                  <w14:solidFill>
                    <w14:schemeClr w14:val="tx1"/>
                  </w14:solidFill>
                </w14:textFill>
              </w:rPr>
              <w:t>汞（Hg）含量</w:t>
            </w:r>
          </w:p>
        </w:tc>
        <w:tc>
          <w:tcPr>
            <w:tcW w:w="1374" w:type="dxa"/>
            <w:tcBorders>
              <w:top w:val="single" w:color="auto" w:sz="4" w:space="0"/>
              <w:left w:val="single" w:color="auto" w:sz="4" w:space="0"/>
              <w:bottom w:val="single" w:color="auto" w:sz="4" w:space="0"/>
              <w:right w:val="single" w:color="auto" w:sz="4" w:space="0"/>
            </w:tcBorders>
            <w:vAlign w:val="center"/>
          </w:tcPr>
          <w:p w14:paraId="66B77560">
            <w:pPr>
              <w:widowControl/>
              <w:jc w:val="center"/>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18"/>
                <w:szCs w:val="18"/>
                <w14:textFill>
                  <w14:solidFill>
                    <w14:schemeClr w14:val="tx1"/>
                  </w14:solidFill>
                </w14:textFill>
              </w:rPr>
              <w:t>铬（Cr）含量</w:t>
            </w:r>
          </w:p>
        </w:tc>
      </w:tr>
      <w:tr w14:paraId="6324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Pr>
          <w:p w14:paraId="4CBD2ECF">
            <w:pPr>
              <w:widowControl/>
              <w:jc w:val="center"/>
              <w:rPr>
                <w:rFonts w:hint="eastAsia" w:ascii="Times New Roman" w:hAnsi="Times New Roman" w:eastAsia="宋体" w:cs="Times New Roman"/>
                <w:color w:val="000000" w:themeColor="text1"/>
                <w:kern w:val="0"/>
                <w:sz w:val="18"/>
                <w:szCs w:val="18"/>
                <w:lang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eastAsia="zh-CN"/>
                <w14:textFill>
                  <w14:solidFill>
                    <w14:schemeClr w14:val="tx1"/>
                  </w14:solidFill>
                </w14:textFill>
              </w:rPr>
              <w:t>SY</w:t>
            </w:r>
            <w:r>
              <w:rPr>
                <w:rFonts w:ascii="Times New Roman" w:hAnsi="Times New Roman" w:eastAsia="宋体" w:cs="Times New Roman"/>
                <w:color w:val="000000" w:themeColor="text1"/>
                <w:kern w:val="0"/>
                <w:sz w:val="18"/>
                <w:szCs w:val="18"/>
                <w14:textFill>
                  <w14:solidFill>
                    <w14:schemeClr w14:val="tx1"/>
                  </w14:solidFill>
                </w14:textFill>
              </w:rPr>
              <w:t>-</w:t>
            </w: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1</w:t>
            </w:r>
          </w:p>
        </w:tc>
        <w:tc>
          <w:tcPr>
            <w:tcW w:w="0" w:type="auto"/>
          </w:tcPr>
          <w:p w14:paraId="7319A241">
            <w:pPr>
              <w:widowControl/>
              <w:jc w:val="cente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Pr>
          <w:p w14:paraId="5CC7C60A">
            <w:pPr>
              <w:widowControl/>
              <w:jc w:val="cente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Pr>
          <w:p w14:paraId="4709B8AB">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Borders>
              <w:top w:val="single" w:color="auto" w:sz="4" w:space="0"/>
              <w:left w:val="single" w:color="auto" w:sz="4" w:space="0"/>
              <w:bottom w:val="single" w:color="auto" w:sz="4" w:space="0"/>
              <w:right w:val="single" w:color="auto" w:sz="4" w:space="0"/>
            </w:tcBorders>
            <w:vAlign w:val="top"/>
          </w:tcPr>
          <w:p w14:paraId="5289B1D0">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vAlign w:val="top"/>
          </w:tcPr>
          <w:p w14:paraId="09C69D90">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Borders>
              <w:top w:val="single" w:color="auto" w:sz="4" w:space="0"/>
              <w:left w:val="single" w:color="auto" w:sz="4" w:space="0"/>
              <w:bottom w:val="single" w:color="auto" w:sz="4" w:space="0"/>
              <w:right w:val="single" w:color="auto" w:sz="4" w:space="0"/>
            </w:tcBorders>
            <w:vAlign w:val="center"/>
          </w:tcPr>
          <w:p w14:paraId="453A843C">
            <w:pPr>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1374" w:type="dxa"/>
            <w:tcBorders>
              <w:top w:val="single" w:color="auto" w:sz="4" w:space="0"/>
              <w:left w:val="single" w:color="auto" w:sz="4" w:space="0"/>
              <w:bottom w:val="single" w:color="auto" w:sz="4" w:space="0"/>
              <w:right w:val="single" w:color="auto" w:sz="4" w:space="0"/>
            </w:tcBorders>
            <w:vAlign w:val="top"/>
          </w:tcPr>
          <w:p w14:paraId="7E322A96">
            <w:pPr>
              <w:widowControl/>
              <w:jc w:val="center"/>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r>
      <w:tr w14:paraId="49ED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Pr>
          <w:p w14:paraId="46E13B31">
            <w:pPr>
              <w:widowControl/>
              <w:jc w:val="center"/>
              <w:rPr>
                <w:rFonts w:hint="eastAsia" w:ascii="Times New Roman" w:hAnsi="Times New Roman" w:eastAsia="宋体" w:cs="Times New Roman"/>
                <w:color w:val="000000" w:themeColor="text1"/>
                <w:kern w:val="0"/>
                <w:sz w:val="18"/>
                <w:szCs w:val="18"/>
                <w:lang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eastAsia="zh-CN"/>
                <w14:textFill>
                  <w14:solidFill>
                    <w14:schemeClr w14:val="tx1"/>
                  </w14:solidFill>
                </w14:textFill>
              </w:rPr>
              <w:t>SY</w:t>
            </w:r>
            <w:r>
              <w:rPr>
                <w:rFonts w:ascii="Times New Roman" w:hAnsi="Times New Roman" w:eastAsia="宋体" w:cs="Times New Roman"/>
                <w:color w:val="000000" w:themeColor="text1"/>
                <w:kern w:val="0"/>
                <w:sz w:val="18"/>
                <w:szCs w:val="18"/>
                <w14:textFill>
                  <w14:solidFill>
                    <w14:schemeClr w14:val="tx1"/>
                  </w14:solidFill>
                </w14:textFill>
              </w:rPr>
              <w:t>-</w:t>
            </w: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2</w:t>
            </w:r>
          </w:p>
        </w:tc>
        <w:tc>
          <w:tcPr>
            <w:tcW w:w="0" w:type="auto"/>
          </w:tcPr>
          <w:p w14:paraId="13CC8B91">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Pr>
          <w:p w14:paraId="7A87EB76">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Pr>
          <w:p w14:paraId="61377416">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Borders>
              <w:top w:val="single" w:color="auto" w:sz="4" w:space="0"/>
              <w:left w:val="single" w:color="auto" w:sz="4" w:space="0"/>
              <w:bottom w:val="single" w:color="auto" w:sz="4" w:space="0"/>
              <w:right w:val="single" w:color="auto" w:sz="4" w:space="0"/>
            </w:tcBorders>
            <w:vAlign w:val="top"/>
          </w:tcPr>
          <w:p w14:paraId="6E391033">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vAlign w:val="top"/>
          </w:tcPr>
          <w:p w14:paraId="05938A06">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vAlign w:val="center"/>
          </w:tcPr>
          <w:p w14:paraId="3BD2E1A3">
            <w:pPr>
              <w:jc w:val="center"/>
              <w:rPr>
                <w:rFonts w:ascii="Times New Roman" w:hAnsi="Times New Roman" w:eastAsia="宋体" w:cs="Times New Roman"/>
                <w:color w:val="000000" w:themeColor="text1"/>
                <w:kern w:val="0"/>
                <w:sz w:val="18"/>
                <w:szCs w:val="18"/>
                <w14:textFill>
                  <w14:solidFill>
                    <w14:schemeClr w14:val="tx1"/>
                  </w14:solidFill>
                </w14:textFill>
              </w:rPr>
            </w:pPr>
          </w:p>
        </w:tc>
        <w:tc>
          <w:tcPr>
            <w:tcW w:w="1374" w:type="dxa"/>
            <w:tcBorders>
              <w:top w:val="single" w:color="auto" w:sz="4" w:space="0"/>
              <w:left w:val="single" w:color="auto" w:sz="4" w:space="0"/>
              <w:bottom w:val="single" w:color="auto" w:sz="4" w:space="0"/>
              <w:right w:val="single" w:color="auto" w:sz="4" w:space="0"/>
            </w:tcBorders>
            <w:vAlign w:val="top"/>
          </w:tcPr>
          <w:p w14:paraId="31E4DA71">
            <w:pPr>
              <w:widowControl/>
              <w:jc w:val="center"/>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r>
      <w:tr w14:paraId="5D95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Pr>
          <w:p w14:paraId="6F267B69">
            <w:pPr>
              <w:widowControl/>
              <w:jc w:val="center"/>
              <w:rPr>
                <w:rFonts w:hint="eastAsia" w:ascii="Times New Roman" w:hAnsi="Times New Roman" w:eastAsia="宋体" w:cs="Times New Roman"/>
                <w:color w:val="000000" w:themeColor="text1"/>
                <w:kern w:val="0"/>
                <w:sz w:val="18"/>
                <w:szCs w:val="18"/>
                <w:lang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eastAsia="zh-CN"/>
                <w14:textFill>
                  <w14:solidFill>
                    <w14:schemeClr w14:val="tx1"/>
                  </w14:solidFill>
                </w14:textFill>
              </w:rPr>
              <w:t>SY</w:t>
            </w:r>
            <w:r>
              <w:rPr>
                <w:rFonts w:ascii="Times New Roman" w:hAnsi="Times New Roman" w:eastAsia="宋体" w:cs="Times New Roman"/>
                <w:color w:val="000000" w:themeColor="text1"/>
                <w:kern w:val="0"/>
                <w:sz w:val="18"/>
                <w:szCs w:val="18"/>
                <w14:textFill>
                  <w14:solidFill>
                    <w14:schemeClr w14:val="tx1"/>
                  </w14:solidFill>
                </w14:textFill>
              </w:rPr>
              <w:t>-</w:t>
            </w: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3</w:t>
            </w:r>
          </w:p>
        </w:tc>
        <w:tc>
          <w:tcPr>
            <w:tcW w:w="0" w:type="auto"/>
          </w:tcPr>
          <w:p w14:paraId="19E05755">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Pr>
          <w:p w14:paraId="404C397F">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Pr>
          <w:p w14:paraId="5E50492B">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Borders>
              <w:top w:val="single" w:color="auto" w:sz="4" w:space="0"/>
              <w:left w:val="single" w:color="auto" w:sz="4" w:space="0"/>
              <w:bottom w:val="single" w:color="auto" w:sz="4" w:space="0"/>
              <w:right w:val="single" w:color="auto" w:sz="4" w:space="0"/>
            </w:tcBorders>
            <w:vAlign w:val="top"/>
          </w:tcPr>
          <w:p w14:paraId="43537E79">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Borders>
              <w:top w:val="single" w:color="auto" w:sz="4" w:space="0"/>
              <w:left w:val="single" w:color="auto" w:sz="4" w:space="0"/>
              <w:bottom w:val="single" w:color="auto" w:sz="4" w:space="0"/>
              <w:right w:val="single" w:color="auto" w:sz="4" w:space="0"/>
            </w:tcBorders>
            <w:vAlign w:val="top"/>
          </w:tcPr>
          <w:p w14:paraId="4C9F6DFD">
            <w:pPr>
              <w:widowControl/>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0" w:type="auto"/>
            <w:tcBorders>
              <w:top w:val="single" w:color="auto" w:sz="4" w:space="0"/>
              <w:left w:val="single" w:color="auto" w:sz="4" w:space="0"/>
              <w:bottom w:val="single" w:color="auto" w:sz="4" w:space="0"/>
              <w:right w:val="single" w:color="auto" w:sz="4" w:space="0"/>
            </w:tcBorders>
            <w:vAlign w:val="center"/>
          </w:tcPr>
          <w:p w14:paraId="211DBABC">
            <w:pPr>
              <w:jc w:val="center"/>
              <w:rPr>
                <w:rFonts w:ascii="Times New Roman" w:hAnsi="Times New Roman" w:eastAsia="宋体" w:cs="Times New Roman"/>
                <w:color w:val="000000" w:themeColor="text1"/>
                <w:kern w:val="0"/>
                <w:sz w:val="18"/>
                <w:szCs w:val="18"/>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c>
          <w:tcPr>
            <w:tcW w:w="1374" w:type="dxa"/>
            <w:tcBorders>
              <w:top w:val="single" w:color="auto" w:sz="4" w:space="0"/>
              <w:left w:val="single" w:color="auto" w:sz="4" w:space="0"/>
              <w:bottom w:val="single" w:color="auto" w:sz="4" w:space="0"/>
              <w:right w:val="single" w:color="auto" w:sz="4" w:space="0"/>
            </w:tcBorders>
            <w:vAlign w:val="top"/>
          </w:tcPr>
          <w:p w14:paraId="445D294F">
            <w:pPr>
              <w:widowControl/>
              <w:jc w:val="center"/>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未检出</w:t>
            </w:r>
          </w:p>
        </w:tc>
      </w:tr>
      <w:tr w14:paraId="4017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Pr>
          <w:p w14:paraId="3FEAF5CE">
            <w:pPr>
              <w:widowControl/>
              <w:jc w:val="center"/>
              <w:rPr>
                <w:rFonts w:hint="eastAsia" w:ascii="Times New Roman" w:hAnsi="Times New Roman" w:eastAsia="宋体" w:cs="Times New Roman"/>
                <w:color w:val="000000" w:themeColor="text1"/>
                <w:kern w:val="0"/>
                <w:sz w:val="18"/>
                <w:szCs w:val="18"/>
                <w:lang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eastAsia="zh-CN"/>
                <w14:textFill>
                  <w14:solidFill>
                    <w14:schemeClr w14:val="tx1"/>
                  </w14:solidFill>
                </w14:textFill>
              </w:rPr>
              <w:t>SY</w:t>
            </w:r>
            <w:r>
              <w:rPr>
                <w:rFonts w:ascii="Times New Roman" w:hAnsi="Times New Roman" w:eastAsia="宋体" w:cs="Times New Roman"/>
                <w:color w:val="000000" w:themeColor="text1"/>
                <w:kern w:val="0"/>
                <w:sz w:val="18"/>
                <w:szCs w:val="18"/>
                <w14:textFill>
                  <w14:solidFill>
                    <w14:schemeClr w14:val="tx1"/>
                  </w14:solidFill>
                </w14:textFill>
              </w:rPr>
              <w:t>-</w:t>
            </w: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4</w:t>
            </w:r>
          </w:p>
        </w:tc>
        <w:tc>
          <w:tcPr>
            <w:tcW w:w="8312" w:type="dxa"/>
            <w:gridSpan w:val="7"/>
            <w:tcBorders>
              <w:right w:val="single" w:color="auto" w:sz="4" w:space="0"/>
            </w:tcBorders>
          </w:tcPr>
          <w:p w14:paraId="497A4B2B">
            <w:pPr>
              <w:widowControl/>
              <w:jc w:val="cente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t>欧盟RoHS指令（EU）2015/863开展铅、汞、镉、六价铬、多溴联苯（PBB）、多溴二苯醚（PBDE）、邻苯二甲酸二 (2 - 乙基己) 酯（DEHP）、邻苯二甲酸丁苄酯（BBP）、邻苯二甲酸二丁酯（DBP）、邻苯二甲酸二异丁酯（DIBP）均为未检出</w:t>
            </w:r>
          </w:p>
        </w:tc>
      </w:tr>
    </w:tbl>
    <w:p w14:paraId="347B9DF8">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依据GB 30981.1开展防滑剂有害物质检测，结果显示甲醛、苯系物总和均为未检出，满足本规程≤50mg/kg、≤100mg/kg限值要求，证实水性防滑剂可以实现低有害物排放，本规程设定的环保指标不存在技术天花板，行业产品可以达到该控制水平。</w:t>
      </w:r>
    </w:p>
    <w:p w14:paraId="3FE04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（2）按照欧盟RoHS指令（EU）2015/863开展铅、汞、镉、六价铬、多溴联苯（PBB）、多溴二苯醚（PBDE）、邻苯二甲酸二 (2 - 乙基己) 酯（DEHP）、邻苯二甲酸丁苄酯（BBP）、邻苯二甲酸二丁酯（DBP）、邻苯二甲酸二异丁酯（DIBP）均为未检出，说明优质防滑剂产品可同时满足国内外化学品管控要求，为本规程可溶性重金属指标限值确定提供参考，指标设置兼顾国内工程使用和出口产品的技术兼容性。</w:t>
      </w:r>
    </w:p>
    <w:p w14:paraId="6F37D9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3）结合MSDS化学品安全技术说明书验证，该防滑剂配方组成为净化水、果酸、抗氧化剂、表面活性剂、氯化钠、消泡剂，属于非危险化学品，验证标准4.1.2组分描述、4.3运输贮存、施工安全防护条款的合理性，同时支撑标准中皮肤、眼睛接触应急处置、儿童接触防护等安全要求的编制依据。</w:t>
      </w:r>
    </w:p>
    <w:p w14:paraId="0339FD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4.1.3 理化性能与耐久性能指标可行性分析</w:t>
      </w:r>
    </w:p>
    <w:p w14:paraId="48D576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本规程表4.2.1规定密度、粘度、pH、耐热耐寒稳定性、表干时间理化指标，用于管控产品批次一致性、储运稳定性；表4.2.3规定耐磨、耐水、耐酸碱、人工加速老化，要求老化试验后防滑性能下降小于5%。</w:t>
      </w:r>
    </w:p>
    <w:p w14:paraId="7C7093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受本次委托检测项目限制，本次第三方送检未完整覆盖全部耐久项目，但起草组收集行业多批次产品试验与工程回访数据开展分析：</w:t>
      </w:r>
    </w:p>
    <w:p w14:paraId="3B0C4C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1）密度、粘度、pH允许与标称值偏差＜±5%，该限值是水性功能化学品行业通用控制水平，用于管控配方波动，避免不同批次防滑剂反应能力差异过大，造成现场防滑效果离散；高低温稳定性模拟我国南北方储运温差条件，规避产品在运输储存过程分层失效；表干≤0.5h适配现场快速开放通行需求。全部试验方法直接引用现行国家通用测试标准，不自创试验方法，检测机构均可落地实施。</w:t>
      </w:r>
    </w:p>
    <w:p w14:paraId="69770F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2）耐磨、耐水、耐酸碱、人工加速老化指标，针对行业普遍只考核初始防滑值、忽略长期服役性能的短板而设立。大量工程回访表明，防滑处理后地面会经受人流踩踏、清洁剂冲洗、水浸泡、紫外线老化，仅考核初始摩擦系数，会出现“实验室合格、短期工程失效”现象。因此标准规定模拟工况试验后防滑性能衰减不大于5%，倒逼产品兼顾初始防滑效果与耐久保持能力。抗裂性、附着强度明确仅考核涂层型防滑剂，渗透型防滑剂不考核，指标区分产品类别，避免无效检测。</w:t>
      </w:r>
    </w:p>
    <w:p w14:paraId="1ED791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4.1.4 试验方法的适用性、可复现性验证</w:t>
      </w:r>
    </w:p>
    <w:p w14:paraId="03D081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本规程全部性能试验方法均直接引用现行国家、行业标准，未自主创制检测方法。</w:t>
      </w:r>
    </w:p>
    <w:p w14:paraId="5271A3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（1）防滑性能：采用GB/T 4100附录M、GB/T 35153附录A，与JGJ/T 331评价体系保持一致，国内第三方检测机构均具备检测能力，保证检测结果溯源、可比。</w:t>
      </w:r>
    </w:p>
    <w:p w14:paraId="34D885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（2）理化、有害物质：分别引用GB/T 611、GB/T 10247、GB/T 6368、GB 18582、GB 30981.1等系列标准。</w:t>
      </w:r>
    </w:p>
    <w:p w14:paraId="0056E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（3）耐久性能：耐磨、耐酸碱、耐水引用GB/T 3810陶瓷砖试验系列方法，人工加速老化引用GB/T 23987。</w:t>
      </w:r>
    </w:p>
    <w:p w14:paraId="3F1251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验证表明，整套试验方法体系成熟，不需要新增专用非标设备，便于型式检验、进场复检工作开展，有利于标准落地实施。</w:t>
      </w:r>
    </w:p>
    <w:p w14:paraId="17739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4.1.5 工程现场检验与运维相关指标验证</w:t>
      </w:r>
    </w:p>
    <w:p w14:paraId="21E11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标准第5、6、7、8章涉及工程现场防滑检测、分场所复测周期、性能衰减至80%应复涂等技术要求。该部分无实验室样品检测数据，依据大量既有防滑改造工程跟踪回访数据验证：</w:t>
      </w:r>
    </w:p>
    <w:p w14:paraId="7AAA7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1）湿态、涉水区域以BPN摆式阻滑值作为主控指标，干态以COF静摩擦系数作为主控指标，与JGJ/T3314保持统一；针对老年人照料设施增设防滑指标参考上限，是基于跌倒风险双向机理的工程经验总结，不作为强制判定项。</w:t>
      </w:r>
    </w:p>
    <w:p w14:paraId="3268E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2）高磨损场所每年复测，普通公共场所2年，住宅办公3年，防滑性能衰减至设计值80%应复涂，来自多项目跟踪统计，防滑效果会随磨损、化学清洗逐步衰减，该条款将性能管控延伸至运维阶段，填补行业标准“重验收、轻运维”的空白。</w:t>
      </w:r>
    </w:p>
    <w:p w14:paraId="7593CC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b/>
          <w:bCs/>
          <w:color w:val="000000" w:themeColor="text1"/>
          <w:sz w:val="24"/>
          <w:szCs w:val="24"/>
          <w:highlight w:val="none"/>
          <w:lang w:val="en-US" w:eastAsia="zh-CN"/>
          <w14:textFill>
            <w14:solidFill>
              <w14:schemeClr w14:val="tx1"/>
            </w14:solidFill>
          </w14:textFill>
        </w:rPr>
        <w:t>4.1.6 综合验证结论</w:t>
      </w:r>
    </w:p>
    <w:p w14:paraId="24E4BE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（1）防滑性能对照试验证实：本规程设定的防滑性能指标下限，现有成熟产品完全可以达到；统一试样制备条件的要求，能够解决行业检测比对混乱问题。</w:t>
      </w:r>
    </w:p>
    <w:p w14:paraId="57A374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（2）有害物质限值指标既对标国内建筑涂料强制体系，也参考国际ROHS化学品管控水平，指标设置科学合理，不存在过高的技术门槛。</w:t>
      </w:r>
    </w:p>
    <w:p w14:paraId="5EB20D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（3）全部试验方法均采用现行国家、行业标准，检测方法成熟、可复现，便于第三方检测机构执行。</w:t>
      </w:r>
    </w:p>
    <w:p w14:paraId="138712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（4）耐久性能、批次一致性指标，针对行业现存痛点设置，有利于引导行业从只关注初始防滑效果，向兼顾产品批次稳定、长期服役耐久、绿色安全方向升级。</w:t>
      </w:r>
    </w:p>
    <w:p w14:paraId="21102F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pPr>
      <w:r>
        <w:rPr>
          <w:rFonts w:hint="eastAsia" w:asciiTheme="majorEastAsia" w:hAnsiTheme="majorEastAsia" w:eastAsiaTheme="majorEastAsia"/>
          <w:color w:val="000000" w:themeColor="text1"/>
          <w:sz w:val="24"/>
          <w:szCs w:val="24"/>
          <w:highlight w:val="none"/>
          <w:lang w:val="en-US" w:eastAsia="zh-CN"/>
          <w14:textFill>
            <w14:solidFill>
              <w14:schemeClr w14:val="tx1"/>
            </w14:solidFill>
          </w14:textFill>
        </w:rPr>
        <w:t>（5）本规程部分耐久项目本次第三方送检未全部覆盖，指标同时参考行业多组试验数据、工程实践经验综合确定，后续标准实施过程中，可结合更多型式检验数据持续完善。</w:t>
      </w:r>
    </w:p>
    <w:p w14:paraId="11DFD7B3">
      <w:pPr>
        <w:pStyle w:val="27"/>
        <w:spacing w:before="312" w:after="312"/>
        <w:ind w:left="0"/>
        <w:rPr>
          <w:color w:val="000000" w:themeColor="text1"/>
          <w:sz w:val="28"/>
          <w:szCs w:val="28"/>
          <w14:textFill>
            <w14:solidFill>
              <w14:schemeClr w14:val="tx1"/>
            </w14:solidFill>
          </w14:textFill>
        </w:rPr>
      </w:pPr>
      <w:bookmarkStart w:id="91" w:name="_Toc10345"/>
      <w:r>
        <w:rPr>
          <w:rFonts w:hint="eastAsia"/>
          <w:color w:val="000000" w:themeColor="text1"/>
          <w:sz w:val="28"/>
          <w:szCs w:val="28"/>
          <w14:textFill>
            <w14:solidFill>
              <w14:schemeClr w14:val="tx1"/>
            </w14:solidFill>
          </w14:textFill>
        </w:rPr>
        <w:t>标准中涉及专利情况说明</w:t>
      </w:r>
      <w:bookmarkEnd w:id="91"/>
    </w:p>
    <w:p w14:paraId="78F9ACE9">
      <w:pPr>
        <w:spacing w:line="460" w:lineRule="exact"/>
        <w:ind w:firstLine="480" w:firstLineChars="200"/>
        <w:rPr>
          <w:rFonts w:cs="Times New Roman" w:asciiTheme="majorEastAsia" w:hAnsiTheme="majorEastAsia" w:eastAsiaTheme="majorEastAsia"/>
          <w:color w:val="000000" w:themeColor="text1"/>
          <w:sz w:val="24"/>
          <w:szCs w:val="24"/>
          <w14:textFill>
            <w14:solidFill>
              <w14:schemeClr w14:val="tx1"/>
            </w14:solidFill>
          </w14:textFill>
        </w:rPr>
      </w:pPr>
      <w:r>
        <w:rPr>
          <w:rFonts w:hint="eastAsia" w:cs="Times New Roman"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cs="Times New Roman" w:asciiTheme="majorEastAsia" w:hAnsiTheme="majorEastAsia" w:eastAsiaTheme="majorEastAsia"/>
          <w:color w:val="000000" w:themeColor="text1"/>
          <w:sz w:val="24"/>
          <w:szCs w:val="24"/>
          <w14:textFill>
            <w14:solidFill>
              <w14:schemeClr w14:val="tx1"/>
            </w14:solidFill>
          </w14:textFill>
        </w:rPr>
        <w:t>所列技术内容</w:t>
      </w:r>
      <w:r>
        <w:rPr>
          <w:rFonts w:hint="eastAsia" w:cs="Times New Roman" w:asciiTheme="majorEastAsia" w:hAnsiTheme="majorEastAsia" w:eastAsiaTheme="majorEastAsia"/>
          <w:color w:val="000000" w:themeColor="text1"/>
          <w:sz w:val="24"/>
          <w:szCs w:val="24"/>
          <w:lang w:val="en-US" w:eastAsia="zh-CN"/>
          <w14:textFill>
            <w14:solidFill>
              <w14:schemeClr w14:val="tx1"/>
            </w14:solidFill>
          </w14:textFill>
        </w:rPr>
        <w:t>不</w:t>
      </w:r>
      <w:r>
        <w:rPr>
          <w:rFonts w:hint="eastAsia" w:cs="Times New Roman" w:asciiTheme="majorEastAsia" w:hAnsiTheme="majorEastAsia" w:eastAsiaTheme="majorEastAsia"/>
          <w:color w:val="000000" w:themeColor="text1"/>
          <w:sz w:val="24"/>
          <w:szCs w:val="24"/>
          <w14:textFill>
            <w14:solidFill>
              <w14:schemeClr w14:val="tx1"/>
            </w14:solidFill>
          </w14:textFill>
        </w:rPr>
        <w:t>涉及专利和知识产权等情况。</w:t>
      </w:r>
    </w:p>
    <w:p w14:paraId="6E755F13">
      <w:pPr>
        <w:pStyle w:val="27"/>
        <w:spacing w:before="312" w:after="312"/>
        <w:ind w:left="0"/>
        <w:rPr>
          <w:color w:val="000000" w:themeColor="text1"/>
          <w:sz w:val="28"/>
          <w:szCs w:val="28"/>
          <w14:textFill>
            <w14:solidFill>
              <w14:schemeClr w14:val="tx1"/>
            </w14:solidFill>
          </w14:textFill>
        </w:rPr>
      </w:pPr>
      <w:bookmarkStart w:id="92" w:name="_Toc643"/>
      <w:r>
        <w:rPr>
          <w:rFonts w:hint="eastAsia"/>
          <w:color w:val="000000" w:themeColor="text1"/>
          <w:sz w:val="28"/>
          <w:szCs w:val="28"/>
          <w14:textFill>
            <w14:solidFill>
              <w14:schemeClr w14:val="tx1"/>
            </w14:solidFill>
          </w14:textFill>
        </w:rPr>
        <w:t>产业化情况和预期达到的经济效果等情况</w:t>
      </w:r>
      <w:bookmarkEnd w:id="92"/>
    </w:p>
    <w:p w14:paraId="5A796EAE">
      <w:pPr>
        <w:pStyle w:val="24"/>
        <w:spacing w:line="360" w:lineRule="auto"/>
        <w:ind w:firstLine="480"/>
        <w:rPr>
          <w:rFonts w:hint="eastAsia" w:hAnsi="宋体" w:eastAsia="宋体"/>
          <w:color w:val="000000"/>
          <w:sz w:val="24"/>
          <w:szCs w:val="24"/>
          <w:lang w:eastAsia="zh-CN"/>
        </w:rPr>
      </w:pPr>
      <w:r>
        <w:rPr>
          <w:rFonts w:hint="eastAsia" w:hAnsi="宋体"/>
          <w:color w:val="000000"/>
          <w:sz w:val="24"/>
          <w:szCs w:val="24"/>
        </w:rPr>
        <w:t>伴随国家积极应对人口老龄化战略推进，居家与公共建筑适老化改造、银发经济市场需求持续释放，地面防滑作为适老化改造核心安全项，市场刚性需求快速增长。渗透型地面防滑剂属于原位防滑改造技术，无需拆除原有地面，施工便捷，现整个行业已形成原材料生产、规模化制造、工程落地、全国代理服务完整产业链（</w:t>
      </w:r>
      <w:r>
        <w:rPr>
          <w:rFonts w:hint="eastAsia"/>
          <w:color w:val="000000"/>
          <w:sz w:val="24"/>
          <w:szCs w:val="24"/>
          <w:lang w:val="en-US" w:eastAsia="zh-CN"/>
        </w:rPr>
        <w:t>仅</w:t>
      </w:r>
      <w:r>
        <w:rPr>
          <w:rFonts w:hint="eastAsia" w:hAnsi="宋体"/>
          <w:color w:val="000000"/>
          <w:sz w:val="24"/>
          <w:szCs w:val="24"/>
        </w:rPr>
        <w:t>上海世卿防滑防腐科技有限公司</w:t>
      </w:r>
      <w:r>
        <w:rPr>
          <w:rFonts w:hint="eastAsia"/>
          <w:color w:val="000000"/>
          <w:sz w:val="24"/>
          <w:szCs w:val="24"/>
          <w:lang w:val="en-US" w:eastAsia="zh-CN"/>
        </w:rPr>
        <w:t>一家</w:t>
      </w:r>
      <w:r>
        <w:rPr>
          <w:rFonts w:hint="eastAsia" w:hAnsi="宋体"/>
          <w:color w:val="000000"/>
          <w:sz w:val="24"/>
          <w:szCs w:val="24"/>
        </w:rPr>
        <w:t>公司</w:t>
      </w:r>
      <w:r>
        <w:rPr>
          <w:rFonts w:hint="eastAsia"/>
          <w:color w:val="000000"/>
          <w:sz w:val="24"/>
          <w:szCs w:val="24"/>
          <w:lang w:val="en-US" w:eastAsia="zh-CN"/>
        </w:rPr>
        <w:t>就</w:t>
      </w:r>
      <w:r>
        <w:rPr>
          <w:rFonts w:hint="eastAsia" w:hAnsi="宋体"/>
          <w:color w:val="000000"/>
          <w:sz w:val="24"/>
          <w:szCs w:val="24"/>
        </w:rPr>
        <w:t>拥有2100多家代理商，服务可覆盖全国）</w:t>
      </w:r>
      <w:r>
        <w:rPr>
          <w:rFonts w:hint="eastAsia"/>
          <w:color w:val="000000"/>
          <w:sz w:val="24"/>
          <w:szCs w:val="24"/>
          <w:lang w:eastAsia="zh-CN"/>
        </w:rPr>
        <w:t>。</w:t>
      </w:r>
    </w:p>
    <w:p w14:paraId="66FB0F49">
      <w:pPr>
        <w:pStyle w:val="24"/>
        <w:spacing w:line="360" w:lineRule="auto"/>
        <w:ind w:firstLine="480"/>
        <w:rPr>
          <w:rFonts w:hint="eastAsia" w:hAnsi="宋体"/>
          <w:color w:val="000000"/>
          <w:sz w:val="24"/>
          <w:szCs w:val="24"/>
        </w:rPr>
      </w:pPr>
      <w:r>
        <w:rPr>
          <w:rFonts w:hint="eastAsia" w:hAnsi="宋体"/>
          <w:color w:val="000000"/>
          <w:sz w:val="24"/>
          <w:szCs w:val="24"/>
        </w:rPr>
        <w:t>行业已积累大量实际工程实践：已完成万余所学校、部分高铁站枢纽、大量医院、养老机构、连锁餐饮等项目，累计工程施工面积达数千万平方米，产业具备成熟的工程实践与产业化基础。据行业统计，国内地面防滑剂相关工程市场规模持续增长，适老化改造带来海量存量建筑防滑改造需求，市场增长潜力突出。</w:t>
      </w:r>
    </w:p>
    <w:p w14:paraId="60D9803F">
      <w:pPr>
        <w:pStyle w:val="24"/>
        <w:spacing w:line="360" w:lineRule="auto"/>
        <w:ind w:firstLine="480"/>
        <w:rPr>
          <w:rFonts w:hint="eastAsia" w:hAnsi="宋体"/>
          <w:color w:val="000000"/>
          <w:sz w:val="24"/>
          <w:szCs w:val="24"/>
        </w:rPr>
      </w:pPr>
      <w:r>
        <w:rPr>
          <w:rFonts w:hint="eastAsia" w:hAnsi="宋体"/>
          <w:color w:val="000000"/>
          <w:sz w:val="24"/>
          <w:szCs w:val="24"/>
        </w:rPr>
        <w:t>目前行业缺少统一应用技术规程，产品质量参差不齐，设计选型、施工工艺、验收运维无统一依据；部分劣质产品易产生色差、耐久性不足；工程普遍重干态指标、忽视湿态防滑性能，养老适老项目缺少标准化技术指引，制约行业规范化、规模化推广，亟需制定</w:t>
      </w:r>
      <w:r>
        <w:rPr>
          <w:rFonts w:hint="eastAsia"/>
          <w:color w:val="000000"/>
          <w:sz w:val="24"/>
          <w:szCs w:val="24"/>
          <w:lang w:eastAsia="zh-CN"/>
        </w:rPr>
        <w:t>本规程</w:t>
      </w:r>
      <w:r>
        <w:rPr>
          <w:rFonts w:hint="eastAsia" w:hAnsi="宋体"/>
          <w:color w:val="000000"/>
          <w:sz w:val="24"/>
          <w:szCs w:val="24"/>
        </w:rPr>
        <w:t>补齐技术短板。</w:t>
      </w:r>
    </w:p>
    <w:p w14:paraId="501F5D55">
      <w:pPr>
        <w:pStyle w:val="26"/>
        <w:spacing w:before="156" w:after="156" w:line="500" w:lineRule="exact"/>
        <w:rPr>
          <w:rFonts w:hint="eastAsia"/>
          <w:color w:val="000000" w:themeColor="text1"/>
          <w:sz w:val="24"/>
          <w:szCs w:val="24"/>
          <w14:textFill>
            <w14:solidFill>
              <w14:schemeClr w14:val="tx1"/>
            </w14:solidFill>
          </w14:textFill>
        </w:rPr>
      </w:pPr>
      <w:bookmarkStart w:id="93" w:name="_Toc17158"/>
      <w:r>
        <w:rPr>
          <w:rFonts w:hint="eastAsia"/>
          <w:color w:val="000000" w:themeColor="text1"/>
          <w:sz w:val="24"/>
          <w:szCs w:val="24"/>
          <w14:textFill>
            <w14:solidFill>
              <w14:schemeClr w14:val="tx1"/>
            </w14:solidFill>
          </w14:textFill>
        </w:rPr>
        <w:t>预期经济效果</w:t>
      </w:r>
      <w:bookmarkEnd w:id="93"/>
    </w:p>
    <w:p w14:paraId="1CD13DC8">
      <w:pPr>
        <w:pStyle w:val="24"/>
        <w:spacing w:line="360" w:lineRule="auto"/>
        <w:ind w:firstLine="480"/>
        <w:rPr>
          <w:rFonts w:hint="eastAsia" w:hAnsi="宋体"/>
          <w:color w:val="000000"/>
          <w:sz w:val="24"/>
          <w:szCs w:val="24"/>
        </w:rPr>
      </w:pPr>
      <w:r>
        <w:rPr>
          <w:rFonts w:hint="eastAsia" w:hAnsi="宋体"/>
          <w:color w:val="000000"/>
          <w:sz w:val="24"/>
          <w:szCs w:val="24"/>
        </w:rPr>
        <w:t>1. 节约改造投资：对比拆改重铺地砖，防滑剂原位改造大幅降低材料、拆除以及停业损失，降低存量建筑、居家适老化改造综合成本，节约社会改造投资。面对全国海量既有建筑、老旧小区、养老机构改造，可显著减少拆改带来的工程投入。</w:t>
      </w:r>
    </w:p>
    <w:p w14:paraId="72D43BCE">
      <w:pPr>
        <w:pStyle w:val="24"/>
        <w:spacing w:line="360" w:lineRule="auto"/>
        <w:ind w:firstLine="480"/>
        <w:rPr>
          <w:rFonts w:hint="eastAsia" w:hAnsi="宋体"/>
          <w:color w:val="000000"/>
          <w:sz w:val="24"/>
          <w:szCs w:val="24"/>
        </w:rPr>
      </w:pPr>
      <w:r>
        <w:rPr>
          <w:rFonts w:hint="eastAsia" w:hAnsi="宋体"/>
          <w:color w:val="000000"/>
          <w:sz w:val="24"/>
          <w:szCs w:val="24"/>
        </w:rPr>
        <w:t>2. 减少事故经济损失：统一材料、施工与验收要求，强化养老、适老场所防滑指标管控，降低老年人滑倒摔伤带来的医疗救治、赔偿、诉讼等间接经济损失，减少公共场所滑倒事故带来的经济赔付。</w:t>
      </w:r>
    </w:p>
    <w:p w14:paraId="224F2803">
      <w:pPr>
        <w:pStyle w:val="24"/>
        <w:spacing w:line="360" w:lineRule="auto"/>
        <w:ind w:firstLine="480"/>
        <w:rPr>
          <w:rFonts w:hint="eastAsia" w:hAnsi="宋体"/>
          <w:color w:val="000000"/>
          <w:sz w:val="24"/>
          <w:szCs w:val="24"/>
        </w:rPr>
      </w:pPr>
      <w:r>
        <w:rPr>
          <w:rFonts w:hint="eastAsia" w:hAnsi="宋体"/>
          <w:color w:val="000000"/>
          <w:sz w:val="24"/>
          <w:szCs w:val="24"/>
        </w:rPr>
        <w:t>3. 释放银发经济与适老化市场空间：标准实施后可为适老化改造、老旧小区更新项目的设计、招投标、工程验收提供技术依据，打通养老机构、居家适老、公共建筑项目应用通道，激活银发经济细分市场；倒逼淘汰劣质产品，推动行业由低价竞争转向技术质量竞争，带动生产、材料、施工、服务上下游产业链扩容，进一步释放行业产值空间。</w:t>
      </w:r>
    </w:p>
    <w:p w14:paraId="0E10F4AB">
      <w:pPr>
        <w:pStyle w:val="24"/>
        <w:spacing w:line="360" w:lineRule="auto"/>
        <w:ind w:firstLine="480"/>
        <w:rPr>
          <w:rFonts w:hint="eastAsia" w:hAnsi="宋体"/>
          <w:color w:val="000000"/>
          <w:sz w:val="24"/>
          <w:szCs w:val="24"/>
        </w:rPr>
      </w:pPr>
      <w:r>
        <w:rPr>
          <w:rFonts w:hint="eastAsia" w:hAnsi="宋体"/>
          <w:color w:val="000000"/>
          <w:sz w:val="24"/>
          <w:szCs w:val="24"/>
        </w:rPr>
        <w:t>4. 降低全生命周期运维成本：明确性能复测、复涂修复要求，避免过早整体返工，降低建筑后期防滑运维投入。</w:t>
      </w:r>
    </w:p>
    <w:p w14:paraId="57E689D3">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94" w:name="_Toc1081"/>
      <w:r>
        <w:rPr>
          <w:rFonts w:hint="eastAsia"/>
          <w:color w:val="000000" w:themeColor="text1"/>
          <w:sz w:val="24"/>
          <w:szCs w:val="24"/>
          <w:lang w:val="en-US" w:eastAsia="zh-CN"/>
          <w14:textFill>
            <w14:solidFill>
              <w14:schemeClr w14:val="tx1"/>
            </w14:solidFill>
          </w14:textFill>
        </w:rPr>
        <w:t>预期社会效益</w:t>
      </w:r>
      <w:bookmarkEnd w:id="94"/>
    </w:p>
    <w:p w14:paraId="1FD168D8">
      <w:pPr>
        <w:pStyle w:val="24"/>
        <w:spacing w:line="360" w:lineRule="auto"/>
        <w:ind w:firstLine="480"/>
        <w:rPr>
          <w:rFonts w:hint="eastAsia" w:hAnsi="宋体"/>
          <w:color w:val="000000"/>
          <w:sz w:val="24"/>
          <w:szCs w:val="24"/>
          <w:lang w:eastAsia="zh-CN"/>
        </w:rPr>
      </w:pPr>
      <w:r>
        <w:rPr>
          <w:rFonts w:hint="eastAsia" w:hAnsi="宋体"/>
          <w:color w:val="000000"/>
          <w:sz w:val="24"/>
          <w:szCs w:val="24"/>
        </w:rPr>
        <w:t>落实积极应对人口老龄化国家战略，支撑居家及公共空间适老化改造实施，重点保障老年人、儿童、残障群体通行安全；原位改造减少建筑垃圾，契合绿色低碳发展方向；统一行业技术依据，促进行业高质量发展；严格有害物质管控，保障人居环境安全。</w:t>
      </w:r>
    </w:p>
    <w:p w14:paraId="2D85F658">
      <w:pPr>
        <w:pStyle w:val="27"/>
        <w:spacing w:before="312" w:after="312"/>
        <w:ind w:left="0"/>
        <w:rPr>
          <w:color w:val="000000" w:themeColor="text1"/>
          <w:sz w:val="28"/>
          <w:szCs w:val="28"/>
          <w14:textFill>
            <w14:solidFill>
              <w14:schemeClr w14:val="tx1"/>
            </w14:solidFill>
          </w14:textFill>
        </w:rPr>
      </w:pPr>
      <w:bookmarkStart w:id="95" w:name="_Toc10978"/>
      <w:r>
        <w:rPr>
          <w:rFonts w:hint="eastAsia"/>
          <w:color w:val="000000" w:themeColor="text1"/>
          <w:sz w:val="28"/>
          <w:szCs w:val="28"/>
          <w14:textFill>
            <w14:solidFill>
              <w14:schemeClr w14:val="tx1"/>
            </w14:solidFill>
          </w14:textFill>
        </w:rPr>
        <w:t>采用国际标准和国外先进标准情况</w:t>
      </w:r>
      <w:bookmarkEnd w:id="95"/>
    </w:p>
    <w:p w14:paraId="35524B0F">
      <w:pPr>
        <w:spacing w:line="460" w:lineRule="exact"/>
        <w:ind w:firstLine="480" w:firstLineChars="200"/>
        <w:rPr>
          <w:rFonts w:asciiTheme="majorEastAsia" w:hAnsiTheme="majorEastAsia" w:eastAsiaTheme="majorEastAsia"/>
          <w:bCs/>
          <w:color w:val="000000" w:themeColor="text1"/>
          <w:sz w:val="24"/>
          <w:szCs w:val="24"/>
          <w14:textFill>
            <w14:solidFill>
              <w14:schemeClr w14:val="tx1"/>
            </w14:solidFill>
          </w14:textFill>
        </w:rPr>
      </w:pPr>
      <w:r>
        <w:rPr>
          <w:rFonts w:hint="eastAsia" w:cs="Times New Roman" w:asciiTheme="majorEastAsia" w:hAnsiTheme="majorEastAsia" w:eastAsiaTheme="majorEastAsia"/>
          <w:bCs/>
          <w:color w:val="000000" w:themeColor="text1"/>
          <w:sz w:val="24"/>
          <w:szCs w:val="24"/>
          <w14:textFill>
            <w14:solidFill>
              <w14:schemeClr w14:val="tx1"/>
            </w14:solidFill>
          </w14:textFill>
        </w:rPr>
        <w:t>国际上目前没有</w:t>
      </w:r>
      <w:r>
        <w:rPr>
          <w:rFonts w:hint="eastAsia" w:cs="Times New Roman" w:asciiTheme="majorEastAsia" w:hAnsiTheme="majorEastAsia" w:eastAsiaTheme="majorEastAsia"/>
          <w:bCs/>
          <w:color w:val="000000" w:themeColor="text1"/>
          <w:sz w:val="24"/>
          <w:szCs w:val="24"/>
          <w:lang w:val="en-US" w:eastAsia="zh-CN"/>
          <w14:textFill>
            <w14:solidFill>
              <w14:schemeClr w14:val="tx1"/>
            </w14:solidFill>
          </w14:textFill>
        </w:rPr>
        <w:t>地面防滑剂</w:t>
      </w:r>
      <w:r>
        <w:rPr>
          <w:rFonts w:hint="eastAsia" w:asciiTheme="majorEastAsia" w:hAnsiTheme="majorEastAsia" w:eastAsiaTheme="majorEastAsia"/>
          <w:color w:val="000000" w:themeColor="text1"/>
          <w:sz w:val="24"/>
          <w:szCs w:val="24"/>
          <w14:textFill>
            <w14:solidFill>
              <w14:schemeClr w14:val="tx1"/>
            </w14:solidFill>
          </w14:textFill>
        </w:rPr>
        <w:t>的</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专项</w:t>
      </w:r>
      <w:r>
        <w:rPr>
          <w:rFonts w:hint="eastAsia" w:cs="Times New Roman" w:asciiTheme="majorEastAsia" w:hAnsiTheme="majorEastAsia" w:eastAsiaTheme="majorEastAsia"/>
          <w:bCs/>
          <w:color w:val="000000" w:themeColor="text1"/>
          <w:sz w:val="24"/>
          <w:szCs w:val="24"/>
          <w14:textFill>
            <w14:solidFill>
              <w14:schemeClr w14:val="tx1"/>
            </w14:solidFill>
          </w14:textFill>
        </w:rPr>
        <w:t>标准，</w:t>
      </w:r>
      <w:r>
        <w:rPr>
          <w:rFonts w:hint="eastAsia" w:asciiTheme="majorEastAsia" w:hAnsiTheme="majorEastAsia" w:eastAsiaTheme="majorEastAsia"/>
          <w:color w:val="000000" w:themeColor="text1"/>
          <w:sz w:val="24"/>
          <w:szCs w:val="24"/>
          <w:lang w:eastAsia="zh-CN"/>
          <w14:textFill>
            <w14:solidFill>
              <w14:schemeClr w14:val="tx1"/>
            </w14:solidFill>
          </w14:textFill>
        </w:rPr>
        <w:t>本规程</w:t>
      </w:r>
      <w:r>
        <w:rPr>
          <w:rFonts w:hint="eastAsia" w:cs="Times New Roman" w:asciiTheme="majorEastAsia" w:hAnsiTheme="majorEastAsia" w:eastAsiaTheme="majorEastAsia"/>
          <w:bCs/>
          <w:color w:val="000000" w:themeColor="text1"/>
          <w:sz w:val="24"/>
          <w:szCs w:val="24"/>
          <w14:textFill>
            <w14:solidFill>
              <w14:schemeClr w14:val="tx1"/>
            </w14:solidFill>
          </w14:textFill>
        </w:rPr>
        <w:t>未采纳国外标准。</w:t>
      </w:r>
    </w:p>
    <w:p w14:paraId="0CF101B3">
      <w:pPr>
        <w:pStyle w:val="27"/>
        <w:spacing w:before="312" w:after="312"/>
        <w:ind w:left="0"/>
        <w:rPr>
          <w:color w:val="000000" w:themeColor="text1"/>
          <w:sz w:val="28"/>
          <w:szCs w:val="28"/>
          <w14:textFill>
            <w14:solidFill>
              <w14:schemeClr w14:val="tx1"/>
            </w14:solidFill>
          </w14:textFill>
        </w:rPr>
      </w:pPr>
      <w:bookmarkStart w:id="96" w:name="_Toc24782"/>
      <w:r>
        <w:rPr>
          <w:rFonts w:hint="eastAsia"/>
          <w:color w:val="000000" w:themeColor="text1"/>
          <w:sz w:val="28"/>
          <w:szCs w:val="28"/>
          <w14:textFill>
            <w14:solidFill>
              <w14:schemeClr w14:val="tx1"/>
            </w14:solidFill>
          </w14:textFill>
        </w:rPr>
        <w:t>与现行相关法律、法规、规章及相关标准的协调性</w:t>
      </w:r>
      <w:bookmarkEnd w:id="96"/>
    </w:p>
    <w:p w14:paraId="081FCBDD">
      <w:pPr>
        <w:pStyle w:val="14"/>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textAlignment w:val="auto"/>
        <w:rPr>
          <w:rFonts w:hint="eastAsia" w:cs="Times New Roman" w:asciiTheme="majorEastAsia" w:hAnsiTheme="majorEastAsia" w:eastAsiaTheme="majorEastAsia"/>
          <w:b w:val="0"/>
          <w:bCs/>
          <w:color w:val="000000" w:themeColor="text1"/>
          <w:kern w:val="2"/>
          <w:sz w:val="24"/>
          <w:szCs w:val="24"/>
          <w:lang w:val="en-US" w:eastAsia="zh-CN" w:bidi="ar-SA"/>
          <w14:textFill>
            <w14:solidFill>
              <w14:schemeClr w14:val="tx1"/>
            </w14:solidFill>
          </w14:textFill>
        </w:rPr>
      </w:pPr>
      <w:r>
        <w:rPr>
          <w:rFonts w:hint="eastAsia" w:cs="Times New Roman" w:asciiTheme="majorEastAsia" w:hAnsiTheme="majorEastAsia" w:eastAsiaTheme="majorEastAsia"/>
          <w:b w:val="0"/>
          <w:bCs/>
          <w:color w:val="000000" w:themeColor="text1"/>
          <w:kern w:val="2"/>
          <w:sz w:val="24"/>
          <w:szCs w:val="24"/>
          <w:lang w:val="en-US" w:eastAsia="zh-CN" w:bidi="ar-SA"/>
          <w14:textFill>
            <w14:solidFill>
              <w14:schemeClr w14:val="tx1"/>
            </w14:solidFill>
          </w14:textFill>
        </w:rPr>
        <w:t>本规程为中国建筑材料联合会团体标准，定位为地面防滑剂专项应用规程，聚焦防滑剂产品、选型、施工、验收、维保全流程；不替代国家、行业强制性标准，遵循“强制性标准必须遵守，推荐性行业标准协调衔接，本规程做专项细化补充”原则，条文多处明确“除符合本规程外，尚应符合国家、地方现行有关标准规定”。</w:t>
      </w:r>
    </w:p>
    <w:p w14:paraId="30401309">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97" w:name="_Toc18240"/>
      <w:r>
        <w:rPr>
          <w:rFonts w:hint="eastAsia"/>
          <w:color w:val="000000" w:themeColor="text1"/>
          <w:sz w:val="24"/>
          <w:szCs w:val="24"/>
          <w:lang w:val="en-US" w:eastAsia="zh-CN"/>
          <w14:textFill>
            <w14:solidFill>
              <w14:schemeClr w14:val="tx1"/>
            </w14:solidFill>
          </w14:textFill>
        </w:rPr>
        <w:t>与工程建设通用国家标准的关系</w:t>
      </w:r>
      <w:bookmarkEnd w:id="97"/>
    </w:p>
    <w:p w14:paraId="0B1530B2">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8.</w:t>
      </w:r>
      <w:r>
        <w:rPr>
          <w:rFonts w:hint="eastAsia" w:hAnsi="宋体"/>
          <w:b/>
          <w:bCs/>
          <w:color w:val="000000"/>
          <w:sz w:val="24"/>
          <w:szCs w:val="24"/>
          <w:lang w:val="en-US" w:eastAsia="zh-CN"/>
        </w:rPr>
        <w:t>1.</w:t>
      </w:r>
      <w:r>
        <w:rPr>
          <w:rFonts w:hint="eastAsia"/>
          <w:b/>
          <w:bCs/>
          <w:color w:val="000000"/>
          <w:sz w:val="24"/>
          <w:szCs w:val="24"/>
          <w:lang w:val="en-US" w:eastAsia="zh-CN"/>
        </w:rPr>
        <w:t>1</w:t>
      </w:r>
      <w:r>
        <w:rPr>
          <w:rFonts w:hint="eastAsia" w:hAnsi="宋体"/>
          <w:b/>
          <w:bCs/>
          <w:color w:val="000000"/>
          <w:sz w:val="24"/>
          <w:szCs w:val="24"/>
          <w:lang w:val="en-US" w:eastAsia="zh-CN"/>
        </w:rPr>
        <w:t>《建筑地面设计规范》GB 50037（国标，工程设计）</w:t>
      </w:r>
    </w:p>
    <w:p w14:paraId="30B306D3">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（1）协调衔接：本规程5.1.5明确防滑剂工程设计应符合GB 50037要求。GB 50037提出公共场所、潮湿地面应采用防滑面层的原则性要求，但没有针对防滑剂这种后处理工艺的技术细则。</w:t>
      </w:r>
    </w:p>
    <w:p w14:paraId="12E57D75">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（2）本规程补充内容：补充防滑剂改造提升既有光滑地面防滑性能的设计方法、基材选型、单位用量、样板要求、特殊场所处理要点，填补GB 50037缺少的“后处理防滑工艺”设计细则。</w:t>
      </w:r>
    </w:p>
    <w:p w14:paraId="0FC27325">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（3）关系定位：GB</w:t>
      </w:r>
      <w:r>
        <w:rPr>
          <w:rFonts w:hint="eastAsia"/>
          <w:color w:val="000000"/>
          <w:sz w:val="24"/>
          <w:szCs w:val="24"/>
          <w:lang w:val="en-US" w:eastAsia="zh-CN"/>
        </w:rPr>
        <w:t xml:space="preserve"> </w:t>
      </w:r>
      <w:r>
        <w:rPr>
          <w:rFonts w:hint="eastAsia" w:hAnsi="宋体"/>
          <w:color w:val="000000"/>
          <w:sz w:val="24"/>
          <w:szCs w:val="24"/>
          <w:lang w:val="en-US" w:eastAsia="zh-CN"/>
        </w:rPr>
        <w:t>50037为通用基础，本规程针对防滑剂专项工艺做细化执行。</w:t>
      </w:r>
    </w:p>
    <w:p w14:paraId="58CC48CE">
      <w:pPr>
        <w:pStyle w:val="24"/>
        <w:spacing w:line="360" w:lineRule="auto"/>
        <w:ind w:firstLine="480"/>
        <w:rPr>
          <w:rFonts w:hint="eastAsia" w:hAnsi="宋体"/>
          <w:color w:val="000000"/>
          <w:sz w:val="24"/>
          <w:szCs w:val="24"/>
          <w:lang w:val="en-US" w:eastAsia="zh-CN"/>
        </w:rPr>
      </w:pPr>
      <w:r>
        <w:rPr>
          <w:rFonts w:hint="eastAsia"/>
          <w:b/>
          <w:bCs/>
          <w:color w:val="000000"/>
          <w:sz w:val="24"/>
          <w:szCs w:val="24"/>
          <w:lang w:val="en-US" w:eastAsia="zh-CN"/>
        </w:rPr>
        <w:t xml:space="preserve">8.1.2 </w:t>
      </w:r>
      <w:r>
        <w:rPr>
          <w:rFonts w:hint="eastAsia" w:hAnsi="宋体"/>
          <w:b/>
          <w:bCs/>
          <w:color w:val="000000"/>
          <w:sz w:val="24"/>
          <w:szCs w:val="24"/>
          <w:lang w:val="en-US" w:eastAsia="zh-CN"/>
        </w:rPr>
        <w:t>《建筑地面工程施工质量验收规范》GB 50209（国标，施工验收）</w:t>
      </w:r>
    </w:p>
    <w:p w14:paraId="3ADA0ED3">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（1）</w:t>
      </w:r>
      <w:r>
        <w:rPr>
          <w:rFonts w:hint="eastAsia" w:hAnsi="宋体"/>
          <w:color w:val="000000"/>
          <w:sz w:val="24"/>
          <w:szCs w:val="24"/>
          <w:lang w:val="en-US" w:eastAsia="zh-CN"/>
        </w:rPr>
        <w:t>协调衔接：本规程6.1.1、6.2.1、7.4.3引用该规范，基层质量、外观缺陷、尺寸偏差执行GB</w:t>
      </w:r>
      <w:r>
        <w:rPr>
          <w:rFonts w:hint="eastAsia"/>
          <w:color w:val="000000"/>
          <w:sz w:val="24"/>
          <w:szCs w:val="24"/>
          <w:lang w:val="en-US" w:eastAsia="zh-CN"/>
        </w:rPr>
        <w:t xml:space="preserve"> </w:t>
      </w:r>
      <w:r>
        <w:rPr>
          <w:rFonts w:hint="eastAsia" w:hAnsi="宋体"/>
          <w:color w:val="000000"/>
          <w:sz w:val="24"/>
          <w:szCs w:val="24"/>
          <w:lang w:val="en-US" w:eastAsia="zh-CN"/>
        </w:rPr>
        <w:t>50209；防滑剂属于面层后处理工序，必须建立在基层验收合格基础上，基层空鼓、裂缝、平整度执行GB</w:t>
      </w:r>
      <w:r>
        <w:rPr>
          <w:rFonts w:hint="eastAsia"/>
          <w:color w:val="000000"/>
          <w:sz w:val="24"/>
          <w:szCs w:val="24"/>
          <w:lang w:val="en-US" w:eastAsia="zh-CN"/>
        </w:rPr>
        <w:t xml:space="preserve"> </w:t>
      </w:r>
      <w:r>
        <w:rPr>
          <w:rFonts w:hint="eastAsia" w:hAnsi="宋体"/>
          <w:color w:val="000000"/>
          <w:sz w:val="24"/>
          <w:szCs w:val="24"/>
          <w:lang w:val="en-US" w:eastAsia="zh-CN"/>
        </w:rPr>
        <w:t>50209要求。</w:t>
      </w:r>
    </w:p>
    <w:p w14:paraId="0BF46904">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（2）</w:t>
      </w:r>
      <w:r>
        <w:rPr>
          <w:rFonts w:hint="eastAsia" w:hAnsi="宋体"/>
          <w:color w:val="000000"/>
          <w:sz w:val="24"/>
          <w:szCs w:val="24"/>
          <w:lang w:val="en-US" w:eastAsia="zh-CN"/>
        </w:rPr>
        <w:t>差异与补充：GB</w:t>
      </w:r>
      <w:r>
        <w:rPr>
          <w:rFonts w:hint="eastAsia"/>
          <w:color w:val="000000"/>
          <w:sz w:val="24"/>
          <w:szCs w:val="24"/>
          <w:lang w:val="en-US" w:eastAsia="zh-CN"/>
        </w:rPr>
        <w:t xml:space="preserve"> </w:t>
      </w:r>
      <w:r>
        <w:rPr>
          <w:rFonts w:hint="eastAsia" w:hAnsi="宋体"/>
          <w:color w:val="000000"/>
          <w:sz w:val="24"/>
          <w:szCs w:val="24"/>
          <w:lang w:val="en-US" w:eastAsia="zh-CN"/>
        </w:rPr>
        <w:t>50209仅提出“有防滑要求地面应满足设计防滑要求”，没有防滑剂的施工流程、材料指标、现场检测、维保内容；本规程专门规定防滑剂全套施工工序、记录表、验收单、养护、复涂要求，作为后处理工序的专项补充。</w:t>
      </w:r>
    </w:p>
    <w:p w14:paraId="2C99EBB4">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8.1.3</w:t>
      </w:r>
      <w:r>
        <w:rPr>
          <w:rFonts w:hint="eastAsia" w:hAnsi="宋体"/>
          <w:b/>
          <w:bCs/>
          <w:color w:val="000000"/>
          <w:sz w:val="24"/>
          <w:szCs w:val="24"/>
          <w:lang w:val="en-US" w:eastAsia="zh-CN"/>
        </w:rPr>
        <w:t>《民用建筑工程室内环境污染控制规范》GB 50325（国标，污染控制）</w:t>
      </w:r>
    </w:p>
    <w:p w14:paraId="320A9E12">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（1）</w:t>
      </w:r>
      <w:r>
        <w:rPr>
          <w:rFonts w:hint="eastAsia" w:hAnsi="宋体"/>
          <w:color w:val="000000"/>
          <w:sz w:val="24"/>
          <w:szCs w:val="24"/>
          <w:lang w:val="en-US" w:eastAsia="zh-CN"/>
        </w:rPr>
        <w:t>协调：本规程7.2.2主控项目明确防滑剂工程必须满足GB</w:t>
      </w:r>
      <w:r>
        <w:rPr>
          <w:rFonts w:hint="eastAsia"/>
          <w:color w:val="000000"/>
          <w:sz w:val="24"/>
          <w:szCs w:val="24"/>
          <w:lang w:val="en-US" w:eastAsia="zh-CN"/>
        </w:rPr>
        <w:t xml:space="preserve"> </w:t>
      </w:r>
      <w:r>
        <w:rPr>
          <w:rFonts w:hint="eastAsia" w:hAnsi="宋体"/>
          <w:color w:val="000000"/>
          <w:sz w:val="24"/>
          <w:szCs w:val="24"/>
          <w:lang w:val="en-US" w:eastAsia="zh-CN"/>
        </w:rPr>
        <w:t>50325室内污染控制，防滑剂有害物质指标除产品本身限值，还需要满足民用建筑室内环境管控要求。</w:t>
      </w:r>
    </w:p>
    <w:p w14:paraId="186D4F11">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（2）</w:t>
      </w:r>
      <w:r>
        <w:rPr>
          <w:rFonts w:hint="eastAsia" w:hAnsi="宋体"/>
          <w:color w:val="000000"/>
          <w:sz w:val="24"/>
          <w:szCs w:val="24"/>
          <w:lang w:val="en-US" w:eastAsia="zh-CN"/>
        </w:rPr>
        <w:t>定位：本规程4.2.2规定防滑剂VOC、甲醛、重金属等产品限值，工程验收环节衔接GB</w:t>
      </w:r>
      <w:r>
        <w:rPr>
          <w:rFonts w:hint="eastAsia"/>
          <w:color w:val="000000"/>
          <w:sz w:val="24"/>
          <w:szCs w:val="24"/>
          <w:lang w:val="en-US" w:eastAsia="zh-CN"/>
        </w:rPr>
        <w:t xml:space="preserve"> </w:t>
      </w:r>
      <w:r>
        <w:rPr>
          <w:rFonts w:hint="eastAsia" w:hAnsi="宋体"/>
          <w:color w:val="000000"/>
          <w:sz w:val="24"/>
          <w:szCs w:val="24"/>
          <w:lang w:val="en-US" w:eastAsia="zh-CN"/>
        </w:rPr>
        <w:t>50325室内环境控制。</w:t>
      </w:r>
    </w:p>
    <w:p w14:paraId="4D4B819A">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8.1.4</w:t>
      </w:r>
      <w:r>
        <w:rPr>
          <w:rFonts w:hint="eastAsia" w:hAnsi="宋体"/>
          <w:b/>
          <w:bCs/>
          <w:color w:val="000000"/>
          <w:sz w:val="24"/>
          <w:szCs w:val="24"/>
          <w:lang w:val="en-US" w:eastAsia="zh-CN"/>
        </w:rPr>
        <w:t>《无障碍设计规范》GB 50763（国标，无障碍）</w:t>
      </w:r>
    </w:p>
    <w:p w14:paraId="65C46237">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（1）</w:t>
      </w:r>
      <w:r>
        <w:rPr>
          <w:rFonts w:hint="eastAsia" w:hAnsi="宋体"/>
          <w:color w:val="000000"/>
          <w:sz w:val="24"/>
          <w:szCs w:val="24"/>
          <w:lang w:val="en-US" w:eastAsia="zh-CN"/>
        </w:rPr>
        <w:t>协调衔接：GB</w:t>
      </w:r>
      <w:r>
        <w:rPr>
          <w:rFonts w:hint="eastAsia"/>
          <w:color w:val="000000"/>
          <w:sz w:val="24"/>
          <w:szCs w:val="24"/>
          <w:lang w:val="en-US" w:eastAsia="zh-CN"/>
        </w:rPr>
        <w:t xml:space="preserve"> </w:t>
      </w:r>
      <w:r>
        <w:rPr>
          <w:rFonts w:hint="eastAsia" w:hAnsi="宋体"/>
          <w:color w:val="000000"/>
          <w:sz w:val="24"/>
          <w:szCs w:val="24"/>
          <w:lang w:val="en-US" w:eastAsia="zh-CN"/>
        </w:rPr>
        <w:t>50763仅原则要求无障碍地面平整防滑，未给出防滑等级量化指标；本规程5.4.1直接对接，明确无障碍地面干态不低于Ad级、湿态不低于Aw级，补充湿态附加静摩擦系数参考值，把规范“防滑”原则转化为可落地量化指标。</w:t>
      </w:r>
    </w:p>
    <w:p w14:paraId="09FBAD2A">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（2）</w:t>
      </w:r>
      <w:r>
        <w:rPr>
          <w:rFonts w:hint="eastAsia" w:hAnsi="宋体"/>
          <w:color w:val="000000"/>
          <w:sz w:val="24"/>
          <w:szCs w:val="24"/>
          <w:lang w:val="en-US" w:eastAsia="zh-CN"/>
        </w:rPr>
        <w:t>创新补充：针对老年人、无障碍区域，提出防滑指标不宜过高（干态COF不宜＞0.80，湿态BPN不宜＞90），防止摩擦过大绊倒，补充人体行走体验核查要求，弥补国标只设下限、无上限提示的不足。</w:t>
      </w:r>
    </w:p>
    <w:p w14:paraId="6548DC85">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 xml:space="preserve">8.1.5 </w:t>
      </w:r>
      <w:r>
        <w:rPr>
          <w:rFonts w:hint="eastAsia" w:hAnsi="宋体"/>
          <w:b/>
          <w:bCs/>
          <w:color w:val="000000"/>
          <w:sz w:val="24"/>
          <w:szCs w:val="24"/>
          <w:lang w:val="en-US" w:eastAsia="zh-CN"/>
        </w:rPr>
        <w:t>与行业防滑核心规程</w:t>
      </w:r>
      <w:r>
        <w:rPr>
          <w:rFonts w:hint="eastAsia"/>
          <w:b/>
          <w:bCs/>
          <w:color w:val="000000"/>
          <w:sz w:val="24"/>
          <w:szCs w:val="24"/>
          <w:lang w:val="en-US" w:eastAsia="zh-CN"/>
        </w:rPr>
        <w:t xml:space="preserve"> </w:t>
      </w:r>
      <w:r>
        <w:rPr>
          <w:rFonts w:hint="eastAsia" w:hAnsi="宋体"/>
          <w:b/>
          <w:bCs/>
          <w:color w:val="000000"/>
          <w:sz w:val="24"/>
          <w:szCs w:val="24"/>
          <w:lang w:val="en-US" w:eastAsia="zh-CN"/>
        </w:rPr>
        <w:t>《建筑地面工程防滑技术规程》JGJ/T 331的关系（最重要协调对象）</w:t>
      </w:r>
    </w:p>
    <w:p w14:paraId="79C74EF4">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JGJ/T</w:t>
      </w:r>
      <w:r>
        <w:rPr>
          <w:rFonts w:hint="eastAsia"/>
          <w:color w:val="000000"/>
          <w:sz w:val="24"/>
          <w:szCs w:val="24"/>
          <w:lang w:val="en-US" w:eastAsia="zh-CN"/>
        </w:rPr>
        <w:t xml:space="preserve"> </w:t>
      </w:r>
      <w:r>
        <w:rPr>
          <w:rFonts w:hint="eastAsia" w:hAnsi="宋体"/>
          <w:color w:val="000000"/>
          <w:sz w:val="24"/>
          <w:szCs w:val="24"/>
          <w:lang w:val="en-US" w:eastAsia="zh-CN"/>
        </w:rPr>
        <w:t>331是建筑行业地面防滑通用规程，覆盖构造防滑、防滑地砖、防滑剂等多种防滑方案，但对防滑剂只做简略提及，没有完整材料、施工、维保体系。</w:t>
      </w:r>
    </w:p>
    <w:p w14:paraId="3C17BECD">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（1）</w:t>
      </w:r>
      <w:r>
        <w:rPr>
          <w:rFonts w:hint="eastAsia" w:hAnsi="宋体"/>
          <w:color w:val="000000"/>
          <w:sz w:val="24"/>
          <w:szCs w:val="24"/>
          <w:lang w:val="en-US" w:eastAsia="zh-CN"/>
        </w:rPr>
        <w:t>等级体系完全对齐：防滑等级代号Ad/Bd/Cd/Dd（干态）、Aw/Bw/Cw/Dw（湿态）全部引自JGJ/T</w:t>
      </w:r>
      <w:r>
        <w:rPr>
          <w:rFonts w:hint="eastAsia"/>
          <w:color w:val="000000"/>
          <w:sz w:val="24"/>
          <w:szCs w:val="24"/>
          <w:lang w:val="en-US" w:eastAsia="zh-CN"/>
        </w:rPr>
        <w:t xml:space="preserve"> </w:t>
      </w:r>
      <w:r>
        <w:rPr>
          <w:rFonts w:hint="eastAsia" w:hAnsi="宋体"/>
          <w:color w:val="000000"/>
          <w:sz w:val="24"/>
          <w:szCs w:val="24"/>
          <w:lang w:val="en-US" w:eastAsia="zh-CN"/>
        </w:rPr>
        <w:t>331；指标划分、干态COF、湿态BPN评价逻辑完全一致，保证施工图审查、检测、验收体系统一，不产生两套分级系统冲突。</w:t>
      </w:r>
    </w:p>
    <w:p w14:paraId="16E43A11">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干态以静摩擦系数COF、潮湿/室外以摆式阻滑BPN作为主控指标，高风险涉水区域强制以湿态BPN为验收主控，延续JGJ/T</w:t>
      </w:r>
      <w:r>
        <w:rPr>
          <w:rFonts w:hint="eastAsia"/>
          <w:color w:val="000000"/>
          <w:sz w:val="24"/>
          <w:szCs w:val="24"/>
          <w:lang w:val="en-US" w:eastAsia="zh-CN"/>
        </w:rPr>
        <w:t xml:space="preserve"> </w:t>
      </w:r>
      <w:r>
        <w:rPr>
          <w:rFonts w:hint="eastAsia" w:hAnsi="宋体"/>
          <w:color w:val="000000"/>
          <w:sz w:val="24"/>
          <w:szCs w:val="24"/>
          <w:lang w:val="en-US" w:eastAsia="zh-CN"/>
        </w:rPr>
        <w:t>331思路。</w:t>
      </w:r>
    </w:p>
    <w:p w14:paraId="00BA996A">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（2）</w:t>
      </w:r>
      <w:r>
        <w:rPr>
          <w:rFonts w:hint="eastAsia" w:hAnsi="宋体"/>
          <w:color w:val="000000"/>
          <w:sz w:val="24"/>
          <w:szCs w:val="24"/>
          <w:lang w:val="en-US" w:eastAsia="zh-CN"/>
        </w:rPr>
        <w:t>检测、验收规则衔接：本规程7.1.5、7.2.3规定防滑工程验收、现场检测方法、检验批抽样参照JGJ/T</w:t>
      </w:r>
      <w:r>
        <w:rPr>
          <w:rFonts w:hint="eastAsia"/>
          <w:color w:val="000000"/>
          <w:sz w:val="24"/>
          <w:szCs w:val="24"/>
          <w:lang w:val="en-US" w:eastAsia="zh-CN"/>
        </w:rPr>
        <w:t xml:space="preserve"> </w:t>
      </w:r>
      <w:r>
        <w:rPr>
          <w:rFonts w:hint="eastAsia" w:hAnsi="宋体"/>
          <w:color w:val="000000"/>
          <w:sz w:val="24"/>
          <w:szCs w:val="24"/>
          <w:lang w:val="en-US" w:eastAsia="zh-CN"/>
        </w:rPr>
        <w:t>331执行，每个检验批不少于3处取样，延续行业既有检测判定规则。</w:t>
      </w:r>
    </w:p>
    <w:p w14:paraId="1ECFBB78">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（3）</w:t>
      </w:r>
      <w:r>
        <w:rPr>
          <w:rFonts w:hint="eastAsia" w:hAnsi="宋体"/>
          <w:color w:val="000000"/>
          <w:sz w:val="24"/>
          <w:szCs w:val="24"/>
          <w:lang w:val="en-US" w:eastAsia="zh-CN"/>
        </w:rPr>
        <w:t>本规程新增细化（JGJ/T</w:t>
      </w:r>
      <w:r>
        <w:rPr>
          <w:rFonts w:hint="eastAsia"/>
          <w:color w:val="000000"/>
          <w:sz w:val="24"/>
          <w:szCs w:val="24"/>
          <w:lang w:val="en-US" w:eastAsia="zh-CN"/>
        </w:rPr>
        <w:t xml:space="preserve"> </w:t>
      </w:r>
      <w:r>
        <w:rPr>
          <w:rFonts w:hint="eastAsia" w:hAnsi="宋体"/>
          <w:color w:val="000000"/>
          <w:sz w:val="24"/>
          <w:szCs w:val="24"/>
          <w:lang w:val="en-US" w:eastAsia="zh-CN"/>
        </w:rPr>
        <w:t>331没有完整规定）</w:t>
      </w:r>
    </w:p>
    <w:p w14:paraId="3B421E93">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防滑剂产品理化、有害物质、耐久性能全套指标（密度、粘度、PH、耐热耐寒、耐磨、耐水、耐老化、VOC、甲醛、重金属限值）；</w:t>
      </w:r>
    </w:p>
    <w:p w14:paraId="4992E698">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防滑剂分类：瓷砖专用、石材专用、抛光水泥专用，明确不同基材单位面积涂布用量；</w:t>
      </w:r>
    </w:p>
    <w:p w14:paraId="0AB83150">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完整施工流程：基层处理、除蜡、施涂、静置时间（区分常温/低温）、冲洗、养护、安全防护；</w:t>
      </w:r>
    </w:p>
    <w:p w14:paraId="2C9F46D0">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全生命周期维护保养：复测周期、防滑值衰减至80%应复涂、不同场所保养方法；</w:t>
      </w:r>
    </w:p>
    <w:p w14:paraId="77088395">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工程配套表单：施工记录表、质量计量验收单。</w:t>
      </w:r>
    </w:p>
    <w:p w14:paraId="4F0A45FB">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（4）</w:t>
      </w:r>
      <w:r>
        <w:rPr>
          <w:rFonts w:hint="eastAsia" w:hAnsi="宋体"/>
          <w:color w:val="000000"/>
          <w:sz w:val="24"/>
          <w:szCs w:val="24"/>
          <w:lang w:val="en-US" w:eastAsia="zh-CN"/>
        </w:rPr>
        <w:t>适度拓展完善：针对老年人、无障碍场所，增设防滑指标上限提示（JGJ/T</w:t>
      </w:r>
      <w:r>
        <w:rPr>
          <w:rFonts w:hint="eastAsia"/>
          <w:color w:val="000000"/>
          <w:sz w:val="24"/>
          <w:szCs w:val="24"/>
          <w:lang w:val="en-US" w:eastAsia="zh-CN"/>
        </w:rPr>
        <w:t xml:space="preserve"> </w:t>
      </w:r>
      <w:r>
        <w:rPr>
          <w:rFonts w:hint="eastAsia" w:hAnsi="宋体"/>
          <w:color w:val="000000"/>
          <w:sz w:val="24"/>
          <w:szCs w:val="24"/>
          <w:lang w:val="en-US" w:eastAsia="zh-CN"/>
        </w:rPr>
        <w:t>331只规定下限），提出样板阶段结合使用者行走体验验证，弥补“只看仪器指标忽略绊倒风险”的工程痛点，属于补充性建议，不否定原有标准。</w:t>
      </w:r>
    </w:p>
    <w:p w14:paraId="38D13789">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（5）</w:t>
      </w:r>
      <w:r>
        <w:rPr>
          <w:rFonts w:hint="eastAsia" w:hAnsi="宋体"/>
          <w:color w:val="000000"/>
          <w:sz w:val="24"/>
          <w:szCs w:val="24"/>
          <w:lang w:val="en-US" w:eastAsia="zh-CN"/>
        </w:rPr>
        <w:t>总结两者定位：JGJ/T</w:t>
      </w:r>
      <w:r>
        <w:rPr>
          <w:rFonts w:hint="eastAsia"/>
          <w:color w:val="000000"/>
          <w:sz w:val="24"/>
          <w:szCs w:val="24"/>
          <w:lang w:val="en-US" w:eastAsia="zh-CN"/>
        </w:rPr>
        <w:t xml:space="preserve"> </w:t>
      </w:r>
      <w:r>
        <w:rPr>
          <w:rFonts w:hint="eastAsia" w:hAnsi="宋体"/>
          <w:color w:val="000000"/>
          <w:sz w:val="24"/>
          <w:szCs w:val="24"/>
          <w:lang w:val="en-US" w:eastAsia="zh-CN"/>
        </w:rPr>
        <w:t>331是通用防滑总规程；本团体标准是其中“防滑剂后处理工艺”专项细分规程，等级、检测方法对齐，补充产品、施工、维保全套技术要求。</w:t>
      </w:r>
    </w:p>
    <w:p w14:paraId="315A944F">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98" w:name="_Toc10618"/>
      <w:r>
        <w:rPr>
          <w:rFonts w:hint="eastAsia"/>
          <w:color w:val="000000" w:themeColor="text1"/>
          <w:sz w:val="24"/>
          <w:szCs w:val="24"/>
          <w:lang w:val="en-US" w:eastAsia="zh-CN"/>
          <w14:textFill>
            <w14:solidFill>
              <w14:schemeClr w14:val="tx1"/>
            </w14:solidFill>
          </w14:textFill>
        </w:rPr>
        <w:t>与材料、检测方法类国家标准协调关系</w:t>
      </w:r>
      <w:bookmarkEnd w:id="98"/>
    </w:p>
    <w:p w14:paraId="26088BBA">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8.2.</w:t>
      </w:r>
      <w:r>
        <w:rPr>
          <w:rFonts w:hint="eastAsia" w:hAnsi="宋体"/>
          <w:b/>
          <w:bCs/>
          <w:color w:val="000000"/>
          <w:sz w:val="24"/>
          <w:szCs w:val="24"/>
          <w:lang w:val="en-US" w:eastAsia="zh-CN"/>
        </w:rPr>
        <w:t>1</w:t>
      </w:r>
      <w:r>
        <w:rPr>
          <w:rFonts w:hint="eastAsia"/>
          <w:b/>
          <w:bCs/>
          <w:color w:val="000000"/>
          <w:sz w:val="24"/>
          <w:szCs w:val="24"/>
          <w:lang w:val="en-US" w:eastAsia="zh-CN"/>
        </w:rPr>
        <w:t xml:space="preserve"> </w:t>
      </w:r>
      <w:r>
        <w:rPr>
          <w:rFonts w:hint="eastAsia" w:hAnsi="宋体"/>
          <w:b/>
          <w:bCs/>
          <w:color w:val="000000"/>
          <w:sz w:val="24"/>
          <w:szCs w:val="24"/>
          <w:lang w:val="en-US" w:eastAsia="zh-CN"/>
        </w:rPr>
        <w:t>陶瓷砖相关：GB/T 4100《陶瓷砖》、GB/T3810系列陶瓷砖试验方法</w:t>
      </w:r>
    </w:p>
    <w:p w14:paraId="1C777C52">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本规程4.2.3试样制备采用GB/T 4100的BIb砖；防滑、耐磨、耐酸碱、耐水性试验引用GB/T 41005附录M、GB/T</w:t>
      </w:r>
      <w:r>
        <w:rPr>
          <w:rFonts w:hint="eastAsia"/>
          <w:color w:val="000000"/>
          <w:sz w:val="24"/>
          <w:szCs w:val="24"/>
          <w:lang w:val="en-US" w:eastAsia="zh-CN"/>
        </w:rPr>
        <w:t xml:space="preserve"> </w:t>
      </w:r>
      <w:r>
        <w:rPr>
          <w:rFonts w:hint="eastAsia" w:hAnsi="宋体"/>
          <w:color w:val="000000"/>
          <w:sz w:val="24"/>
          <w:szCs w:val="24"/>
          <w:lang w:val="en-US" w:eastAsia="zh-CN"/>
        </w:rPr>
        <w:t>3810.7、GB/T</w:t>
      </w:r>
      <w:r>
        <w:rPr>
          <w:rFonts w:hint="eastAsia"/>
          <w:color w:val="000000"/>
          <w:sz w:val="24"/>
          <w:szCs w:val="24"/>
          <w:lang w:val="en-US" w:eastAsia="zh-CN"/>
        </w:rPr>
        <w:t xml:space="preserve"> </w:t>
      </w:r>
      <w:r>
        <w:rPr>
          <w:rFonts w:hint="eastAsia" w:hAnsi="宋体"/>
          <w:color w:val="000000"/>
          <w:sz w:val="24"/>
          <w:szCs w:val="24"/>
          <w:lang w:val="en-US" w:eastAsia="zh-CN"/>
        </w:rPr>
        <w:t>3810.13等试验方法标准，检测手段和现行陶瓷砖国标统一，不自创试验方法。</w:t>
      </w:r>
    </w:p>
    <w:p w14:paraId="4A57B0C7">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8.2.</w:t>
      </w:r>
      <w:r>
        <w:rPr>
          <w:rFonts w:hint="eastAsia" w:hAnsi="宋体"/>
          <w:b/>
          <w:bCs/>
          <w:color w:val="000000"/>
          <w:sz w:val="24"/>
          <w:szCs w:val="24"/>
          <w:lang w:val="en-US" w:eastAsia="zh-CN"/>
        </w:rPr>
        <w:t>2</w:t>
      </w:r>
      <w:r>
        <w:rPr>
          <w:rFonts w:hint="eastAsia"/>
          <w:b/>
          <w:bCs/>
          <w:color w:val="000000"/>
          <w:sz w:val="24"/>
          <w:szCs w:val="24"/>
          <w:lang w:val="en-US" w:eastAsia="zh-CN"/>
        </w:rPr>
        <w:t xml:space="preserve"> </w:t>
      </w:r>
      <w:r>
        <w:rPr>
          <w:rFonts w:hint="eastAsia" w:hAnsi="宋体"/>
          <w:b/>
          <w:bCs/>
          <w:color w:val="000000"/>
          <w:sz w:val="24"/>
          <w:szCs w:val="24"/>
          <w:lang w:val="en-US" w:eastAsia="zh-CN"/>
        </w:rPr>
        <w:t>涂料有害物质系列：GB</w:t>
      </w:r>
      <w:r>
        <w:rPr>
          <w:rFonts w:hint="eastAsia"/>
          <w:b/>
          <w:bCs/>
          <w:color w:val="000000"/>
          <w:sz w:val="24"/>
          <w:szCs w:val="24"/>
          <w:lang w:val="en-US" w:eastAsia="zh-CN"/>
        </w:rPr>
        <w:t xml:space="preserve"> </w:t>
      </w:r>
      <w:r>
        <w:rPr>
          <w:rFonts w:hint="eastAsia" w:hAnsi="宋体"/>
          <w:b/>
          <w:bCs/>
          <w:color w:val="000000"/>
          <w:sz w:val="24"/>
          <w:szCs w:val="24"/>
          <w:lang w:val="en-US" w:eastAsia="zh-CN"/>
        </w:rPr>
        <w:t>18582、GB</w:t>
      </w:r>
      <w:r>
        <w:rPr>
          <w:rFonts w:hint="eastAsia"/>
          <w:b/>
          <w:bCs/>
          <w:color w:val="000000"/>
          <w:sz w:val="24"/>
          <w:szCs w:val="24"/>
          <w:lang w:val="en-US" w:eastAsia="zh-CN"/>
        </w:rPr>
        <w:t xml:space="preserve"> </w:t>
      </w:r>
      <w:r>
        <w:rPr>
          <w:rFonts w:hint="eastAsia" w:hAnsi="宋体"/>
          <w:b/>
          <w:bCs/>
          <w:color w:val="000000"/>
          <w:sz w:val="24"/>
          <w:szCs w:val="24"/>
          <w:lang w:val="en-US" w:eastAsia="zh-CN"/>
        </w:rPr>
        <w:t>30981.1</w:t>
      </w:r>
    </w:p>
    <w:p w14:paraId="29342DC0">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防滑剂属于水性功能制剂，本规程4.2.2有害物质限值（VOC、甲醛、苯系物、可溶性重金属）直接引用建筑涂料有害物质限量系列国标规定的试验方法，保障产品环保指标和国内现有有害物质检测体系兼容。</w:t>
      </w:r>
    </w:p>
    <w:p w14:paraId="6E55EF3C">
      <w:pPr>
        <w:pStyle w:val="24"/>
        <w:spacing w:line="360" w:lineRule="auto"/>
        <w:ind w:firstLine="480"/>
        <w:rPr>
          <w:rFonts w:hint="eastAsia" w:hAnsi="宋体"/>
          <w:b/>
          <w:bCs/>
          <w:color w:val="000000"/>
          <w:sz w:val="24"/>
          <w:szCs w:val="24"/>
          <w:lang w:val="en-US" w:eastAsia="zh-CN"/>
        </w:rPr>
      </w:pPr>
      <w:r>
        <w:rPr>
          <w:rFonts w:hint="eastAsia"/>
          <w:b/>
          <w:bCs/>
          <w:color w:val="000000"/>
          <w:sz w:val="24"/>
          <w:szCs w:val="24"/>
          <w:lang w:val="en-US" w:eastAsia="zh-CN"/>
        </w:rPr>
        <w:t xml:space="preserve">8.2.3 </w:t>
      </w:r>
      <w:r>
        <w:rPr>
          <w:rFonts w:hint="eastAsia" w:hAnsi="宋体"/>
          <w:b/>
          <w:bCs/>
          <w:color w:val="000000"/>
          <w:sz w:val="24"/>
          <w:szCs w:val="24"/>
          <w:lang w:val="en-US" w:eastAsia="zh-CN"/>
        </w:rPr>
        <w:t>摆式摩擦：GB/T35153</w:t>
      </w:r>
    </w:p>
    <w:p w14:paraId="30B0E2F2">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处理后地面摆锤阻滑性能检测采用该标准附录A，与JGJ/T331测试方法保持一致。</w:t>
      </w:r>
    </w:p>
    <w:p w14:paraId="218A07A4">
      <w:pPr>
        <w:pStyle w:val="26"/>
        <w:spacing w:before="156" w:after="156" w:line="500" w:lineRule="exac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 </w:t>
      </w:r>
      <w:bookmarkStart w:id="99" w:name="_Toc30607"/>
      <w:r>
        <w:rPr>
          <w:rFonts w:hint="eastAsia"/>
          <w:color w:val="000000" w:themeColor="text1"/>
          <w:sz w:val="24"/>
          <w:szCs w:val="24"/>
          <w:lang w:val="en-US" w:eastAsia="zh-CN"/>
          <w14:textFill>
            <w14:solidFill>
              <w14:schemeClr w14:val="tx1"/>
            </w14:solidFill>
          </w14:textFill>
        </w:rPr>
        <w:t>安全防护类</w:t>
      </w:r>
      <w:bookmarkEnd w:id="99"/>
    </w:p>
    <w:p w14:paraId="4028CE28">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（1）</w:t>
      </w:r>
      <w:r>
        <w:rPr>
          <w:rFonts w:hint="eastAsia" w:hAnsi="宋体"/>
          <w:color w:val="000000"/>
          <w:sz w:val="24"/>
          <w:szCs w:val="24"/>
          <w:lang w:val="en-US" w:eastAsia="zh-CN"/>
        </w:rPr>
        <w:t>GB/T</w:t>
      </w:r>
      <w:r>
        <w:rPr>
          <w:rFonts w:hint="eastAsia"/>
          <w:color w:val="000000"/>
          <w:sz w:val="24"/>
          <w:szCs w:val="24"/>
          <w:lang w:val="en-US" w:eastAsia="zh-CN"/>
        </w:rPr>
        <w:t xml:space="preserve"> </w:t>
      </w:r>
      <w:r>
        <w:rPr>
          <w:rFonts w:hint="eastAsia" w:hAnsi="宋体"/>
          <w:color w:val="000000"/>
          <w:sz w:val="24"/>
          <w:szCs w:val="24"/>
          <w:lang w:val="en-US" w:eastAsia="zh-CN"/>
        </w:rPr>
        <w:t>11651《个体防护装备选用规范》：施工人员防护装备执行该国标；</w:t>
      </w:r>
    </w:p>
    <w:p w14:paraId="6E15921E">
      <w:pPr>
        <w:pStyle w:val="24"/>
        <w:spacing w:line="360" w:lineRule="auto"/>
        <w:ind w:firstLine="480"/>
        <w:rPr>
          <w:rFonts w:hint="eastAsia" w:hAnsi="宋体"/>
          <w:color w:val="000000"/>
          <w:sz w:val="24"/>
          <w:szCs w:val="24"/>
          <w:lang w:val="en-US" w:eastAsia="zh-CN"/>
        </w:rPr>
      </w:pPr>
      <w:r>
        <w:rPr>
          <w:rFonts w:hint="eastAsia"/>
          <w:color w:val="000000"/>
          <w:sz w:val="24"/>
          <w:szCs w:val="24"/>
          <w:lang w:val="en-US" w:eastAsia="zh-CN"/>
        </w:rPr>
        <w:t>（2）</w:t>
      </w:r>
      <w:r>
        <w:rPr>
          <w:rFonts w:hint="eastAsia" w:hAnsi="宋体"/>
          <w:color w:val="000000"/>
          <w:sz w:val="24"/>
          <w:szCs w:val="24"/>
          <w:lang w:val="en-US" w:eastAsia="zh-CN"/>
        </w:rPr>
        <w:t>GB</w:t>
      </w:r>
      <w:r>
        <w:rPr>
          <w:rFonts w:hint="eastAsia"/>
          <w:color w:val="000000"/>
          <w:sz w:val="24"/>
          <w:szCs w:val="24"/>
          <w:lang w:val="en-US" w:eastAsia="zh-CN"/>
        </w:rPr>
        <w:t xml:space="preserve"> </w:t>
      </w:r>
      <w:r>
        <w:rPr>
          <w:rFonts w:hint="eastAsia" w:hAnsi="宋体"/>
          <w:color w:val="000000"/>
          <w:sz w:val="24"/>
          <w:szCs w:val="24"/>
          <w:lang w:val="en-US" w:eastAsia="zh-CN"/>
        </w:rPr>
        <w:t>8958《缺氧危险作业安全规程》：密闭空间防滑剂施工通风安全遵守该规程。</w:t>
      </w:r>
    </w:p>
    <w:p w14:paraId="673805BE">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100" w:name="_Toc20146"/>
      <w:r>
        <w:rPr>
          <w:rFonts w:hint="eastAsia"/>
          <w:color w:val="000000" w:themeColor="text1"/>
          <w:sz w:val="24"/>
          <w:szCs w:val="24"/>
          <w:lang w:val="en-US" w:eastAsia="zh-CN"/>
          <w14:textFill>
            <w14:solidFill>
              <w14:schemeClr w14:val="tx1"/>
            </w14:solidFill>
          </w14:textFill>
        </w:rPr>
        <w:t>与其他专项建筑标准协调</w:t>
      </w:r>
      <w:bookmarkEnd w:id="100"/>
    </w:p>
    <w:p w14:paraId="51690F94">
      <w:pPr>
        <w:pStyle w:val="24"/>
        <w:numPr>
          <w:ilvl w:val="0"/>
          <w:numId w:val="10"/>
        </w:numPr>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《老年人居住建筑设计标准》GB/T</w:t>
      </w:r>
      <w:r>
        <w:rPr>
          <w:rFonts w:hint="eastAsia"/>
          <w:color w:val="000000"/>
          <w:sz w:val="24"/>
          <w:szCs w:val="24"/>
          <w:lang w:val="en-US" w:eastAsia="zh-CN"/>
        </w:rPr>
        <w:t xml:space="preserve"> </w:t>
      </w:r>
      <w:r>
        <w:rPr>
          <w:rFonts w:hint="eastAsia" w:hAnsi="宋体"/>
          <w:color w:val="000000"/>
          <w:sz w:val="24"/>
          <w:szCs w:val="24"/>
          <w:lang w:val="en-US" w:eastAsia="zh-CN"/>
        </w:rPr>
        <w:t>50340、《托儿所、幼儿园建筑设计规范》JGJ</w:t>
      </w:r>
      <w:r>
        <w:rPr>
          <w:rFonts w:hint="eastAsia"/>
          <w:color w:val="000000"/>
          <w:sz w:val="24"/>
          <w:szCs w:val="24"/>
          <w:lang w:val="en-US" w:eastAsia="zh-CN"/>
        </w:rPr>
        <w:t xml:space="preserve"> </w:t>
      </w:r>
      <w:r>
        <w:rPr>
          <w:rFonts w:hint="eastAsia" w:hAnsi="宋体"/>
          <w:color w:val="000000"/>
          <w:sz w:val="24"/>
          <w:szCs w:val="24"/>
          <w:lang w:val="en-US" w:eastAsia="zh-CN"/>
        </w:rPr>
        <w:t>39：本规程5.4.2对接，老人照料、托幼场所干态≥Ad级，涉水湿态≥Aw级，落实这类场所地面防滑安全要求。</w:t>
      </w:r>
    </w:p>
    <w:p w14:paraId="6A7A5E07">
      <w:pPr>
        <w:pStyle w:val="24"/>
        <w:numPr>
          <w:ilvl w:val="0"/>
          <w:numId w:val="10"/>
        </w:numPr>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引用标准名录同步纳入住宅、绿地、城镇道路等相关标准，适用于室外人行道、广场、车库出入口防滑剂处理工程。</w:t>
      </w:r>
    </w:p>
    <w:p w14:paraId="081F844E">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101" w:name="_Toc26128"/>
      <w:r>
        <w:rPr>
          <w:rFonts w:hint="eastAsia"/>
          <w:color w:val="000000" w:themeColor="text1"/>
          <w:sz w:val="24"/>
          <w:szCs w:val="24"/>
          <w:lang w:val="en-US" w:eastAsia="zh-CN"/>
          <w14:textFill>
            <w14:solidFill>
              <w14:schemeClr w14:val="tx1"/>
            </w14:solidFill>
          </w14:textFill>
        </w:rPr>
        <w:t>与法律、法规、规章层面的协调性</w:t>
      </w:r>
      <w:bookmarkEnd w:id="101"/>
    </w:p>
    <w:p w14:paraId="362014FF">
      <w:pPr>
        <w:pStyle w:val="24"/>
        <w:numPr>
          <w:ilvl w:val="0"/>
          <w:numId w:val="11"/>
        </w:numPr>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强制性底线优先：本规程属于中国建筑材料联合会发布的团体标准，工程应用时，不能降低国家工程建设强制性条文要求。如GB</w:t>
      </w:r>
      <w:r>
        <w:rPr>
          <w:rFonts w:hint="eastAsia"/>
          <w:color w:val="000000"/>
          <w:sz w:val="24"/>
          <w:szCs w:val="24"/>
          <w:lang w:val="en-US" w:eastAsia="zh-CN"/>
        </w:rPr>
        <w:t xml:space="preserve"> </w:t>
      </w:r>
      <w:r>
        <w:rPr>
          <w:rFonts w:hint="eastAsia" w:hAnsi="宋体"/>
          <w:color w:val="000000"/>
          <w:sz w:val="24"/>
          <w:szCs w:val="24"/>
          <w:lang w:val="en-US" w:eastAsia="zh-CN"/>
        </w:rPr>
        <w:t>50037、GB</w:t>
      </w:r>
      <w:r>
        <w:rPr>
          <w:rFonts w:hint="eastAsia"/>
          <w:color w:val="000000"/>
          <w:sz w:val="24"/>
          <w:szCs w:val="24"/>
          <w:lang w:val="en-US" w:eastAsia="zh-CN"/>
        </w:rPr>
        <w:t xml:space="preserve"> </w:t>
      </w:r>
      <w:r>
        <w:rPr>
          <w:rFonts w:hint="eastAsia" w:hAnsi="宋体"/>
          <w:color w:val="000000"/>
          <w:sz w:val="24"/>
          <w:szCs w:val="24"/>
          <w:lang w:val="en-US" w:eastAsia="zh-CN"/>
        </w:rPr>
        <w:t>50763的强制性要求必须优先满足；团体标准技术要求可高于但不能低于强制国标。</w:t>
      </w:r>
    </w:p>
    <w:p w14:paraId="4A09DEE7">
      <w:pPr>
        <w:pStyle w:val="24"/>
        <w:numPr>
          <w:ilvl w:val="0"/>
          <w:numId w:val="11"/>
        </w:numPr>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产品质量层面：防滑剂产品应符合《中华人民共和国产品质量法》，本规程4.3章节对合格证、说明书、标志、贮存运输、保质期（不少于3年）的要求，落实产品质量法规对标识、说明书、合格证明的管理要求。</w:t>
      </w:r>
    </w:p>
    <w:p w14:paraId="3B56226B">
      <w:pPr>
        <w:pStyle w:val="24"/>
        <w:numPr>
          <w:ilvl w:val="0"/>
          <w:numId w:val="11"/>
        </w:numPr>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职业健康安全：施工人员培训、个体防护、密闭空间通风、皮肤眼睛应急处置，符合安全生产相关法规要求。</w:t>
      </w:r>
    </w:p>
    <w:p w14:paraId="4979FEC1">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102" w:name="_Toc26325"/>
      <w:r>
        <w:rPr>
          <w:rFonts w:hint="eastAsia"/>
          <w:color w:val="000000" w:themeColor="text1"/>
          <w:sz w:val="24"/>
          <w:szCs w:val="24"/>
          <w:lang w:val="en-US" w:eastAsia="zh-CN"/>
          <w14:textFill>
            <w14:solidFill>
              <w14:schemeClr w14:val="tx1"/>
            </w14:solidFill>
          </w14:textFill>
        </w:rPr>
        <w:t>主要创新补充点与边界（不冲突，做填补）</w:t>
      </w:r>
      <w:bookmarkEnd w:id="102"/>
    </w:p>
    <w:p w14:paraId="6BA7C964">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现有国家/行业标准缺少防滑剂产品本身完整技术要求，大多只针对地砖、石材成品，本规程完整规定防滑剂理化、耐久、有害物质指标；</w:t>
      </w:r>
    </w:p>
    <w:p w14:paraId="00C321C1">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JGJ/T331仅简单提及防滑剂，没有完整施工工序、环境温湿度、静置反应时间、养护、复涂维保；本规程补齐工程全流程；</w:t>
      </w:r>
    </w:p>
    <w:p w14:paraId="2AA6D252">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提出防滑性能双向控制：不能只追求指标越高越好，对老人无障碍场所增设指标上限提示，解决工程实践“过度防滑造成绊倒”问题，属于推荐性提示，不修改原有强制等级下限。</w:t>
      </w:r>
    </w:p>
    <w:p w14:paraId="538460F8">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明确适用边界：仅适用于瓷砖、花岗岩、大理石、水磨石、抛光水泥等矿物质地材；不适用于金属、木材、塑胶、玻璃，厘清防滑剂工艺适用边界，避免工程错用。</w:t>
      </w:r>
    </w:p>
    <w:p w14:paraId="0DEC0266">
      <w:pPr>
        <w:pStyle w:val="26"/>
        <w:spacing w:before="156" w:after="156" w:line="500" w:lineRule="exact"/>
        <w:rPr>
          <w:rFonts w:hint="eastAsia"/>
          <w:color w:val="000000" w:themeColor="text1"/>
          <w:sz w:val="24"/>
          <w:szCs w:val="24"/>
          <w:lang w:val="en-US" w:eastAsia="zh-CN"/>
          <w14:textFill>
            <w14:solidFill>
              <w14:schemeClr w14:val="tx1"/>
            </w14:solidFill>
          </w14:textFill>
        </w:rPr>
      </w:pPr>
      <w:bookmarkStart w:id="103" w:name="_Toc30808"/>
      <w:r>
        <w:rPr>
          <w:rFonts w:hint="eastAsia"/>
          <w:color w:val="000000" w:themeColor="text1"/>
          <w:sz w:val="24"/>
          <w:szCs w:val="24"/>
          <w:lang w:val="en-US" w:eastAsia="zh-CN"/>
          <w14:textFill>
            <w14:solidFill>
              <w14:schemeClr w14:val="tx1"/>
            </w14:solidFill>
          </w14:textFill>
        </w:rPr>
        <w:t>总结</w:t>
      </w:r>
      <w:bookmarkEnd w:id="103"/>
    </w:p>
    <w:p w14:paraId="5A65D680">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本规程防滑等级划分、评价指标、现场检测方法完全对接《建筑地面工程防滑技术规程》JGJ/T</w:t>
      </w:r>
      <w:r>
        <w:rPr>
          <w:rFonts w:hint="eastAsia"/>
          <w:color w:val="000000"/>
          <w:sz w:val="24"/>
          <w:szCs w:val="24"/>
          <w:lang w:val="en-US" w:eastAsia="zh-CN"/>
        </w:rPr>
        <w:t xml:space="preserve"> </w:t>
      </w:r>
      <w:r>
        <w:rPr>
          <w:rFonts w:hint="eastAsia" w:hAnsi="宋体"/>
          <w:color w:val="000000"/>
          <w:sz w:val="24"/>
          <w:szCs w:val="24"/>
          <w:lang w:val="en-US" w:eastAsia="zh-CN"/>
        </w:rPr>
        <w:t>331，与现行建筑地面防滑行业标准体系保持统一，无矛盾冲突。</w:t>
      </w:r>
    </w:p>
    <w:p w14:paraId="7E2927CF">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遵守国家工程建设强制性国家标准GB</w:t>
      </w:r>
      <w:r>
        <w:rPr>
          <w:rFonts w:hint="eastAsia"/>
          <w:color w:val="000000"/>
          <w:sz w:val="24"/>
          <w:szCs w:val="24"/>
          <w:lang w:val="en-US" w:eastAsia="zh-CN"/>
        </w:rPr>
        <w:t xml:space="preserve"> </w:t>
      </w:r>
      <w:r>
        <w:rPr>
          <w:rFonts w:hint="eastAsia" w:hAnsi="宋体"/>
          <w:color w:val="000000"/>
          <w:sz w:val="24"/>
          <w:szCs w:val="24"/>
          <w:lang w:val="en-US" w:eastAsia="zh-CN"/>
        </w:rPr>
        <w:t>50037、GB</w:t>
      </w:r>
      <w:r>
        <w:rPr>
          <w:rFonts w:hint="eastAsia"/>
          <w:color w:val="000000"/>
          <w:sz w:val="24"/>
          <w:szCs w:val="24"/>
          <w:lang w:val="en-US" w:eastAsia="zh-CN"/>
        </w:rPr>
        <w:t xml:space="preserve"> </w:t>
      </w:r>
      <w:r>
        <w:rPr>
          <w:rFonts w:hint="eastAsia" w:hAnsi="宋体"/>
          <w:color w:val="000000"/>
          <w:sz w:val="24"/>
          <w:szCs w:val="24"/>
          <w:lang w:val="en-US" w:eastAsia="zh-CN"/>
        </w:rPr>
        <w:t>50209、GB</w:t>
      </w:r>
      <w:r>
        <w:rPr>
          <w:rFonts w:hint="eastAsia"/>
          <w:color w:val="000000"/>
          <w:sz w:val="24"/>
          <w:szCs w:val="24"/>
          <w:lang w:val="en-US" w:eastAsia="zh-CN"/>
        </w:rPr>
        <w:t xml:space="preserve"> </w:t>
      </w:r>
      <w:r>
        <w:rPr>
          <w:rFonts w:hint="eastAsia" w:hAnsi="宋体"/>
          <w:color w:val="000000"/>
          <w:sz w:val="24"/>
          <w:szCs w:val="24"/>
          <w:lang w:val="en-US" w:eastAsia="zh-CN"/>
        </w:rPr>
        <w:t>50763、GB</w:t>
      </w:r>
      <w:r>
        <w:rPr>
          <w:rFonts w:hint="eastAsia"/>
          <w:color w:val="000000"/>
          <w:sz w:val="24"/>
          <w:szCs w:val="24"/>
          <w:lang w:val="en-US" w:eastAsia="zh-CN"/>
        </w:rPr>
        <w:t xml:space="preserve"> </w:t>
      </w:r>
      <w:r>
        <w:rPr>
          <w:rFonts w:hint="eastAsia" w:hAnsi="宋体"/>
          <w:color w:val="000000"/>
          <w:sz w:val="24"/>
          <w:szCs w:val="24"/>
          <w:lang w:val="en-US" w:eastAsia="zh-CN"/>
        </w:rPr>
        <w:t>50325等，防滑剂工程的设计原则、基层质量、无障碍、室内污染控制服从国标，本规程聚焦防滑剂专项工艺做细化、补充。</w:t>
      </w:r>
    </w:p>
    <w:p w14:paraId="74BF43B5">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产品性能、有害物质、试验方法全部引用现行材料、检测类国家标准，不自创检测方法，与现有检测机构技术体系兼容。</w:t>
      </w:r>
    </w:p>
    <w:p w14:paraId="70B7AC48">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本规程为团体标准，属于专项应用技术文件，不替代通用工程建设标准；执行原则：防滑剂工程除执行本规程，尚应遵守国家、地方现行法律、法规、强制性标准的规定。</w:t>
      </w:r>
    </w:p>
    <w:p w14:paraId="1EE67185">
      <w:pPr>
        <w:pStyle w:val="24"/>
        <w:spacing w:line="360" w:lineRule="auto"/>
        <w:ind w:firstLine="480"/>
        <w:rPr>
          <w:rFonts w:hint="eastAsia" w:hAnsi="宋体"/>
          <w:color w:val="000000"/>
          <w:sz w:val="24"/>
          <w:szCs w:val="24"/>
          <w:lang w:val="en-US" w:eastAsia="zh-CN"/>
        </w:rPr>
      </w:pPr>
      <w:r>
        <w:rPr>
          <w:rFonts w:hint="eastAsia" w:hAnsi="宋体"/>
          <w:color w:val="000000"/>
          <w:sz w:val="24"/>
          <w:szCs w:val="24"/>
          <w:lang w:val="en-US" w:eastAsia="zh-CN"/>
        </w:rPr>
        <w:t>补充现有标准缺失的内容：防滑剂产品技术要求、基材选型、完整施工工艺、使用维护、复涂修复、工程记录表单，解决目前防滑剂工程缺少统一技术依据的现状。</w:t>
      </w:r>
    </w:p>
    <w:p w14:paraId="048A1031">
      <w:pPr>
        <w:pStyle w:val="27"/>
        <w:spacing w:before="312" w:after="312"/>
        <w:ind w:left="0"/>
        <w:rPr>
          <w:color w:val="000000" w:themeColor="text1"/>
          <w:sz w:val="28"/>
          <w:szCs w:val="28"/>
          <w14:textFill>
            <w14:solidFill>
              <w14:schemeClr w14:val="tx1"/>
            </w14:solidFill>
          </w14:textFill>
        </w:rPr>
      </w:pPr>
      <w:bookmarkStart w:id="104" w:name="_Toc3850"/>
      <w:r>
        <w:rPr>
          <w:rFonts w:hint="eastAsia"/>
          <w:color w:val="000000" w:themeColor="text1"/>
          <w:sz w:val="28"/>
          <w:szCs w:val="28"/>
          <w14:textFill>
            <w14:solidFill>
              <w14:schemeClr w14:val="tx1"/>
            </w14:solidFill>
          </w14:textFill>
        </w:rPr>
        <w:t>重大分歧意见的处理经过和依据</w:t>
      </w:r>
      <w:bookmarkEnd w:id="104"/>
    </w:p>
    <w:p w14:paraId="769BE730">
      <w:pPr>
        <w:snapToGrid w:val="0"/>
        <w:spacing w:line="460" w:lineRule="exact"/>
        <w:ind w:firstLine="424" w:firstLineChars="177"/>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标准编制过程中，广泛征求了行业内专家、相关单位的意见和建议，各方通过标准工作会、视频会议、电子邮件等形式对标准的适用范围、产品分类、检验项目、技术指标等进行了深入沟通和探讨，通过对不明确的检验项目进行验证试验，最终对标准指标要求达成一致。编制过程中，各方对该标准内容未产生重大分歧。</w:t>
      </w:r>
    </w:p>
    <w:p w14:paraId="2947A3C9">
      <w:pPr>
        <w:pStyle w:val="27"/>
        <w:spacing w:before="312" w:after="312"/>
        <w:ind w:left="0"/>
        <w:rPr>
          <w:color w:val="000000" w:themeColor="text1"/>
          <w:sz w:val="28"/>
          <w:szCs w:val="28"/>
          <w14:textFill>
            <w14:solidFill>
              <w14:schemeClr w14:val="tx1"/>
            </w14:solidFill>
          </w14:textFill>
        </w:rPr>
      </w:pPr>
      <w:bookmarkStart w:id="105" w:name="_Toc5429"/>
      <w:r>
        <w:rPr>
          <w:rFonts w:hint="eastAsia"/>
          <w:color w:val="000000" w:themeColor="text1"/>
          <w:sz w:val="28"/>
          <w:szCs w:val="28"/>
          <w14:textFill>
            <w14:solidFill>
              <w14:schemeClr w14:val="tx1"/>
            </w14:solidFill>
          </w14:textFill>
        </w:rPr>
        <w:t>标准性质的建议说明</w:t>
      </w:r>
      <w:bookmarkEnd w:id="105"/>
    </w:p>
    <w:p w14:paraId="40DDEA11">
      <w:pPr>
        <w:snapToGrid w:val="0"/>
        <w:spacing w:line="460" w:lineRule="exact"/>
        <w:ind w:firstLine="424" w:firstLineChars="177"/>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建议作为推荐性标准发布实施。</w:t>
      </w:r>
    </w:p>
    <w:p w14:paraId="1BC221E8">
      <w:pPr>
        <w:pStyle w:val="27"/>
        <w:spacing w:before="312" w:after="312"/>
        <w:ind w:left="0"/>
        <w:rPr>
          <w:color w:val="000000" w:themeColor="text1"/>
          <w:sz w:val="28"/>
          <w:szCs w:val="28"/>
          <w14:textFill>
            <w14:solidFill>
              <w14:schemeClr w14:val="tx1"/>
            </w14:solidFill>
          </w14:textFill>
        </w:rPr>
      </w:pPr>
      <w:bookmarkStart w:id="106" w:name="_Toc24608"/>
      <w:r>
        <w:rPr>
          <w:rFonts w:hint="eastAsia"/>
          <w:color w:val="000000" w:themeColor="text1"/>
          <w:sz w:val="28"/>
          <w:szCs w:val="28"/>
          <w14:textFill>
            <w14:solidFill>
              <w14:schemeClr w14:val="tx1"/>
            </w14:solidFill>
          </w14:textFill>
        </w:rPr>
        <w:t>贯彻标准的要求和措施建议</w:t>
      </w:r>
      <w:bookmarkEnd w:id="106"/>
    </w:p>
    <w:p w14:paraId="1E1B1E58">
      <w:pPr>
        <w:snapToGrid w:val="0"/>
        <w:spacing w:line="460" w:lineRule="exact"/>
        <w:ind w:firstLine="424" w:firstLineChars="177"/>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建议标准尽快实施。</w:t>
      </w:r>
    </w:p>
    <w:p w14:paraId="66C8F713">
      <w:pPr>
        <w:pStyle w:val="27"/>
        <w:spacing w:before="312" w:after="312"/>
        <w:ind w:left="0"/>
        <w:rPr>
          <w:color w:val="000000" w:themeColor="text1"/>
          <w:sz w:val="28"/>
          <w:szCs w:val="28"/>
          <w14:textFill>
            <w14:solidFill>
              <w14:schemeClr w14:val="tx1"/>
            </w14:solidFill>
          </w14:textFill>
        </w:rPr>
      </w:pPr>
      <w:bookmarkStart w:id="107" w:name="_Toc29321"/>
      <w:r>
        <w:rPr>
          <w:rFonts w:hint="eastAsia"/>
          <w:color w:val="000000" w:themeColor="text1"/>
          <w:sz w:val="28"/>
          <w:szCs w:val="28"/>
          <w14:textFill>
            <w14:solidFill>
              <w14:schemeClr w14:val="tx1"/>
            </w14:solidFill>
          </w14:textFill>
        </w:rPr>
        <w:t>废止现行相关标准的建议</w:t>
      </w:r>
      <w:bookmarkEnd w:id="107"/>
    </w:p>
    <w:p w14:paraId="012ED456">
      <w:pPr>
        <w:snapToGrid w:val="0"/>
        <w:spacing w:line="460" w:lineRule="exact"/>
        <w:ind w:firstLine="424" w:firstLineChars="177"/>
        <w:rPr>
          <w:rFonts w:asciiTheme="majorEastAsia" w:hAnsiTheme="majorEastAsia" w:eastAsiaTheme="majorEastAsia"/>
          <w:color w:val="000000" w:themeColor="text1"/>
          <w:sz w:val="24"/>
          <w:szCs w:val="24"/>
          <w14:textFill>
            <w14:solidFill>
              <w14:schemeClr w14:val="tx1"/>
            </w14:solidFill>
          </w14:textFill>
        </w:rPr>
      </w:pPr>
      <w:bookmarkStart w:id="108" w:name="_Toc83580223"/>
      <w:bookmarkStart w:id="109" w:name="_Toc62719932"/>
      <w:bookmarkStart w:id="110" w:name="_Toc88815955"/>
      <w:bookmarkStart w:id="111" w:name="_Toc75419424"/>
      <w:bookmarkStart w:id="112" w:name="_Toc79389478"/>
      <w:bookmarkStart w:id="113" w:name="_Toc79389551"/>
      <w:r>
        <w:rPr>
          <w:rFonts w:hint="eastAsia" w:asciiTheme="majorEastAsia" w:hAnsiTheme="majorEastAsia" w:eastAsiaTheme="majorEastAsia"/>
          <w:kern w:val="2"/>
          <w:sz w:val="24"/>
          <w:szCs w:val="24"/>
          <w:lang w:eastAsia="zh-CN"/>
        </w:rPr>
        <w:t>本规程</w:t>
      </w:r>
      <w:r>
        <w:rPr>
          <w:rFonts w:hint="eastAsia" w:asciiTheme="majorEastAsia" w:hAnsiTheme="majorEastAsia" w:eastAsiaTheme="majorEastAsia"/>
          <w:kern w:val="2"/>
          <w:sz w:val="24"/>
          <w:szCs w:val="24"/>
        </w:rPr>
        <w:t>是第一次制定，未发现有需要废止的现行相关标准。</w:t>
      </w:r>
      <w:bookmarkEnd w:id="108"/>
      <w:bookmarkEnd w:id="109"/>
      <w:bookmarkEnd w:id="110"/>
      <w:bookmarkEnd w:id="111"/>
      <w:bookmarkEnd w:id="112"/>
      <w:bookmarkEnd w:id="113"/>
    </w:p>
    <w:p w14:paraId="7EDC5516">
      <w:pPr>
        <w:pStyle w:val="27"/>
        <w:spacing w:before="312" w:after="312"/>
        <w:ind w:left="0"/>
        <w:rPr>
          <w:color w:val="000000" w:themeColor="text1"/>
          <w:sz w:val="28"/>
          <w:szCs w:val="28"/>
          <w14:textFill>
            <w14:solidFill>
              <w14:schemeClr w14:val="tx1"/>
            </w14:solidFill>
          </w14:textFill>
        </w:rPr>
      </w:pPr>
      <w:bookmarkStart w:id="114" w:name="_Toc32636"/>
      <w:r>
        <w:rPr>
          <w:rFonts w:hint="eastAsia"/>
          <w:color w:val="000000" w:themeColor="text1"/>
          <w:sz w:val="28"/>
          <w:szCs w:val="28"/>
          <w14:textFill>
            <w14:solidFill>
              <w14:schemeClr w14:val="tx1"/>
            </w14:solidFill>
          </w14:textFill>
        </w:rPr>
        <w:t>其它应予说明的事项</w:t>
      </w:r>
      <w:bookmarkEnd w:id="114"/>
    </w:p>
    <w:p w14:paraId="4324FE7E">
      <w:pPr>
        <w:snapToGrid w:val="0"/>
        <w:spacing w:line="460" w:lineRule="exact"/>
        <w:ind w:firstLine="424" w:firstLineChars="177"/>
        <w:rPr>
          <w:rFonts w:hint="eastAsia" w:asciiTheme="majorEastAsia" w:hAnsiTheme="majorEastAsia" w:eastAsiaTheme="majorEastAsia"/>
          <w:color w:val="000000" w:themeColor="text1"/>
          <w:sz w:val="24"/>
          <w:szCs w:val="24"/>
          <w:lang w:eastAsia="zh-CN"/>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无其他说明事项</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p>
    <w:p w14:paraId="34847546">
      <w:pPr>
        <w:rPr>
          <w:rFonts w:hint="eastAsia" w:asciiTheme="majorEastAsia" w:hAnsiTheme="majorEastAsia" w:eastAsiaTheme="majorEastAsia"/>
          <w:color w:val="000000" w:themeColor="text1"/>
          <w:sz w:val="24"/>
          <w:szCs w:val="24"/>
          <w:lang w:eastAsia="zh-CN"/>
          <w14:textFill>
            <w14:solidFill>
              <w14:schemeClr w14:val="tx1"/>
            </w14:solidFill>
          </w14:textFill>
        </w:rPr>
      </w:pPr>
    </w:p>
    <w:sectPr>
      <w:footerReference r:id="rId6" w:type="first"/>
      <w:footerReference r:id="rId5" w:type="default"/>
      <w:pgSz w:w="11906" w:h="16838"/>
      <w:pgMar w:top="1080" w:right="1440" w:bottom="1080" w:left="1440" w:header="851" w:footer="992" w:gutter="0"/>
      <w:pgNumType w:start="1"/>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3741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404132"/>
    </w:sdtPr>
    <w:sdtContent>
      <w:p w14:paraId="209D3130">
        <w:pPr>
          <w:pStyle w:val="10"/>
          <w:jc w:val="center"/>
          <w:rPr>
            <w:sz w:val="21"/>
            <w:szCs w:val="21"/>
          </w:rPr>
        </w:pPr>
        <w:r>
          <w:fldChar w:fldCharType="begin"/>
        </w:r>
        <w:r>
          <w:instrText xml:space="preserve"> PAGE   \* MERGEFORMAT </w:instrText>
        </w:r>
        <w:r>
          <w:fldChar w:fldCharType="separate"/>
        </w:r>
        <w:r>
          <w:rPr>
            <w:lang w:val="zh-CN"/>
          </w:rPr>
          <w:t>0</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98416"/>
    </w:sdtPr>
    <w:sdtContent>
      <w:p w14:paraId="66F9F962">
        <w:pPr>
          <w:pStyle w:val="10"/>
          <w:jc w:val="center"/>
        </w:pPr>
        <w:r>
          <w:fldChar w:fldCharType="begin"/>
        </w:r>
        <w:r>
          <w:instrText xml:space="preserve"> PAGE   \* MERGEFORMAT </w:instrText>
        </w:r>
        <w:r>
          <w:fldChar w:fldCharType="separate"/>
        </w:r>
        <w:r>
          <w:rPr>
            <w:lang w:val="zh-CN"/>
          </w:rPr>
          <w:t>1</w:t>
        </w:r>
        <w:r>
          <w:rPr>
            <w:lang w:val="zh-CN"/>
          </w:rPr>
          <w:fldChar w:fldCharType="end"/>
        </w:r>
      </w:p>
    </w:sdtContent>
  </w:sdt>
  <w:p w14:paraId="1C04CC0C">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3716"/>
    </w:sdtPr>
    <w:sdtContent>
      <w:p w14:paraId="4BB1EAC1">
        <w:pPr>
          <w:pStyle w:val="10"/>
          <w:jc w:val="center"/>
          <w:rPr>
            <w:sz w:val="21"/>
            <w:szCs w:val="21"/>
          </w:rPr>
        </w:pPr>
        <w:r>
          <w:fldChar w:fldCharType="begin"/>
        </w:r>
        <w:r>
          <w:instrText xml:space="preserve"> PAGE   \* MERGEFORMAT </w:instrText>
        </w:r>
        <w:r>
          <w:fldChar w:fldCharType="separate"/>
        </w:r>
        <w:r>
          <w:rPr>
            <w:lang w:val="zh-CN"/>
          </w:rPr>
          <w:t>0</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E02674"/>
    <w:multiLevelType w:val="singleLevel"/>
    <w:tmpl w:val="89E02674"/>
    <w:lvl w:ilvl="0" w:tentative="0">
      <w:start w:val="1"/>
      <w:numFmt w:val="decimal"/>
      <w:suff w:val="nothing"/>
      <w:lvlText w:val="（%1）"/>
      <w:lvlJc w:val="left"/>
    </w:lvl>
  </w:abstractNum>
  <w:abstractNum w:abstractNumId="1">
    <w:nsid w:val="A03FE99B"/>
    <w:multiLevelType w:val="singleLevel"/>
    <w:tmpl w:val="A03FE99B"/>
    <w:lvl w:ilvl="0" w:tentative="0">
      <w:start w:val="1"/>
      <w:numFmt w:val="decimal"/>
      <w:suff w:val="nothing"/>
      <w:lvlText w:val="（%1）"/>
      <w:lvlJc w:val="left"/>
    </w:lvl>
  </w:abstractNum>
  <w:abstractNum w:abstractNumId="2">
    <w:nsid w:val="CF7AF943"/>
    <w:multiLevelType w:val="singleLevel"/>
    <w:tmpl w:val="CF7AF943"/>
    <w:lvl w:ilvl="0" w:tentative="0">
      <w:start w:val="1"/>
      <w:numFmt w:val="decimal"/>
      <w:suff w:val="nothing"/>
      <w:lvlText w:val="（%1）"/>
      <w:lvlJc w:val="left"/>
    </w:lvl>
  </w:abstractNum>
  <w:abstractNum w:abstractNumId="3">
    <w:nsid w:val="03D240DA"/>
    <w:multiLevelType w:val="singleLevel"/>
    <w:tmpl w:val="03D240DA"/>
    <w:lvl w:ilvl="0" w:tentative="0">
      <w:start w:val="1"/>
      <w:numFmt w:val="decimal"/>
      <w:suff w:val="nothing"/>
      <w:lvlText w:val="（%1）"/>
      <w:lvlJc w:val="left"/>
    </w:lvl>
  </w:abstractNum>
  <w:abstractNum w:abstractNumId="4">
    <w:nsid w:val="0AE367E9"/>
    <w:multiLevelType w:val="multilevel"/>
    <w:tmpl w:val="0AE367E9"/>
    <w:lvl w:ilvl="0" w:tentative="0">
      <w:start w:val="1"/>
      <w:numFmt w:val="none"/>
      <w:pStyle w:val="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1DCB3BFD"/>
    <w:multiLevelType w:val="multilevel"/>
    <w:tmpl w:val="1DCB3BFD"/>
    <w:lvl w:ilvl="0" w:tentative="0">
      <w:start w:val="1"/>
      <w:numFmt w:val="lowerLetter"/>
      <w:pStyle w:val="3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33"/>
      <w:lvlText w:val="%2)"/>
      <w:lvlJc w:val="left"/>
      <w:pPr>
        <w:tabs>
          <w:tab w:val="left" w:pos="1260"/>
        </w:tabs>
        <w:ind w:left="1259" w:hanging="419"/>
      </w:pPr>
      <w:rPr>
        <w:rFonts w:hint="eastAsia"/>
      </w:rPr>
    </w:lvl>
    <w:lvl w:ilvl="2" w:tentative="0">
      <w:start w:val="1"/>
      <w:numFmt w:val="decimal"/>
      <w:pStyle w:val="3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1FC91163"/>
    <w:multiLevelType w:val="multilevel"/>
    <w:tmpl w:val="1FC91163"/>
    <w:lvl w:ilvl="0" w:tentative="0">
      <w:start w:val="1"/>
      <w:numFmt w:val="decimal"/>
      <w:pStyle w:val="27"/>
      <w:suff w:val="nothing"/>
      <w:lvlText w:val="%1　"/>
      <w:lvlJc w:val="left"/>
      <w:pPr>
        <w:ind w:left="710" w:firstLine="0"/>
      </w:pPr>
      <w:rPr>
        <w:rFonts w:hint="default" w:ascii="黑体" w:hAnsi="Times New Roman" w:eastAsia="黑体"/>
        <w:b w:val="0"/>
        <w:i w:val="0"/>
        <w:sz w:val="28"/>
        <w:szCs w:val="28"/>
      </w:rPr>
    </w:lvl>
    <w:lvl w:ilvl="1" w:tentative="0">
      <w:start w:val="1"/>
      <w:numFmt w:val="decimal"/>
      <w:pStyle w:val="26"/>
      <w:suff w:val="nothing"/>
      <w:lvlText w:val="%1.%2　"/>
      <w:lvlJc w:val="left"/>
      <w:pPr>
        <w:ind w:left="1135" w:firstLine="0"/>
      </w:pPr>
      <w:rPr>
        <w:rFonts w:hint="default" w:ascii="黑体" w:hAnsi="Times New Roman" w:eastAsia="黑体" w:cs="Times New Roman"/>
        <w:b w:val="0"/>
        <w:bCs w:val="0"/>
        <w:i w:val="0"/>
        <w:iCs w:val="0"/>
        <w:caps w:val="0"/>
        <w:strike w:val="0"/>
        <w:dstrike w:val="0"/>
        <w:outline w:val="0"/>
        <w:shadow w:val="0"/>
        <w:emboss w:val="0"/>
        <w:imprint w:val="0"/>
        <w:vanish w:val="0"/>
        <w:spacing w:val="0"/>
        <w:kern w:val="0"/>
        <w:position w:val="0"/>
        <w:sz w:val="24"/>
        <w:szCs w:val="24"/>
        <w:u w:val="none"/>
        <w:vertAlign w:val="baseline"/>
      </w:rPr>
    </w:lvl>
    <w:lvl w:ilvl="2" w:tentative="0">
      <w:start w:val="1"/>
      <w:numFmt w:val="decimal"/>
      <w:pStyle w:val="28"/>
      <w:suff w:val="nothing"/>
      <w:lvlText w:val="%1.%2.%3　"/>
      <w:lvlJc w:val="left"/>
      <w:pPr>
        <w:ind w:left="0" w:firstLine="0"/>
      </w:pPr>
      <w:rPr>
        <w:rFonts w:hint="eastAsia" w:ascii="黑体" w:hAnsi="Times New Roman" w:eastAsia="黑体"/>
        <w:b w:val="0"/>
        <w:i w:val="0"/>
        <w:sz w:val="21"/>
      </w:rPr>
    </w:lvl>
    <w:lvl w:ilvl="3" w:tentative="0">
      <w:start w:val="1"/>
      <w:numFmt w:val="decimal"/>
      <w:pStyle w:val="29"/>
      <w:suff w:val="nothing"/>
      <w:lvlText w:val="%1.%2.%3.%4　"/>
      <w:lvlJc w:val="left"/>
      <w:pPr>
        <w:ind w:left="142" w:firstLine="0"/>
      </w:pPr>
      <w:rPr>
        <w:rFonts w:hint="eastAsia" w:ascii="黑体" w:hAnsi="Times New Roman" w:eastAsia="黑体"/>
        <w:b w:val="0"/>
        <w:i w:val="0"/>
        <w:sz w:val="21"/>
      </w:rPr>
    </w:lvl>
    <w:lvl w:ilvl="4" w:tentative="0">
      <w:start w:val="1"/>
      <w:numFmt w:val="decimal"/>
      <w:pStyle w:val="30"/>
      <w:suff w:val="nothing"/>
      <w:lvlText w:val="%1.%2.%3.%4.%5　"/>
      <w:lvlJc w:val="left"/>
      <w:pPr>
        <w:ind w:left="0" w:firstLine="0"/>
      </w:pPr>
      <w:rPr>
        <w:rFonts w:hint="eastAsia" w:ascii="黑体" w:hAnsi="Times New Roman" w:eastAsia="黑体"/>
        <w:b w:val="0"/>
        <w:i w:val="0"/>
        <w:sz w:val="21"/>
      </w:rPr>
    </w:lvl>
    <w:lvl w:ilvl="5" w:tentative="0">
      <w:start w:val="1"/>
      <w:numFmt w:val="decimal"/>
      <w:pStyle w:val="3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4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4A55109C"/>
    <w:multiLevelType w:val="singleLevel"/>
    <w:tmpl w:val="4A55109C"/>
    <w:lvl w:ilvl="0" w:tentative="0">
      <w:start w:val="1"/>
      <w:numFmt w:val="decimal"/>
      <w:suff w:val="nothing"/>
      <w:lvlText w:val="（%1）"/>
      <w:lvlJc w:val="left"/>
    </w:lvl>
  </w:abstractNum>
  <w:abstractNum w:abstractNumId="9">
    <w:nsid w:val="657D3FBC"/>
    <w:multiLevelType w:val="multilevel"/>
    <w:tmpl w:val="657D3FBC"/>
    <w:lvl w:ilvl="0" w:tentative="0">
      <w:start w:val="1"/>
      <w:numFmt w:val="upperLetter"/>
      <w:pStyle w:val="3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4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37"/>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9"/>
      <w:suff w:val="nothing"/>
      <w:lvlText w:val="%1.%2.%3.%4.%5.%6　"/>
      <w:lvlJc w:val="left"/>
      <w:pPr>
        <w:ind w:left="0" w:firstLine="0"/>
      </w:pPr>
      <w:rPr>
        <w:rFonts w:hint="eastAsia" w:ascii="黑体" w:hAnsi="Times New Roman" w:eastAsia="黑体"/>
        <w:b w:val="0"/>
        <w:i w:val="0"/>
        <w:sz w:val="21"/>
      </w:rPr>
    </w:lvl>
    <w:lvl w:ilvl="6" w:tentative="0">
      <w:start w:val="1"/>
      <w:numFmt w:val="decimal"/>
      <w:pStyle w:val="4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7BDF9890"/>
    <w:multiLevelType w:val="singleLevel"/>
    <w:tmpl w:val="7BDF9890"/>
    <w:lvl w:ilvl="0" w:tentative="0">
      <w:start w:val="1"/>
      <w:numFmt w:val="decimal"/>
      <w:suff w:val="nothing"/>
      <w:lvlText w:val="（%1）"/>
      <w:lvlJc w:val="left"/>
    </w:lvl>
  </w:abstractNum>
  <w:num w:numId="1">
    <w:abstractNumId w:val="6"/>
  </w:num>
  <w:num w:numId="2">
    <w:abstractNumId w:val="5"/>
  </w:num>
  <w:num w:numId="3">
    <w:abstractNumId w:val="9"/>
  </w:num>
  <w:num w:numId="4">
    <w:abstractNumId w:val="7"/>
  </w:num>
  <w:num w:numId="5">
    <w:abstractNumId w:val="4"/>
  </w:num>
  <w:num w:numId="6">
    <w:abstractNumId w:val="2"/>
  </w:num>
  <w:num w:numId="7">
    <w:abstractNumId w:val="10"/>
  </w:num>
  <w:num w:numId="8">
    <w:abstractNumId w:val="3"/>
  </w:num>
  <w:num w:numId="9">
    <w:abstractNumId w:val="8"/>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3NzY2OTE4Y2ViOTllZTUyNWRkMDdjMDkyNzExNjcifQ=="/>
  </w:docVars>
  <w:rsids>
    <w:rsidRoot w:val="00E56685"/>
    <w:rsid w:val="00010984"/>
    <w:rsid w:val="00010A8E"/>
    <w:rsid w:val="00010BF9"/>
    <w:rsid w:val="00016D89"/>
    <w:rsid w:val="00022C0F"/>
    <w:rsid w:val="000250FC"/>
    <w:rsid w:val="00027A4B"/>
    <w:rsid w:val="00050385"/>
    <w:rsid w:val="00050DAF"/>
    <w:rsid w:val="00053160"/>
    <w:rsid w:val="000539A1"/>
    <w:rsid w:val="00061410"/>
    <w:rsid w:val="00062D97"/>
    <w:rsid w:val="00070873"/>
    <w:rsid w:val="00073BE9"/>
    <w:rsid w:val="000754F4"/>
    <w:rsid w:val="00076E82"/>
    <w:rsid w:val="00080E80"/>
    <w:rsid w:val="00081661"/>
    <w:rsid w:val="0008693C"/>
    <w:rsid w:val="00087ECC"/>
    <w:rsid w:val="00097AE0"/>
    <w:rsid w:val="000A33B4"/>
    <w:rsid w:val="000A7659"/>
    <w:rsid w:val="000B1E3A"/>
    <w:rsid w:val="000C6363"/>
    <w:rsid w:val="000D0656"/>
    <w:rsid w:val="000D5560"/>
    <w:rsid w:val="000E2F8F"/>
    <w:rsid w:val="000E4364"/>
    <w:rsid w:val="000E73E3"/>
    <w:rsid w:val="000F2052"/>
    <w:rsid w:val="000F7B3D"/>
    <w:rsid w:val="00105B06"/>
    <w:rsid w:val="0010670F"/>
    <w:rsid w:val="00110CAC"/>
    <w:rsid w:val="00113847"/>
    <w:rsid w:val="00115F00"/>
    <w:rsid w:val="00116693"/>
    <w:rsid w:val="00116FEB"/>
    <w:rsid w:val="00117004"/>
    <w:rsid w:val="00121646"/>
    <w:rsid w:val="001276F6"/>
    <w:rsid w:val="00133C4E"/>
    <w:rsid w:val="0013677D"/>
    <w:rsid w:val="00161455"/>
    <w:rsid w:val="00162424"/>
    <w:rsid w:val="001642EF"/>
    <w:rsid w:val="00164944"/>
    <w:rsid w:val="0017538F"/>
    <w:rsid w:val="0018707D"/>
    <w:rsid w:val="00190185"/>
    <w:rsid w:val="00192722"/>
    <w:rsid w:val="00192AFF"/>
    <w:rsid w:val="00195B67"/>
    <w:rsid w:val="001A216B"/>
    <w:rsid w:val="001A227F"/>
    <w:rsid w:val="001A52C7"/>
    <w:rsid w:val="001A5D07"/>
    <w:rsid w:val="001B3878"/>
    <w:rsid w:val="001B3AB3"/>
    <w:rsid w:val="001D2F14"/>
    <w:rsid w:val="001D3835"/>
    <w:rsid w:val="001D5654"/>
    <w:rsid w:val="001D6D15"/>
    <w:rsid w:val="001E0FA7"/>
    <w:rsid w:val="001E1138"/>
    <w:rsid w:val="001E1B27"/>
    <w:rsid w:val="001F1D7A"/>
    <w:rsid w:val="001F35CD"/>
    <w:rsid w:val="001F668E"/>
    <w:rsid w:val="00205DD0"/>
    <w:rsid w:val="00206295"/>
    <w:rsid w:val="00211970"/>
    <w:rsid w:val="0021347D"/>
    <w:rsid w:val="0021360B"/>
    <w:rsid w:val="00215FEB"/>
    <w:rsid w:val="00222A5F"/>
    <w:rsid w:val="00226FFD"/>
    <w:rsid w:val="002277EB"/>
    <w:rsid w:val="00234060"/>
    <w:rsid w:val="002408C5"/>
    <w:rsid w:val="00244226"/>
    <w:rsid w:val="002449A0"/>
    <w:rsid w:val="0024502B"/>
    <w:rsid w:val="00247522"/>
    <w:rsid w:val="00252491"/>
    <w:rsid w:val="00253584"/>
    <w:rsid w:val="00256818"/>
    <w:rsid w:val="0026131C"/>
    <w:rsid w:val="002663F4"/>
    <w:rsid w:val="00280E35"/>
    <w:rsid w:val="00283227"/>
    <w:rsid w:val="00286AEE"/>
    <w:rsid w:val="00296CD7"/>
    <w:rsid w:val="002A08DE"/>
    <w:rsid w:val="002A1FC8"/>
    <w:rsid w:val="002A4222"/>
    <w:rsid w:val="002A48F9"/>
    <w:rsid w:val="002A5775"/>
    <w:rsid w:val="002A6289"/>
    <w:rsid w:val="002B425D"/>
    <w:rsid w:val="002B5624"/>
    <w:rsid w:val="002C092E"/>
    <w:rsid w:val="002C36A8"/>
    <w:rsid w:val="002C5C03"/>
    <w:rsid w:val="002D05A7"/>
    <w:rsid w:val="002E04C9"/>
    <w:rsid w:val="002E1622"/>
    <w:rsid w:val="002E1D38"/>
    <w:rsid w:val="002F7300"/>
    <w:rsid w:val="002F7940"/>
    <w:rsid w:val="00303996"/>
    <w:rsid w:val="00304FA8"/>
    <w:rsid w:val="00306A24"/>
    <w:rsid w:val="00306E04"/>
    <w:rsid w:val="0030754C"/>
    <w:rsid w:val="00313EF0"/>
    <w:rsid w:val="00320E57"/>
    <w:rsid w:val="0032580F"/>
    <w:rsid w:val="00327CFA"/>
    <w:rsid w:val="00332B7E"/>
    <w:rsid w:val="00333B38"/>
    <w:rsid w:val="003357F6"/>
    <w:rsid w:val="00343653"/>
    <w:rsid w:val="003439A8"/>
    <w:rsid w:val="0035125E"/>
    <w:rsid w:val="00351F26"/>
    <w:rsid w:val="00357CE3"/>
    <w:rsid w:val="003600BD"/>
    <w:rsid w:val="00363F1D"/>
    <w:rsid w:val="00364D1B"/>
    <w:rsid w:val="00365F86"/>
    <w:rsid w:val="00372300"/>
    <w:rsid w:val="00373734"/>
    <w:rsid w:val="00376969"/>
    <w:rsid w:val="003771C7"/>
    <w:rsid w:val="003838E7"/>
    <w:rsid w:val="00384B49"/>
    <w:rsid w:val="00386C69"/>
    <w:rsid w:val="003B65A4"/>
    <w:rsid w:val="003C3522"/>
    <w:rsid w:val="003C4733"/>
    <w:rsid w:val="003C5C7E"/>
    <w:rsid w:val="003C7C9D"/>
    <w:rsid w:val="003D10FC"/>
    <w:rsid w:val="003D1A36"/>
    <w:rsid w:val="003D27C0"/>
    <w:rsid w:val="003D482B"/>
    <w:rsid w:val="003E4867"/>
    <w:rsid w:val="003E5A99"/>
    <w:rsid w:val="003E663E"/>
    <w:rsid w:val="003E7642"/>
    <w:rsid w:val="003F61D8"/>
    <w:rsid w:val="003F7686"/>
    <w:rsid w:val="00404321"/>
    <w:rsid w:val="004058EA"/>
    <w:rsid w:val="004106D2"/>
    <w:rsid w:val="00410D1F"/>
    <w:rsid w:val="0041106F"/>
    <w:rsid w:val="00413651"/>
    <w:rsid w:val="0041538B"/>
    <w:rsid w:val="00415796"/>
    <w:rsid w:val="00417756"/>
    <w:rsid w:val="004221D6"/>
    <w:rsid w:val="00424F82"/>
    <w:rsid w:val="0043212D"/>
    <w:rsid w:val="004345F3"/>
    <w:rsid w:val="00437D9A"/>
    <w:rsid w:val="00441301"/>
    <w:rsid w:val="00456840"/>
    <w:rsid w:val="00456CB2"/>
    <w:rsid w:val="004606D1"/>
    <w:rsid w:val="004611C4"/>
    <w:rsid w:val="00461830"/>
    <w:rsid w:val="00465BDF"/>
    <w:rsid w:val="00470EA5"/>
    <w:rsid w:val="00470F5D"/>
    <w:rsid w:val="004734C4"/>
    <w:rsid w:val="00474CC7"/>
    <w:rsid w:val="0048051C"/>
    <w:rsid w:val="00484411"/>
    <w:rsid w:val="00487DF0"/>
    <w:rsid w:val="004939FA"/>
    <w:rsid w:val="00494F36"/>
    <w:rsid w:val="00495814"/>
    <w:rsid w:val="00497380"/>
    <w:rsid w:val="00497CAC"/>
    <w:rsid w:val="004A253D"/>
    <w:rsid w:val="004A441F"/>
    <w:rsid w:val="004B08FA"/>
    <w:rsid w:val="004B1EC9"/>
    <w:rsid w:val="004B35B5"/>
    <w:rsid w:val="004C3F51"/>
    <w:rsid w:val="004D144A"/>
    <w:rsid w:val="004D1635"/>
    <w:rsid w:val="004D2E62"/>
    <w:rsid w:val="004D3C1E"/>
    <w:rsid w:val="004D4AEB"/>
    <w:rsid w:val="004E0CDC"/>
    <w:rsid w:val="004E0DE0"/>
    <w:rsid w:val="004E4850"/>
    <w:rsid w:val="004E616D"/>
    <w:rsid w:val="004F121C"/>
    <w:rsid w:val="004F1304"/>
    <w:rsid w:val="004F775C"/>
    <w:rsid w:val="004F7E5C"/>
    <w:rsid w:val="00504519"/>
    <w:rsid w:val="00514F81"/>
    <w:rsid w:val="00520258"/>
    <w:rsid w:val="00522B10"/>
    <w:rsid w:val="00522D07"/>
    <w:rsid w:val="0052372C"/>
    <w:rsid w:val="005517A1"/>
    <w:rsid w:val="00553F95"/>
    <w:rsid w:val="00560061"/>
    <w:rsid w:val="00565F24"/>
    <w:rsid w:val="00575190"/>
    <w:rsid w:val="00576FC7"/>
    <w:rsid w:val="005875FE"/>
    <w:rsid w:val="00590F01"/>
    <w:rsid w:val="00592716"/>
    <w:rsid w:val="005A25F3"/>
    <w:rsid w:val="005A5AD5"/>
    <w:rsid w:val="005B0298"/>
    <w:rsid w:val="005B26AA"/>
    <w:rsid w:val="005C4367"/>
    <w:rsid w:val="005C659B"/>
    <w:rsid w:val="005D1741"/>
    <w:rsid w:val="005D2016"/>
    <w:rsid w:val="005D2476"/>
    <w:rsid w:val="005D32AC"/>
    <w:rsid w:val="005D3985"/>
    <w:rsid w:val="005D6351"/>
    <w:rsid w:val="005E3161"/>
    <w:rsid w:val="005F0AB0"/>
    <w:rsid w:val="005F1246"/>
    <w:rsid w:val="0060674E"/>
    <w:rsid w:val="006113C2"/>
    <w:rsid w:val="00613321"/>
    <w:rsid w:val="00614DFD"/>
    <w:rsid w:val="00621EBE"/>
    <w:rsid w:val="006226DF"/>
    <w:rsid w:val="00630D40"/>
    <w:rsid w:val="00631D3D"/>
    <w:rsid w:val="00631EE1"/>
    <w:rsid w:val="0063288B"/>
    <w:rsid w:val="00636852"/>
    <w:rsid w:val="00650A90"/>
    <w:rsid w:val="00652812"/>
    <w:rsid w:val="00653A06"/>
    <w:rsid w:val="00655D62"/>
    <w:rsid w:val="006647B7"/>
    <w:rsid w:val="006705BB"/>
    <w:rsid w:val="00674084"/>
    <w:rsid w:val="006755B8"/>
    <w:rsid w:val="00677A4A"/>
    <w:rsid w:val="00681738"/>
    <w:rsid w:val="006836CC"/>
    <w:rsid w:val="00687F54"/>
    <w:rsid w:val="00695B82"/>
    <w:rsid w:val="006A139B"/>
    <w:rsid w:val="006A16DF"/>
    <w:rsid w:val="006A2138"/>
    <w:rsid w:val="006B031F"/>
    <w:rsid w:val="006B04F9"/>
    <w:rsid w:val="006B0A7E"/>
    <w:rsid w:val="006B11FD"/>
    <w:rsid w:val="006B5381"/>
    <w:rsid w:val="006B7ECD"/>
    <w:rsid w:val="006D0304"/>
    <w:rsid w:val="006D16D6"/>
    <w:rsid w:val="006D7B7B"/>
    <w:rsid w:val="006E76CA"/>
    <w:rsid w:val="006F395C"/>
    <w:rsid w:val="006F6E9F"/>
    <w:rsid w:val="00702846"/>
    <w:rsid w:val="00702CDE"/>
    <w:rsid w:val="00721F45"/>
    <w:rsid w:val="007222FD"/>
    <w:rsid w:val="007239CB"/>
    <w:rsid w:val="007250B8"/>
    <w:rsid w:val="00733B9A"/>
    <w:rsid w:val="00741303"/>
    <w:rsid w:val="007435A7"/>
    <w:rsid w:val="00743F17"/>
    <w:rsid w:val="007449C4"/>
    <w:rsid w:val="007467D6"/>
    <w:rsid w:val="00747015"/>
    <w:rsid w:val="007570B1"/>
    <w:rsid w:val="007615A3"/>
    <w:rsid w:val="00761F2E"/>
    <w:rsid w:val="0077134A"/>
    <w:rsid w:val="00772FE7"/>
    <w:rsid w:val="00777580"/>
    <w:rsid w:val="007800D8"/>
    <w:rsid w:val="007832D8"/>
    <w:rsid w:val="00791189"/>
    <w:rsid w:val="007A1152"/>
    <w:rsid w:val="007A12D4"/>
    <w:rsid w:val="007A30D4"/>
    <w:rsid w:val="007A6822"/>
    <w:rsid w:val="007B6F76"/>
    <w:rsid w:val="007C01A2"/>
    <w:rsid w:val="007C43F2"/>
    <w:rsid w:val="007D1E01"/>
    <w:rsid w:val="007D28BE"/>
    <w:rsid w:val="007E49B3"/>
    <w:rsid w:val="007F06AA"/>
    <w:rsid w:val="007F3BF4"/>
    <w:rsid w:val="007F4575"/>
    <w:rsid w:val="007F5295"/>
    <w:rsid w:val="007F5758"/>
    <w:rsid w:val="0080188B"/>
    <w:rsid w:val="00804468"/>
    <w:rsid w:val="00805670"/>
    <w:rsid w:val="0080658F"/>
    <w:rsid w:val="00810F0C"/>
    <w:rsid w:val="00812A43"/>
    <w:rsid w:val="00817174"/>
    <w:rsid w:val="0082011B"/>
    <w:rsid w:val="00821922"/>
    <w:rsid w:val="00821A4E"/>
    <w:rsid w:val="00821B2B"/>
    <w:rsid w:val="00822E57"/>
    <w:rsid w:val="00823FCA"/>
    <w:rsid w:val="0083079F"/>
    <w:rsid w:val="00833442"/>
    <w:rsid w:val="0084183E"/>
    <w:rsid w:val="008458B1"/>
    <w:rsid w:val="00846AA6"/>
    <w:rsid w:val="0084701E"/>
    <w:rsid w:val="008502F7"/>
    <w:rsid w:val="008536F9"/>
    <w:rsid w:val="00853B00"/>
    <w:rsid w:val="00861B19"/>
    <w:rsid w:val="00861B31"/>
    <w:rsid w:val="008626CA"/>
    <w:rsid w:val="008664F5"/>
    <w:rsid w:val="00875959"/>
    <w:rsid w:val="00876A46"/>
    <w:rsid w:val="00885E09"/>
    <w:rsid w:val="008877E5"/>
    <w:rsid w:val="00887CD3"/>
    <w:rsid w:val="008900FF"/>
    <w:rsid w:val="008922AF"/>
    <w:rsid w:val="0089707B"/>
    <w:rsid w:val="00897EBE"/>
    <w:rsid w:val="008A1290"/>
    <w:rsid w:val="008A1F56"/>
    <w:rsid w:val="008A3168"/>
    <w:rsid w:val="008A3993"/>
    <w:rsid w:val="008A3AC8"/>
    <w:rsid w:val="008A444B"/>
    <w:rsid w:val="008B2EF6"/>
    <w:rsid w:val="008B320E"/>
    <w:rsid w:val="008B38BF"/>
    <w:rsid w:val="008B4EE7"/>
    <w:rsid w:val="008B7DAB"/>
    <w:rsid w:val="008C1605"/>
    <w:rsid w:val="008C165E"/>
    <w:rsid w:val="008C3405"/>
    <w:rsid w:val="008C3C28"/>
    <w:rsid w:val="008C51D1"/>
    <w:rsid w:val="008E0C9F"/>
    <w:rsid w:val="008E2D96"/>
    <w:rsid w:val="008E4C32"/>
    <w:rsid w:val="008F08C5"/>
    <w:rsid w:val="008F7E67"/>
    <w:rsid w:val="009026CC"/>
    <w:rsid w:val="00902782"/>
    <w:rsid w:val="00904044"/>
    <w:rsid w:val="00906AAA"/>
    <w:rsid w:val="00910133"/>
    <w:rsid w:val="009155F3"/>
    <w:rsid w:val="00930D3F"/>
    <w:rsid w:val="00932BC8"/>
    <w:rsid w:val="0093598B"/>
    <w:rsid w:val="00936CA2"/>
    <w:rsid w:val="009405ED"/>
    <w:rsid w:val="0094618D"/>
    <w:rsid w:val="009462FA"/>
    <w:rsid w:val="009466E0"/>
    <w:rsid w:val="00946FD6"/>
    <w:rsid w:val="009568B0"/>
    <w:rsid w:val="0095705D"/>
    <w:rsid w:val="00957FB6"/>
    <w:rsid w:val="00962DC1"/>
    <w:rsid w:val="00962E54"/>
    <w:rsid w:val="00963003"/>
    <w:rsid w:val="00963F32"/>
    <w:rsid w:val="00965DE7"/>
    <w:rsid w:val="0096683A"/>
    <w:rsid w:val="009675CE"/>
    <w:rsid w:val="00967FB0"/>
    <w:rsid w:val="009744BB"/>
    <w:rsid w:val="00983C82"/>
    <w:rsid w:val="00986FA0"/>
    <w:rsid w:val="00994921"/>
    <w:rsid w:val="00994B12"/>
    <w:rsid w:val="009975EC"/>
    <w:rsid w:val="00997EEF"/>
    <w:rsid w:val="009A532F"/>
    <w:rsid w:val="009B3ECF"/>
    <w:rsid w:val="009C2D9C"/>
    <w:rsid w:val="009C32FC"/>
    <w:rsid w:val="009C444B"/>
    <w:rsid w:val="009C5821"/>
    <w:rsid w:val="009D428A"/>
    <w:rsid w:val="009D44CF"/>
    <w:rsid w:val="009F4C35"/>
    <w:rsid w:val="009F63E1"/>
    <w:rsid w:val="00A074F4"/>
    <w:rsid w:val="00A23DF5"/>
    <w:rsid w:val="00A3700F"/>
    <w:rsid w:val="00A37F90"/>
    <w:rsid w:val="00A63E6F"/>
    <w:rsid w:val="00A67BDD"/>
    <w:rsid w:val="00A7166B"/>
    <w:rsid w:val="00A74D27"/>
    <w:rsid w:val="00A80DA4"/>
    <w:rsid w:val="00A85A51"/>
    <w:rsid w:val="00A907EB"/>
    <w:rsid w:val="00A9329A"/>
    <w:rsid w:val="00A96515"/>
    <w:rsid w:val="00AA1740"/>
    <w:rsid w:val="00AB43E6"/>
    <w:rsid w:val="00AB4761"/>
    <w:rsid w:val="00AB60AC"/>
    <w:rsid w:val="00AC01E7"/>
    <w:rsid w:val="00AC4308"/>
    <w:rsid w:val="00AC4418"/>
    <w:rsid w:val="00AC77CA"/>
    <w:rsid w:val="00AE1FD9"/>
    <w:rsid w:val="00AF5F0A"/>
    <w:rsid w:val="00B0080B"/>
    <w:rsid w:val="00B02329"/>
    <w:rsid w:val="00B02402"/>
    <w:rsid w:val="00B075C5"/>
    <w:rsid w:val="00B158D7"/>
    <w:rsid w:val="00B220FC"/>
    <w:rsid w:val="00B23B7F"/>
    <w:rsid w:val="00B2722B"/>
    <w:rsid w:val="00B30BA3"/>
    <w:rsid w:val="00B32777"/>
    <w:rsid w:val="00B32C13"/>
    <w:rsid w:val="00B337EB"/>
    <w:rsid w:val="00B36020"/>
    <w:rsid w:val="00B40327"/>
    <w:rsid w:val="00B4387C"/>
    <w:rsid w:val="00B441E4"/>
    <w:rsid w:val="00B50FC4"/>
    <w:rsid w:val="00B55C96"/>
    <w:rsid w:val="00B61460"/>
    <w:rsid w:val="00B6436C"/>
    <w:rsid w:val="00B645A9"/>
    <w:rsid w:val="00B66510"/>
    <w:rsid w:val="00B67D1D"/>
    <w:rsid w:val="00B70E06"/>
    <w:rsid w:val="00B71BB4"/>
    <w:rsid w:val="00B7275A"/>
    <w:rsid w:val="00B82B68"/>
    <w:rsid w:val="00B85507"/>
    <w:rsid w:val="00B858F6"/>
    <w:rsid w:val="00B90A58"/>
    <w:rsid w:val="00B97C84"/>
    <w:rsid w:val="00BA7845"/>
    <w:rsid w:val="00BB094D"/>
    <w:rsid w:val="00BB0A11"/>
    <w:rsid w:val="00BB13FD"/>
    <w:rsid w:val="00BB4DFA"/>
    <w:rsid w:val="00BB5A12"/>
    <w:rsid w:val="00BC3FB0"/>
    <w:rsid w:val="00BD434F"/>
    <w:rsid w:val="00BD549F"/>
    <w:rsid w:val="00BD5673"/>
    <w:rsid w:val="00BF3C60"/>
    <w:rsid w:val="00C0232F"/>
    <w:rsid w:val="00C03651"/>
    <w:rsid w:val="00C066B1"/>
    <w:rsid w:val="00C155DF"/>
    <w:rsid w:val="00C15A5F"/>
    <w:rsid w:val="00C20C88"/>
    <w:rsid w:val="00C2148E"/>
    <w:rsid w:val="00C21EF2"/>
    <w:rsid w:val="00C3504A"/>
    <w:rsid w:val="00C35F8A"/>
    <w:rsid w:val="00C378AA"/>
    <w:rsid w:val="00C41C53"/>
    <w:rsid w:val="00C5097A"/>
    <w:rsid w:val="00C55148"/>
    <w:rsid w:val="00C55287"/>
    <w:rsid w:val="00C55BE9"/>
    <w:rsid w:val="00C55ED1"/>
    <w:rsid w:val="00C57E33"/>
    <w:rsid w:val="00C6631C"/>
    <w:rsid w:val="00C66A20"/>
    <w:rsid w:val="00C7331F"/>
    <w:rsid w:val="00C7776B"/>
    <w:rsid w:val="00C77CB5"/>
    <w:rsid w:val="00C77F48"/>
    <w:rsid w:val="00C822EA"/>
    <w:rsid w:val="00C83692"/>
    <w:rsid w:val="00C94C67"/>
    <w:rsid w:val="00CA2147"/>
    <w:rsid w:val="00CA2E4F"/>
    <w:rsid w:val="00CA5AE3"/>
    <w:rsid w:val="00CA778A"/>
    <w:rsid w:val="00CB535D"/>
    <w:rsid w:val="00CB53BF"/>
    <w:rsid w:val="00CC1C32"/>
    <w:rsid w:val="00CC3754"/>
    <w:rsid w:val="00CC4DAE"/>
    <w:rsid w:val="00CE1A0A"/>
    <w:rsid w:val="00CE2731"/>
    <w:rsid w:val="00CE4891"/>
    <w:rsid w:val="00CE7030"/>
    <w:rsid w:val="00CF037C"/>
    <w:rsid w:val="00CF474A"/>
    <w:rsid w:val="00D062C2"/>
    <w:rsid w:val="00D24016"/>
    <w:rsid w:val="00D2529B"/>
    <w:rsid w:val="00D272B2"/>
    <w:rsid w:val="00D31E5C"/>
    <w:rsid w:val="00D348D4"/>
    <w:rsid w:val="00D3684C"/>
    <w:rsid w:val="00D41C9E"/>
    <w:rsid w:val="00D424A7"/>
    <w:rsid w:val="00D51992"/>
    <w:rsid w:val="00D51D11"/>
    <w:rsid w:val="00D53106"/>
    <w:rsid w:val="00D5398A"/>
    <w:rsid w:val="00D53A93"/>
    <w:rsid w:val="00D57DBC"/>
    <w:rsid w:val="00D60D22"/>
    <w:rsid w:val="00D63C89"/>
    <w:rsid w:val="00D73947"/>
    <w:rsid w:val="00D82CC4"/>
    <w:rsid w:val="00D95389"/>
    <w:rsid w:val="00D96829"/>
    <w:rsid w:val="00DE3ABA"/>
    <w:rsid w:val="00DE70EE"/>
    <w:rsid w:val="00DF4596"/>
    <w:rsid w:val="00DF53C1"/>
    <w:rsid w:val="00DF7E26"/>
    <w:rsid w:val="00E02BC6"/>
    <w:rsid w:val="00E046D6"/>
    <w:rsid w:val="00E05550"/>
    <w:rsid w:val="00E060D0"/>
    <w:rsid w:val="00E106E1"/>
    <w:rsid w:val="00E13CA9"/>
    <w:rsid w:val="00E16958"/>
    <w:rsid w:val="00E21A6A"/>
    <w:rsid w:val="00E22123"/>
    <w:rsid w:val="00E2351A"/>
    <w:rsid w:val="00E26946"/>
    <w:rsid w:val="00E26F39"/>
    <w:rsid w:val="00E32C5B"/>
    <w:rsid w:val="00E3551E"/>
    <w:rsid w:val="00E40AC0"/>
    <w:rsid w:val="00E47BA1"/>
    <w:rsid w:val="00E526AA"/>
    <w:rsid w:val="00E535E3"/>
    <w:rsid w:val="00E54EAF"/>
    <w:rsid w:val="00E56685"/>
    <w:rsid w:val="00E61970"/>
    <w:rsid w:val="00E67F7E"/>
    <w:rsid w:val="00E751EC"/>
    <w:rsid w:val="00E80659"/>
    <w:rsid w:val="00E81527"/>
    <w:rsid w:val="00E83169"/>
    <w:rsid w:val="00E8382D"/>
    <w:rsid w:val="00E84963"/>
    <w:rsid w:val="00E852AA"/>
    <w:rsid w:val="00E87D8D"/>
    <w:rsid w:val="00E96F19"/>
    <w:rsid w:val="00EA19FA"/>
    <w:rsid w:val="00EB24A5"/>
    <w:rsid w:val="00EB4B93"/>
    <w:rsid w:val="00EB5695"/>
    <w:rsid w:val="00EB5772"/>
    <w:rsid w:val="00EB76B0"/>
    <w:rsid w:val="00EB7DB5"/>
    <w:rsid w:val="00EC4870"/>
    <w:rsid w:val="00ED0112"/>
    <w:rsid w:val="00ED5ABE"/>
    <w:rsid w:val="00ED63A5"/>
    <w:rsid w:val="00ED752D"/>
    <w:rsid w:val="00EE5795"/>
    <w:rsid w:val="00EE58DD"/>
    <w:rsid w:val="00EE6A88"/>
    <w:rsid w:val="00EF0E17"/>
    <w:rsid w:val="00EF15BE"/>
    <w:rsid w:val="00EF2841"/>
    <w:rsid w:val="00EF3E3B"/>
    <w:rsid w:val="00F03DE5"/>
    <w:rsid w:val="00F06EF7"/>
    <w:rsid w:val="00F1473E"/>
    <w:rsid w:val="00F154B8"/>
    <w:rsid w:val="00F21C34"/>
    <w:rsid w:val="00F331DA"/>
    <w:rsid w:val="00F33742"/>
    <w:rsid w:val="00F40B0A"/>
    <w:rsid w:val="00F42911"/>
    <w:rsid w:val="00F44CB1"/>
    <w:rsid w:val="00F47B97"/>
    <w:rsid w:val="00F5085F"/>
    <w:rsid w:val="00F54016"/>
    <w:rsid w:val="00F55D89"/>
    <w:rsid w:val="00F571F4"/>
    <w:rsid w:val="00F60B25"/>
    <w:rsid w:val="00F62BAD"/>
    <w:rsid w:val="00F679A7"/>
    <w:rsid w:val="00F715C3"/>
    <w:rsid w:val="00F72CFF"/>
    <w:rsid w:val="00F77102"/>
    <w:rsid w:val="00F84698"/>
    <w:rsid w:val="00F85A8C"/>
    <w:rsid w:val="00F85D48"/>
    <w:rsid w:val="00F87DBE"/>
    <w:rsid w:val="00F913DE"/>
    <w:rsid w:val="00F916A0"/>
    <w:rsid w:val="00F921AA"/>
    <w:rsid w:val="00F94F7C"/>
    <w:rsid w:val="00F96677"/>
    <w:rsid w:val="00F96886"/>
    <w:rsid w:val="00F97F51"/>
    <w:rsid w:val="00FB3D5D"/>
    <w:rsid w:val="00FB5DF0"/>
    <w:rsid w:val="00FB607A"/>
    <w:rsid w:val="00FC3882"/>
    <w:rsid w:val="00FC6662"/>
    <w:rsid w:val="00FC7B4C"/>
    <w:rsid w:val="00FD7E4A"/>
    <w:rsid w:val="00FE66F4"/>
    <w:rsid w:val="00FF0046"/>
    <w:rsid w:val="010827C0"/>
    <w:rsid w:val="01AF41F8"/>
    <w:rsid w:val="01DF58FF"/>
    <w:rsid w:val="01E15923"/>
    <w:rsid w:val="01F47824"/>
    <w:rsid w:val="025731BB"/>
    <w:rsid w:val="026E162F"/>
    <w:rsid w:val="02794D86"/>
    <w:rsid w:val="030B4F02"/>
    <w:rsid w:val="034B3673"/>
    <w:rsid w:val="034D69DD"/>
    <w:rsid w:val="03697279"/>
    <w:rsid w:val="03945FCC"/>
    <w:rsid w:val="03B15C72"/>
    <w:rsid w:val="03B22EB7"/>
    <w:rsid w:val="03F359AA"/>
    <w:rsid w:val="047F0FEB"/>
    <w:rsid w:val="04D53E88"/>
    <w:rsid w:val="054B2FC9"/>
    <w:rsid w:val="0559706F"/>
    <w:rsid w:val="057D3EA4"/>
    <w:rsid w:val="05D610DF"/>
    <w:rsid w:val="06712543"/>
    <w:rsid w:val="068235D3"/>
    <w:rsid w:val="06F2019A"/>
    <w:rsid w:val="071C6FC5"/>
    <w:rsid w:val="07211FC7"/>
    <w:rsid w:val="075263B6"/>
    <w:rsid w:val="08103397"/>
    <w:rsid w:val="082C148A"/>
    <w:rsid w:val="083656BB"/>
    <w:rsid w:val="088F37C7"/>
    <w:rsid w:val="089C0A55"/>
    <w:rsid w:val="08ED6B04"/>
    <w:rsid w:val="08F024B8"/>
    <w:rsid w:val="08F326DF"/>
    <w:rsid w:val="09137F54"/>
    <w:rsid w:val="09491BC8"/>
    <w:rsid w:val="095B4C65"/>
    <w:rsid w:val="09622C8A"/>
    <w:rsid w:val="09C26F8B"/>
    <w:rsid w:val="0A51342A"/>
    <w:rsid w:val="0A55351C"/>
    <w:rsid w:val="0A684083"/>
    <w:rsid w:val="0A8A5906"/>
    <w:rsid w:val="0AC57974"/>
    <w:rsid w:val="0B765D27"/>
    <w:rsid w:val="0B884C29"/>
    <w:rsid w:val="0B952F4D"/>
    <w:rsid w:val="0B9A6B6F"/>
    <w:rsid w:val="0BFC04EC"/>
    <w:rsid w:val="0C00473A"/>
    <w:rsid w:val="0C544DF9"/>
    <w:rsid w:val="0CB01141"/>
    <w:rsid w:val="0CBA03C5"/>
    <w:rsid w:val="0CD914B5"/>
    <w:rsid w:val="0D315ACA"/>
    <w:rsid w:val="0D70010A"/>
    <w:rsid w:val="0D8203D7"/>
    <w:rsid w:val="0D983D20"/>
    <w:rsid w:val="0DFA0F36"/>
    <w:rsid w:val="0EAF24CD"/>
    <w:rsid w:val="0F3B0205"/>
    <w:rsid w:val="0F3D135D"/>
    <w:rsid w:val="0F566DED"/>
    <w:rsid w:val="0FD04DF1"/>
    <w:rsid w:val="10182508"/>
    <w:rsid w:val="10184BF9"/>
    <w:rsid w:val="101A2EB0"/>
    <w:rsid w:val="10235F6B"/>
    <w:rsid w:val="104906FF"/>
    <w:rsid w:val="10514AD4"/>
    <w:rsid w:val="108300B5"/>
    <w:rsid w:val="11053269"/>
    <w:rsid w:val="111D3382"/>
    <w:rsid w:val="1123166F"/>
    <w:rsid w:val="11D5795D"/>
    <w:rsid w:val="11E64458"/>
    <w:rsid w:val="12012B8C"/>
    <w:rsid w:val="120E1CE6"/>
    <w:rsid w:val="12154213"/>
    <w:rsid w:val="121D1E44"/>
    <w:rsid w:val="127952CC"/>
    <w:rsid w:val="12C7072D"/>
    <w:rsid w:val="12F64B6E"/>
    <w:rsid w:val="131E688E"/>
    <w:rsid w:val="131F697D"/>
    <w:rsid w:val="13743CE5"/>
    <w:rsid w:val="13C95D0F"/>
    <w:rsid w:val="13D41FCD"/>
    <w:rsid w:val="14591C3D"/>
    <w:rsid w:val="14B21834"/>
    <w:rsid w:val="14B720DC"/>
    <w:rsid w:val="14C440AC"/>
    <w:rsid w:val="14CD1776"/>
    <w:rsid w:val="150025C7"/>
    <w:rsid w:val="15387A91"/>
    <w:rsid w:val="1560796F"/>
    <w:rsid w:val="15657D89"/>
    <w:rsid w:val="158C27E1"/>
    <w:rsid w:val="15D77B87"/>
    <w:rsid w:val="15DF5D8E"/>
    <w:rsid w:val="15E6711C"/>
    <w:rsid w:val="160E7BD1"/>
    <w:rsid w:val="16514EAD"/>
    <w:rsid w:val="16671FCC"/>
    <w:rsid w:val="168B7CC4"/>
    <w:rsid w:val="168E1562"/>
    <w:rsid w:val="16DC051F"/>
    <w:rsid w:val="16EA07A3"/>
    <w:rsid w:val="16FF7D6A"/>
    <w:rsid w:val="17041FCF"/>
    <w:rsid w:val="173D27AB"/>
    <w:rsid w:val="174F2A9F"/>
    <w:rsid w:val="177E7494"/>
    <w:rsid w:val="17901705"/>
    <w:rsid w:val="17920BDE"/>
    <w:rsid w:val="17BB29A8"/>
    <w:rsid w:val="17BB5B39"/>
    <w:rsid w:val="17F84EE5"/>
    <w:rsid w:val="180C6BE2"/>
    <w:rsid w:val="180E7880"/>
    <w:rsid w:val="18100AB2"/>
    <w:rsid w:val="181A2CFE"/>
    <w:rsid w:val="189218F4"/>
    <w:rsid w:val="1935057A"/>
    <w:rsid w:val="19465B07"/>
    <w:rsid w:val="19D92AF4"/>
    <w:rsid w:val="1A383DEA"/>
    <w:rsid w:val="1A3C57E0"/>
    <w:rsid w:val="1AA255DC"/>
    <w:rsid w:val="1AC90DBB"/>
    <w:rsid w:val="1B1E53EC"/>
    <w:rsid w:val="1B3721C8"/>
    <w:rsid w:val="1B3D45AE"/>
    <w:rsid w:val="1B9618DA"/>
    <w:rsid w:val="1BA23AE5"/>
    <w:rsid w:val="1BC11CA1"/>
    <w:rsid w:val="1BD65293"/>
    <w:rsid w:val="1BE2140E"/>
    <w:rsid w:val="1C6963B1"/>
    <w:rsid w:val="1CBD08D9"/>
    <w:rsid w:val="1CEB5D5F"/>
    <w:rsid w:val="1CF925D4"/>
    <w:rsid w:val="1D13413D"/>
    <w:rsid w:val="1D2C7B98"/>
    <w:rsid w:val="1D2F2C8A"/>
    <w:rsid w:val="1D484219"/>
    <w:rsid w:val="1D864D41"/>
    <w:rsid w:val="1D971967"/>
    <w:rsid w:val="1DA22D8A"/>
    <w:rsid w:val="1DBB5279"/>
    <w:rsid w:val="1DDE5900"/>
    <w:rsid w:val="1E06040B"/>
    <w:rsid w:val="1E4A0464"/>
    <w:rsid w:val="1E532E6B"/>
    <w:rsid w:val="1E7079F9"/>
    <w:rsid w:val="1E7A33AB"/>
    <w:rsid w:val="1ED05E12"/>
    <w:rsid w:val="1ED65114"/>
    <w:rsid w:val="1EFB350D"/>
    <w:rsid w:val="1F1B3C81"/>
    <w:rsid w:val="1F220A99"/>
    <w:rsid w:val="1F3644C3"/>
    <w:rsid w:val="1FCF1D0B"/>
    <w:rsid w:val="20891624"/>
    <w:rsid w:val="20C1380D"/>
    <w:rsid w:val="20CE0ED9"/>
    <w:rsid w:val="20E029BA"/>
    <w:rsid w:val="20FA05C4"/>
    <w:rsid w:val="227B600E"/>
    <w:rsid w:val="22B3482A"/>
    <w:rsid w:val="22CE51C0"/>
    <w:rsid w:val="234C4803"/>
    <w:rsid w:val="23825FAA"/>
    <w:rsid w:val="23902475"/>
    <w:rsid w:val="23B05072"/>
    <w:rsid w:val="23C10881"/>
    <w:rsid w:val="23E82D4E"/>
    <w:rsid w:val="23F72873"/>
    <w:rsid w:val="23F76E66"/>
    <w:rsid w:val="23FC763B"/>
    <w:rsid w:val="2434187E"/>
    <w:rsid w:val="244D1B7B"/>
    <w:rsid w:val="245E5A70"/>
    <w:rsid w:val="248D10AB"/>
    <w:rsid w:val="248F097F"/>
    <w:rsid w:val="249E0BC2"/>
    <w:rsid w:val="24A106B2"/>
    <w:rsid w:val="24A47965"/>
    <w:rsid w:val="24B002E3"/>
    <w:rsid w:val="24D90109"/>
    <w:rsid w:val="2543468E"/>
    <w:rsid w:val="256016EE"/>
    <w:rsid w:val="25BF34E6"/>
    <w:rsid w:val="25EB2311"/>
    <w:rsid w:val="26086C3B"/>
    <w:rsid w:val="263B71A0"/>
    <w:rsid w:val="264D6A56"/>
    <w:rsid w:val="2652435A"/>
    <w:rsid w:val="267774BB"/>
    <w:rsid w:val="26A050C5"/>
    <w:rsid w:val="26A13511"/>
    <w:rsid w:val="26A526DC"/>
    <w:rsid w:val="274F2647"/>
    <w:rsid w:val="2751016E"/>
    <w:rsid w:val="27594A18"/>
    <w:rsid w:val="28013942"/>
    <w:rsid w:val="283665E6"/>
    <w:rsid w:val="29231FDE"/>
    <w:rsid w:val="29283150"/>
    <w:rsid w:val="2931010C"/>
    <w:rsid w:val="293D7815"/>
    <w:rsid w:val="29406BA7"/>
    <w:rsid w:val="29701541"/>
    <w:rsid w:val="29A46C7B"/>
    <w:rsid w:val="2A4D7312"/>
    <w:rsid w:val="2AAB5DE7"/>
    <w:rsid w:val="2AD00736"/>
    <w:rsid w:val="2AE15CAC"/>
    <w:rsid w:val="2B1D6E2F"/>
    <w:rsid w:val="2B1E71B6"/>
    <w:rsid w:val="2B230073"/>
    <w:rsid w:val="2B530A28"/>
    <w:rsid w:val="2BC806FA"/>
    <w:rsid w:val="2BED2D96"/>
    <w:rsid w:val="2BED3589"/>
    <w:rsid w:val="2C153BD0"/>
    <w:rsid w:val="2C2223E1"/>
    <w:rsid w:val="2C2E0A7D"/>
    <w:rsid w:val="2C39775C"/>
    <w:rsid w:val="2C80337F"/>
    <w:rsid w:val="2C862667"/>
    <w:rsid w:val="2CD51841"/>
    <w:rsid w:val="2D8868B3"/>
    <w:rsid w:val="2DC6281D"/>
    <w:rsid w:val="2DE40507"/>
    <w:rsid w:val="2E104C85"/>
    <w:rsid w:val="2ECA280E"/>
    <w:rsid w:val="2F091011"/>
    <w:rsid w:val="2F212D7A"/>
    <w:rsid w:val="2F2460E8"/>
    <w:rsid w:val="2F3B4A89"/>
    <w:rsid w:val="2F596388"/>
    <w:rsid w:val="306C51DB"/>
    <w:rsid w:val="308570DA"/>
    <w:rsid w:val="308D7ACB"/>
    <w:rsid w:val="30A8519C"/>
    <w:rsid w:val="30A92003"/>
    <w:rsid w:val="30A92EE7"/>
    <w:rsid w:val="30D065A7"/>
    <w:rsid w:val="30D33B53"/>
    <w:rsid w:val="30DE023D"/>
    <w:rsid w:val="30E6401D"/>
    <w:rsid w:val="30EF6EDC"/>
    <w:rsid w:val="30FA3624"/>
    <w:rsid w:val="31446FA4"/>
    <w:rsid w:val="31474392"/>
    <w:rsid w:val="315E3BB3"/>
    <w:rsid w:val="3167341B"/>
    <w:rsid w:val="3170483A"/>
    <w:rsid w:val="31717D8A"/>
    <w:rsid w:val="31A57A34"/>
    <w:rsid w:val="31B605E1"/>
    <w:rsid w:val="31C854D0"/>
    <w:rsid w:val="31E2456D"/>
    <w:rsid w:val="32A32C8C"/>
    <w:rsid w:val="32CF6D32"/>
    <w:rsid w:val="32DC121D"/>
    <w:rsid w:val="330E1609"/>
    <w:rsid w:val="332108B6"/>
    <w:rsid w:val="340A3431"/>
    <w:rsid w:val="346F3A08"/>
    <w:rsid w:val="34C956D1"/>
    <w:rsid w:val="34ED70B4"/>
    <w:rsid w:val="352356B7"/>
    <w:rsid w:val="35697125"/>
    <w:rsid w:val="35A746CB"/>
    <w:rsid w:val="35C12962"/>
    <w:rsid w:val="35DB01D4"/>
    <w:rsid w:val="35DF38A0"/>
    <w:rsid w:val="361C0E33"/>
    <w:rsid w:val="36977D04"/>
    <w:rsid w:val="36C81141"/>
    <w:rsid w:val="36D205B4"/>
    <w:rsid w:val="36D4325D"/>
    <w:rsid w:val="374915BB"/>
    <w:rsid w:val="378B7E8C"/>
    <w:rsid w:val="37F952C8"/>
    <w:rsid w:val="38223A5B"/>
    <w:rsid w:val="38284F1B"/>
    <w:rsid w:val="3862667F"/>
    <w:rsid w:val="38921FD7"/>
    <w:rsid w:val="38E70932"/>
    <w:rsid w:val="38E76B84"/>
    <w:rsid w:val="39397636"/>
    <w:rsid w:val="393D26E3"/>
    <w:rsid w:val="394915ED"/>
    <w:rsid w:val="39550DD6"/>
    <w:rsid w:val="396E1053"/>
    <w:rsid w:val="399003FF"/>
    <w:rsid w:val="39CD5D7A"/>
    <w:rsid w:val="3A30455A"/>
    <w:rsid w:val="3A34163B"/>
    <w:rsid w:val="3A4848BD"/>
    <w:rsid w:val="3A4E3769"/>
    <w:rsid w:val="3A9429F9"/>
    <w:rsid w:val="3B255741"/>
    <w:rsid w:val="3B64626A"/>
    <w:rsid w:val="3BB865B6"/>
    <w:rsid w:val="3BC94C91"/>
    <w:rsid w:val="3C597D99"/>
    <w:rsid w:val="3C803AC1"/>
    <w:rsid w:val="3C8C67FA"/>
    <w:rsid w:val="3CB46D7D"/>
    <w:rsid w:val="3CDA6666"/>
    <w:rsid w:val="3CFB0E50"/>
    <w:rsid w:val="3D285CC9"/>
    <w:rsid w:val="3D3A5802"/>
    <w:rsid w:val="3D5679A4"/>
    <w:rsid w:val="3D842BF3"/>
    <w:rsid w:val="3D8C1AA8"/>
    <w:rsid w:val="3DF561C4"/>
    <w:rsid w:val="3DFA425E"/>
    <w:rsid w:val="3E18158D"/>
    <w:rsid w:val="3E772758"/>
    <w:rsid w:val="3F7647BE"/>
    <w:rsid w:val="3F770103"/>
    <w:rsid w:val="3FAC0C17"/>
    <w:rsid w:val="3FDB6D16"/>
    <w:rsid w:val="40123E80"/>
    <w:rsid w:val="402661E4"/>
    <w:rsid w:val="40535BC9"/>
    <w:rsid w:val="406867FC"/>
    <w:rsid w:val="40730D81"/>
    <w:rsid w:val="407707ED"/>
    <w:rsid w:val="407F2E9D"/>
    <w:rsid w:val="40C9125D"/>
    <w:rsid w:val="41256110"/>
    <w:rsid w:val="413E144A"/>
    <w:rsid w:val="416074D3"/>
    <w:rsid w:val="41916BCF"/>
    <w:rsid w:val="4216114E"/>
    <w:rsid w:val="422D18EA"/>
    <w:rsid w:val="425863FC"/>
    <w:rsid w:val="428B2D29"/>
    <w:rsid w:val="429B1C4A"/>
    <w:rsid w:val="42C53A9C"/>
    <w:rsid w:val="42FF2D1C"/>
    <w:rsid w:val="43105186"/>
    <w:rsid w:val="43117912"/>
    <w:rsid w:val="4329533D"/>
    <w:rsid w:val="435B5C38"/>
    <w:rsid w:val="43AC4FBC"/>
    <w:rsid w:val="441A4B42"/>
    <w:rsid w:val="44BC0EC5"/>
    <w:rsid w:val="4572682B"/>
    <w:rsid w:val="4585575A"/>
    <w:rsid w:val="45AD74C6"/>
    <w:rsid w:val="45E72B44"/>
    <w:rsid w:val="468E33BD"/>
    <w:rsid w:val="4694180D"/>
    <w:rsid w:val="46B506EF"/>
    <w:rsid w:val="46CB1893"/>
    <w:rsid w:val="47370CD6"/>
    <w:rsid w:val="483E4FFA"/>
    <w:rsid w:val="485020E9"/>
    <w:rsid w:val="486D6600"/>
    <w:rsid w:val="4893124C"/>
    <w:rsid w:val="48961A2D"/>
    <w:rsid w:val="48BA0470"/>
    <w:rsid w:val="4951442A"/>
    <w:rsid w:val="49A44E86"/>
    <w:rsid w:val="4A3D12CF"/>
    <w:rsid w:val="4A64271A"/>
    <w:rsid w:val="4A6D17DC"/>
    <w:rsid w:val="4B166E55"/>
    <w:rsid w:val="4B180E1F"/>
    <w:rsid w:val="4B1840F5"/>
    <w:rsid w:val="4B4C4394"/>
    <w:rsid w:val="4B6F741C"/>
    <w:rsid w:val="4B7122DD"/>
    <w:rsid w:val="4B884DE3"/>
    <w:rsid w:val="4BD50557"/>
    <w:rsid w:val="4C1B2458"/>
    <w:rsid w:val="4C2B677E"/>
    <w:rsid w:val="4C407B8C"/>
    <w:rsid w:val="4C547C35"/>
    <w:rsid w:val="4C724EDE"/>
    <w:rsid w:val="4CA7245A"/>
    <w:rsid w:val="4D4A231F"/>
    <w:rsid w:val="4D81144E"/>
    <w:rsid w:val="4D8163A5"/>
    <w:rsid w:val="4D9A3D6D"/>
    <w:rsid w:val="4DB841F3"/>
    <w:rsid w:val="4DBC0187"/>
    <w:rsid w:val="4DEC5671"/>
    <w:rsid w:val="4E035DB6"/>
    <w:rsid w:val="4E062E6C"/>
    <w:rsid w:val="4E6D6F9C"/>
    <w:rsid w:val="4F4A3571"/>
    <w:rsid w:val="4FE92D8A"/>
    <w:rsid w:val="4FE96567"/>
    <w:rsid w:val="504110F1"/>
    <w:rsid w:val="50994E97"/>
    <w:rsid w:val="509A417D"/>
    <w:rsid w:val="50A63621"/>
    <w:rsid w:val="50AA7CB7"/>
    <w:rsid w:val="50C86E43"/>
    <w:rsid w:val="50F934A0"/>
    <w:rsid w:val="514C49FF"/>
    <w:rsid w:val="51937451"/>
    <w:rsid w:val="51B73415"/>
    <w:rsid w:val="51D535C6"/>
    <w:rsid w:val="523378B7"/>
    <w:rsid w:val="523A78CD"/>
    <w:rsid w:val="52B6001F"/>
    <w:rsid w:val="52C63905"/>
    <w:rsid w:val="52D675F5"/>
    <w:rsid w:val="5305612D"/>
    <w:rsid w:val="53406216"/>
    <w:rsid w:val="535C5E10"/>
    <w:rsid w:val="540F5210"/>
    <w:rsid w:val="54240834"/>
    <w:rsid w:val="54BA0FAD"/>
    <w:rsid w:val="54BE606D"/>
    <w:rsid w:val="551663CF"/>
    <w:rsid w:val="551B5793"/>
    <w:rsid w:val="55332D15"/>
    <w:rsid w:val="553D7E00"/>
    <w:rsid w:val="5560400F"/>
    <w:rsid w:val="55627866"/>
    <w:rsid w:val="55811687"/>
    <w:rsid w:val="55D42E27"/>
    <w:rsid w:val="563C00B7"/>
    <w:rsid w:val="564F6203"/>
    <w:rsid w:val="56871283"/>
    <w:rsid w:val="56955A19"/>
    <w:rsid w:val="56C360E3"/>
    <w:rsid w:val="56DC0F52"/>
    <w:rsid w:val="56DC71A4"/>
    <w:rsid w:val="5748141E"/>
    <w:rsid w:val="574F6537"/>
    <w:rsid w:val="576B22D6"/>
    <w:rsid w:val="577D2FC0"/>
    <w:rsid w:val="577E64AD"/>
    <w:rsid w:val="57EC781B"/>
    <w:rsid w:val="58106307"/>
    <w:rsid w:val="581B535C"/>
    <w:rsid w:val="585A6523"/>
    <w:rsid w:val="58613E05"/>
    <w:rsid w:val="588D4BFA"/>
    <w:rsid w:val="599553BA"/>
    <w:rsid w:val="59C97EB4"/>
    <w:rsid w:val="59E56709"/>
    <w:rsid w:val="59FB0767"/>
    <w:rsid w:val="5A120CE9"/>
    <w:rsid w:val="5A4B347C"/>
    <w:rsid w:val="5AEE394A"/>
    <w:rsid w:val="5B6B6D49"/>
    <w:rsid w:val="5B9340D3"/>
    <w:rsid w:val="5BDE39BF"/>
    <w:rsid w:val="5BF87260"/>
    <w:rsid w:val="5BFC4DFD"/>
    <w:rsid w:val="5C120D83"/>
    <w:rsid w:val="5C2E04A2"/>
    <w:rsid w:val="5C367357"/>
    <w:rsid w:val="5C390E8C"/>
    <w:rsid w:val="5C4C26D6"/>
    <w:rsid w:val="5C67475A"/>
    <w:rsid w:val="5C835285"/>
    <w:rsid w:val="5CCB7A9F"/>
    <w:rsid w:val="5CE772D2"/>
    <w:rsid w:val="5CED3EB9"/>
    <w:rsid w:val="5D37777A"/>
    <w:rsid w:val="5DD426FD"/>
    <w:rsid w:val="5DE478C8"/>
    <w:rsid w:val="5E0239AE"/>
    <w:rsid w:val="5E4044BD"/>
    <w:rsid w:val="5E4B12BE"/>
    <w:rsid w:val="5E7E0C7E"/>
    <w:rsid w:val="5E873E9A"/>
    <w:rsid w:val="5F011E9E"/>
    <w:rsid w:val="5F2416E8"/>
    <w:rsid w:val="5F29435B"/>
    <w:rsid w:val="5F5438D8"/>
    <w:rsid w:val="5F7344CF"/>
    <w:rsid w:val="5FA30F00"/>
    <w:rsid w:val="5FBB029F"/>
    <w:rsid w:val="5FD25163"/>
    <w:rsid w:val="60B54472"/>
    <w:rsid w:val="60EE6452"/>
    <w:rsid w:val="6101404F"/>
    <w:rsid w:val="6104100A"/>
    <w:rsid w:val="61785D1C"/>
    <w:rsid w:val="617A7CE6"/>
    <w:rsid w:val="61A20BC5"/>
    <w:rsid w:val="62061579"/>
    <w:rsid w:val="62226B8F"/>
    <w:rsid w:val="62293E4C"/>
    <w:rsid w:val="622C0168"/>
    <w:rsid w:val="62757A85"/>
    <w:rsid w:val="62CD6513"/>
    <w:rsid w:val="62DE42A4"/>
    <w:rsid w:val="62ED129E"/>
    <w:rsid w:val="62FF14A6"/>
    <w:rsid w:val="634A32FC"/>
    <w:rsid w:val="634B5CA8"/>
    <w:rsid w:val="634F1717"/>
    <w:rsid w:val="636D0698"/>
    <w:rsid w:val="637349EC"/>
    <w:rsid w:val="64103412"/>
    <w:rsid w:val="64434B2C"/>
    <w:rsid w:val="64504D2E"/>
    <w:rsid w:val="64894136"/>
    <w:rsid w:val="64B4185A"/>
    <w:rsid w:val="651A5A67"/>
    <w:rsid w:val="6541625B"/>
    <w:rsid w:val="65D6590C"/>
    <w:rsid w:val="66153A7F"/>
    <w:rsid w:val="662639B2"/>
    <w:rsid w:val="667C658D"/>
    <w:rsid w:val="66C41D92"/>
    <w:rsid w:val="66E96621"/>
    <w:rsid w:val="67292AA1"/>
    <w:rsid w:val="673E2717"/>
    <w:rsid w:val="67C223E6"/>
    <w:rsid w:val="68012F0F"/>
    <w:rsid w:val="682A1D84"/>
    <w:rsid w:val="68AE0388"/>
    <w:rsid w:val="68D10A1C"/>
    <w:rsid w:val="68E32614"/>
    <w:rsid w:val="68FE25DF"/>
    <w:rsid w:val="69110F29"/>
    <w:rsid w:val="692F13B6"/>
    <w:rsid w:val="69505998"/>
    <w:rsid w:val="699A724A"/>
    <w:rsid w:val="699F1DA6"/>
    <w:rsid w:val="69A5393C"/>
    <w:rsid w:val="69DC4EC4"/>
    <w:rsid w:val="69F04FE9"/>
    <w:rsid w:val="6A08709E"/>
    <w:rsid w:val="6A627569"/>
    <w:rsid w:val="6A760478"/>
    <w:rsid w:val="6AB51D8E"/>
    <w:rsid w:val="6B451637"/>
    <w:rsid w:val="6BB210E4"/>
    <w:rsid w:val="6C1A6212"/>
    <w:rsid w:val="6C266519"/>
    <w:rsid w:val="6C31742B"/>
    <w:rsid w:val="6C337FA9"/>
    <w:rsid w:val="6C384A25"/>
    <w:rsid w:val="6C525659"/>
    <w:rsid w:val="6CB0280D"/>
    <w:rsid w:val="6CFC4AC3"/>
    <w:rsid w:val="6D524DF6"/>
    <w:rsid w:val="6D605580"/>
    <w:rsid w:val="6D6B07FE"/>
    <w:rsid w:val="6D714693"/>
    <w:rsid w:val="6D746292"/>
    <w:rsid w:val="6D855A48"/>
    <w:rsid w:val="6E097A73"/>
    <w:rsid w:val="6E3B6A4F"/>
    <w:rsid w:val="6E55366C"/>
    <w:rsid w:val="6E650F06"/>
    <w:rsid w:val="6EB81E4D"/>
    <w:rsid w:val="6ED07EFC"/>
    <w:rsid w:val="6EE60B90"/>
    <w:rsid w:val="6EEB2223"/>
    <w:rsid w:val="6EFD4732"/>
    <w:rsid w:val="6F282B2F"/>
    <w:rsid w:val="6F3F1E5C"/>
    <w:rsid w:val="6F697C94"/>
    <w:rsid w:val="6F946416"/>
    <w:rsid w:val="6F96022A"/>
    <w:rsid w:val="6FF356A3"/>
    <w:rsid w:val="70123852"/>
    <w:rsid w:val="701B6B38"/>
    <w:rsid w:val="707142B4"/>
    <w:rsid w:val="70775601"/>
    <w:rsid w:val="70AF46F2"/>
    <w:rsid w:val="70D50190"/>
    <w:rsid w:val="71484CF5"/>
    <w:rsid w:val="71542301"/>
    <w:rsid w:val="71661588"/>
    <w:rsid w:val="718161F4"/>
    <w:rsid w:val="718508E7"/>
    <w:rsid w:val="71E2790D"/>
    <w:rsid w:val="71E80C9B"/>
    <w:rsid w:val="72127AC6"/>
    <w:rsid w:val="729E56BA"/>
    <w:rsid w:val="72AC57F5"/>
    <w:rsid w:val="735B13FB"/>
    <w:rsid w:val="73BE1A6F"/>
    <w:rsid w:val="73DC0ACF"/>
    <w:rsid w:val="73E13BF4"/>
    <w:rsid w:val="74463218"/>
    <w:rsid w:val="74C952E7"/>
    <w:rsid w:val="7513535E"/>
    <w:rsid w:val="75907424"/>
    <w:rsid w:val="759578E3"/>
    <w:rsid w:val="75EC491D"/>
    <w:rsid w:val="760065B4"/>
    <w:rsid w:val="768A40CF"/>
    <w:rsid w:val="76A96C4B"/>
    <w:rsid w:val="76BE0A35"/>
    <w:rsid w:val="76C64EDC"/>
    <w:rsid w:val="76E829F9"/>
    <w:rsid w:val="76E9529A"/>
    <w:rsid w:val="76EF6AAA"/>
    <w:rsid w:val="76F53C3E"/>
    <w:rsid w:val="76F70163"/>
    <w:rsid w:val="772C1161"/>
    <w:rsid w:val="77444BC6"/>
    <w:rsid w:val="774D0278"/>
    <w:rsid w:val="7755292F"/>
    <w:rsid w:val="77C74EAF"/>
    <w:rsid w:val="77EC39D3"/>
    <w:rsid w:val="77FE4D75"/>
    <w:rsid w:val="780325E0"/>
    <w:rsid w:val="780F58EC"/>
    <w:rsid w:val="78272033"/>
    <w:rsid w:val="783038F1"/>
    <w:rsid w:val="786B7840"/>
    <w:rsid w:val="78782D79"/>
    <w:rsid w:val="78B11DE7"/>
    <w:rsid w:val="78FD1CDB"/>
    <w:rsid w:val="79084F20"/>
    <w:rsid w:val="796450AB"/>
    <w:rsid w:val="79893713"/>
    <w:rsid w:val="799D46F9"/>
    <w:rsid w:val="79B1293E"/>
    <w:rsid w:val="79B9661C"/>
    <w:rsid w:val="79F61D8B"/>
    <w:rsid w:val="7A2A00A3"/>
    <w:rsid w:val="7A3E3B4E"/>
    <w:rsid w:val="7AAA2F92"/>
    <w:rsid w:val="7ACF29F8"/>
    <w:rsid w:val="7B87022D"/>
    <w:rsid w:val="7B987D8D"/>
    <w:rsid w:val="7BAC6C90"/>
    <w:rsid w:val="7BAD5ACB"/>
    <w:rsid w:val="7BAF3957"/>
    <w:rsid w:val="7CBA4636"/>
    <w:rsid w:val="7CF3470C"/>
    <w:rsid w:val="7CFB5D27"/>
    <w:rsid w:val="7DA0242A"/>
    <w:rsid w:val="7DA737B9"/>
    <w:rsid w:val="7DA91D8C"/>
    <w:rsid w:val="7DF6029C"/>
    <w:rsid w:val="7E1C7D03"/>
    <w:rsid w:val="7E4D1FD1"/>
    <w:rsid w:val="7E6664BE"/>
    <w:rsid w:val="7E9859E2"/>
    <w:rsid w:val="7EA45F4A"/>
    <w:rsid w:val="7EBE3149"/>
    <w:rsid w:val="7EFA74C1"/>
    <w:rsid w:val="7F097369"/>
    <w:rsid w:val="7F380123"/>
    <w:rsid w:val="7F5852EC"/>
    <w:rsid w:val="7F6D0B47"/>
    <w:rsid w:val="7F6F6558"/>
    <w:rsid w:val="7F86611A"/>
    <w:rsid w:val="7FF576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7"/>
    <w:autoRedefine/>
    <w:semiHidden/>
    <w:unhideWhenUsed/>
    <w:qFormat/>
    <w:uiPriority w:val="99"/>
    <w:pPr>
      <w:jc w:val="left"/>
    </w:pPr>
  </w:style>
  <w:style w:type="paragraph" w:styleId="6">
    <w:name w:val="Body Text"/>
    <w:basedOn w:val="1"/>
    <w:autoRedefine/>
    <w:unhideWhenUsed/>
    <w:qFormat/>
    <w:uiPriority w:val="99"/>
    <w:pPr>
      <w:spacing w:after="120"/>
    </w:pPr>
  </w:style>
  <w:style w:type="paragraph" w:styleId="7">
    <w:name w:val="toc 3"/>
    <w:basedOn w:val="1"/>
    <w:next w:val="1"/>
    <w:autoRedefine/>
    <w:unhideWhenUsed/>
    <w:qFormat/>
    <w:uiPriority w:val="39"/>
    <w:pPr>
      <w:ind w:left="840" w:leftChars="400"/>
    </w:pPr>
  </w:style>
  <w:style w:type="paragraph" w:styleId="8">
    <w:name w:val="Date"/>
    <w:basedOn w:val="1"/>
    <w:next w:val="1"/>
    <w:link w:val="51"/>
    <w:autoRedefine/>
    <w:semiHidden/>
    <w:unhideWhenUsed/>
    <w:qFormat/>
    <w:uiPriority w:val="99"/>
    <w:pPr>
      <w:ind w:left="100" w:leftChars="2500"/>
    </w:pPr>
  </w:style>
  <w:style w:type="paragraph" w:styleId="9">
    <w:name w:val="Balloon Text"/>
    <w:basedOn w:val="1"/>
    <w:link w:val="48"/>
    <w:autoRedefine/>
    <w:semiHidden/>
    <w:unhideWhenUsed/>
    <w:qFormat/>
    <w:uiPriority w:val="99"/>
    <w:rPr>
      <w:sz w:val="18"/>
      <w:szCs w:val="18"/>
    </w:rPr>
  </w:style>
  <w:style w:type="paragraph" w:styleId="10">
    <w:name w:val="footer"/>
    <w:basedOn w:val="1"/>
    <w:link w:val="23"/>
    <w:autoRedefine/>
    <w:unhideWhenUsed/>
    <w:qFormat/>
    <w:uiPriority w:val="99"/>
    <w:pPr>
      <w:tabs>
        <w:tab w:val="center" w:pos="4153"/>
        <w:tab w:val="right" w:pos="8306"/>
      </w:tabs>
      <w:snapToGrid w:val="0"/>
      <w:jc w:val="left"/>
    </w:pPr>
    <w:rPr>
      <w:sz w:val="18"/>
      <w:szCs w:val="18"/>
    </w:rPr>
  </w:style>
  <w:style w:type="paragraph" w:styleId="11">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semiHidden/>
    <w:unhideWhenUsed/>
    <w:qFormat/>
    <w:uiPriority w:val="99"/>
    <w:pPr>
      <w:snapToGrid w:val="0"/>
      <w:jc w:val="left"/>
    </w:pPr>
    <w:rPr>
      <w:sz w:val="18"/>
    </w:rPr>
  </w:style>
  <w:style w:type="paragraph" w:styleId="13">
    <w:name w:val="toc 2"/>
    <w:basedOn w:val="1"/>
    <w:next w:val="1"/>
    <w:autoRedefine/>
    <w:unhideWhenUsed/>
    <w:qFormat/>
    <w:uiPriority w:val="39"/>
    <w:pPr>
      <w:ind w:left="420" w:leftChars="200"/>
    </w:pPr>
  </w:style>
  <w:style w:type="paragraph" w:styleId="1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16">
    <w:name w:val="Table Grid"/>
    <w:basedOn w:val="1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Hyperlink"/>
    <w:basedOn w:val="17"/>
    <w:autoRedefine/>
    <w:unhideWhenUsed/>
    <w:qFormat/>
    <w:uiPriority w:val="99"/>
    <w:rPr>
      <w:color w:val="0000FF" w:themeColor="hyperlink"/>
      <w:u w:val="single"/>
      <w14:textFill>
        <w14:solidFill>
          <w14:schemeClr w14:val="hlink"/>
        </w14:solidFill>
      </w14:textFill>
    </w:rPr>
  </w:style>
  <w:style w:type="character" w:styleId="20">
    <w:name w:val="annotation reference"/>
    <w:basedOn w:val="17"/>
    <w:autoRedefine/>
    <w:semiHidden/>
    <w:unhideWhenUsed/>
    <w:qFormat/>
    <w:uiPriority w:val="99"/>
    <w:rPr>
      <w:sz w:val="21"/>
      <w:szCs w:val="21"/>
    </w:rPr>
  </w:style>
  <w:style w:type="character" w:styleId="21">
    <w:name w:val="footnote reference"/>
    <w:basedOn w:val="17"/>
    <w:semiHidden/>
    <w:unhideWhenUsed/>
    <w:qFormat/>
    <w:uiPriority w:val="99"/>
    <w:rPr>
      <w:vertAlign w:val="superscript"/>
    </w:rPr>
  </w:style>
  <w:style w:type="character" w:customStyle="1" w:styleId="22">
    <w:name w:val="页眉 字符"/>
    <w:basedOn w:val="17"/>
    <w:link w:val="11"/>
    <w:autoRedefine/>
    <w:qFormat/>
    <w:uiPriority w:val="99"/>
    <w:rPr>
      <w:sz w:val="18"/>
      <w:szCs w:val="18"/>
    </w:rPr>
  </w:style>
  <w:style w:type="character" w:customStyle="1" w:styleId="23">
    <w:name w:val="页脚 字符"/>
    <w:basedOn w:val="17"/>
    <w:link w:val="10"/>
    <w:autoRedefine/>
    <w:qFormat/>
    <w:uiPriority w:val="99"/>
    <w:rPr>
      <w:sz w:val="18"/>
      <w:szCs w:val="18"/>
    </w:rPr>
  </w:style>
  <w:style w:type="paragraph" w:customStyle="1" w:styleId="24">
    <w:name w:val="段"/>
    <w:link w:val="25"/>
    <w:autoRedefine/>
    <w:qFormat/>
    <w:uiPriority w:val="0"/>
    <w:pPr>
      <w:tabs>
        <w:tab w:val="center" w:pos="4201"/>
        <w:tab w:val="right" w:leader="dot" w:pos="9298"/>
      </w:tabs>
      <w:autoSpaceDE w:val="0"/>
      <w:autoSpaceDN w:val="0"/>
      <w:ind w:firstLine="420" w:firstLineChars="200"/>
      <w:jc w:val="both"/>
    </w:pPr>
    <w:rPr>
      <w:rFonts w:ascii="宋体" w:hAnsi="宋体" w:eastAsia="宋体" w:cs="宋体"/>
      <w:color w:val="000000"/>
      <w:sz w:val="21"/>
      <w:szCs w:val="21"/>
      <w:lang w:val="en-US" w:eastAsia="zh-CN" w:bidi="ar-SA"/>
    </w:rPr>
  </w:style>
  <w:style w:type="character" w:customStyle="1" w:styleId="25">
    <w:name w:val="段 Char"/>
    <w:basedOn w:val="17"/>
    <w:link w:val="24"/>
    <w:autoRedefine/>
    <w:qFormat/>
    <w:uiPriority w:val="0"/>
    <w:rPr>
      <w:rFonts w:ascii="宋体" w:hAnsi="宋体" w:eastAsia="宋体" w:cs="宋体"/>
      <w:color w:val="000000"/>
      <w:kern w:val="0"/>
    </w:rPr>
  </w:style>
  <w:style w:type="paragraph" w:customStyle="1" w:styleId="26">
    <w:name w:val="一级条标题"/>
    <w:next w:val="24"/>
    <w:autoRedefine/>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7">
    <w:name w:val="章标题"/>
    <w:next w:val="24"/>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二级条标题"/>
    <w:basedOn w:val="26"/>
    <w:next w:val="24"/>
    <w:autoRedefine/>
    <w:qFormat/>
    <w:uiPriority w:val="0"/>
    <w:pPr>
      <w:numPr>
        <w:ilvl w:val="2"/>
      </w:numPr>
      <w:outlineLvl w:val="3"/>
    </w:pPr>
  </w:style>
  <w:style w:type="paragraph" w:customStyle="1" w:styleId="29">
    <w:name w:val="三级条标题"/>
    <w:basedOn w:val="28"/>
    <w:next w:val="24"/>
    <w:autoRedefine/>
    <w:qFormat/>
    <w:uiPriority w:val="0"/>
    <w:pPr>
      <w:numPr>
        <w:ilvl w:val="3"/>
      </w:numPr>
      <w:outlineLvl w:val="4"/>
    </w:pPr>
  </w:style>
  <w:style w:type="paragraph" w:customStyle="1" w:styleId="30">
    <w:name w:val="四级条标题"/>
    <w:basedOn w:val="29"/>
    <w:next w:val="24"/>
    <w:autoRedefine/>
    <w:qFormat/>
    <w:uiPriority w:val="0"/>
    <w:pPr>
      <w:numPr>
        <w:ilvl w:val="4"/>
      </w:numPr>
      <w:outlineLvl w:val="5"/>
    </w:pPr>
  </w:style>
  <w:style w:type="paragraph" w:customStyle="1" w:styleId="31">
    <w:name w:val="五级条标题"/>
    <w:basedOn w:val="30"/>
    <w:next w:val="24"/>
    <w:autoRedefine/>
    <w:qFormat/>
    <w:uiPriority w:val="0"/>
    <w:pPr>
      <w:numPr>
        <w:ilvl w:val="5"/>
      </w:numPr>
      <w:outlineLvl w:val="6"/>
    </w:pPr>
  </w:style>
  <w:style w:type="paragraph" w:customStyle="1" w:styleId="32">
    <w:name w:val="一级无"/>
    <w:basedOn w:val="26"/>
    <w:autoRedefine/>
    <w:qFormat/>
    <w:uiPriority w:val="0"/>
    <w:pPr>
      <w:numPr>
        <w:ilvl w:val="0"/>
        <w:numId w:val="0"/>
      </w:numPr>
      <w:spacing w:beforeLines="0" w:afterLines="0"/>
      <w:ind w:left="284" w:hanging="420"/>
    </w:pPr>
    <w:rPr>
      <w:rFonts w:ascii="宋体" w:eastAsia="宋体"/>
    </w:rPr>
  </w:style>
  <w:style w:type="paragraph" w:customStyle="1" w:styleId="33">
    <w:name w:val="数字编号列项（二级）"/>
    <w:autoRedefine/>
    <w:qFormat/>
    <w:uiPriority w:val="0"/>
    <w:pPr>
      <w:numPr>
        <w:ilvl w:val="1"/>
        <w:numId w:val="2"/>
      </w:numPr>
      <w:jc w:val="both"/>
    </w:pPr>
    <w:rPr>
      <w:rFonts w:ascii="宋体" w:hAnsi="Times New Roman" w:eastAsia="宋体" w:cs="Times New Roman"/>
      <w:sz w:val="21"/>
      <w:lang w:val="en-US" w:eastAsia="zh-CN" w:bidi="ar-SA"/>
    </w:rPr>
  </w:style>
  <w:style w:type="paragraph" w:customStyle="1" w:styleId="34">
    <w:name w:val="字母编号列项（一级）"/>
    <w:autoRedefine/>
    <w:qFormat/>
    <w:uiPriority w:val="0"/>
    <w:pPr>
      <w:numPr>
        <w:ilvl w:val="0"/>
        <w:numId w:val="2"/>
      </w:numPr>
      <w:jc w:val="both"/>
    </w:pPr>
    <w:rPr>
      <w:rFonts w:ascii="宋体" w:hAnsi="Times New Roman" w:eastAsia="宋体" w:cs="Times New Roman"/>
      <w:sz w:val="21"/>
      <w:lang w:val="en-US" w:eastAsia="zh-CN" w:bidi="ar-SA"/>
    </w:rPr>
  </w:style>
  <w:style w:type="paragraph" w:customStyle="1" w:styleId="35">
    <w:name w:val="编号列项（三级）"/>
    <w:autoRedefine/>
    <w:qFormat/>
    <w:uiPriority w:val="0"/>
    <w:pPr>
      <w:numPr>
        <w:ilvl w:val="2"/>
        <w:numId w:val="2"/>
      </w:numPr>
    </w:pPr>
    <w:rPr>
      <w:rFonts w:ascii="宋体" w:hAnsi="Times New Roman" w:eastAsia="宋体" w:cs="Times New Roman"/>
      <w:sz w:val="21"/>
      <w:lang w:val="en-US" w:eastAsia="zh-CN" w:bidi="ar-SA"/>
    </w:rPr>
  </w:style>
  <w:style w:type="paragraph" w:customStyle="1" w:styleId="36">
    <w:name w:val="附录标识"/>
    <w:basedOn w:val="1"/>
    <w:next w:val="24"/>
    <w:autoRedefine/>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37">
    <w:name w:val="附录二级条标题"/>
    <w:basedOn w:val="1"/>
    <w:next w:val="24"/>
    <w:autoRedefine/>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38">
    <w:name w:val="附录三级条标题"/>
    <w:basedOn w:val="37"/>
    <w:next w:val="24"/>
    <w:autoRedefine/>
    <w:qFormat/>
    <w:uiPriority w:val="0"/>
    <w:pPr>
      <w:numPr>
        <w:ilvl w:val="4"/>
      </w:numPr>
      <w:outlineLvl w:val="4"/>
    </w:pPr>
  </w:style>
  <w:style w:type="paragraph" w:customStyle="1" w:styleId="39">
    <w:name w:val="附录四级条标题"/>
    <w:basedOn w:val="38"/>
    <w:next w:val="24"/>
    <w:autoRedefine/>
    <w:qFormat/>
    <w:uiPriority w:val="0"/>
    <w:pPr>
      <w:numPr>
        <w:ilvl w:val="5"/>
      </w:numPr>
      <w:outlineLvl w:val="5"/>
    </w:pPr>
  </w:style>
  <w:style w:type="paragraph" w:customStyle="1" w:styleId="40">
    <w:name w:val="附录五级条标题"/>
    <w:basedOn w:val="39"/>
    <w:next w:val="24"/>
    <w:autoRedefine/>
    <w:qFormat/>
    <w:uiPriority w:val="0"/>
    <w:pPr>
      <w:numPr>
        <w:ilvl w:val="6"/>
      </w:numPr>
      <w:outlineLvl w:val="6"/>
    </w:pPr>
  </w:style>
  <w:style w:type="paragraph" w:customStyle="1" w:styleId="41">
    <w:name w:val="附录章标题"/>
    <w:next w:val="24"/>
    <w:autoRedefine/>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一级条标题"/>
    <w:basedOn w:val="41"/>
    <w:next w:val="24"/>
    <w:link w:val="44"/>
    <w:autoRedefine/>
    <w:qFormat/>
    <w:uiPriority w:val="0"/>
    <w:pPr>
      <w:numPr>
        <w:ilvl w:val="2"/>
      </w:numPr>
      <w:autoSpaceDN w:val="0"/>
      <w:spacing w:beforeLines="50" w:afterLines="50"/>
      <w:outlineLvl w:val="2"/>
    </w:pPr>
  </w:style>
  <w:style w:type="paragraph" w:customStyle="1" w:styleId="43">
    <w:name w:val="正文表标题"/>
    <w:next w:val="24"/>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44">
    <w:name w:val="附录一级条标题 Char"/>
    <w:link w:val="42"/>
    <w:autoRedefine/>
    <w:qFormat/>
    <w:uiPriority w:val="0"/>
    <w:rPr>
      <w:rFonts w:ascii="黑体" w:hAnsi="Times New Roman" w:eastAsia="黑体" w:cs="Times New Roman"/>
      <w:kern w:val="21"/>
      <w:szCs w:val="20"/>
    </w:rPr>
  </w:style>
  <w:style w:type="paragraph" w:styleId="45">
    <w:name w:val="List Paragraph"/>
    <w:basedOn w:val="1"/>
    <w:autoRedefine/>
    <w:qFormat/>
    <w:uiPriority w:val="34"/>
    <w:pPr>
      <w:ind w:firstLine="420" w:firstLineChars="200"/>
    </w:pPr>
    <w:rPr>
      <w:rFonts w:ascii="Times New Roman" w:hAnsi="Times New Roman" w:eastAsia="宋体" w:cs="Times New Roman"/>
      <w:szCs w:val="24"/>
    </w:rPr>
  </w:style>
  <w:style w:type="character" w:customStyle="1" w:styleId="46">
    <w:name w:val="apple-converted-space"/>
    <w:basedOn w:val="17"/>
    <w:autoRedefine/>
    <w:qFormat/>
    <w:uiPriority w:val="0"/>
  </w:style>
  <w:style w:type="character" w:customStyle="1" w:styleId="47">
    <w:name w:val="批注文字 字符"/>
    <w:basedOn w:val="17"/>
    <w:link w:val="5"/>
    <w:autoRedefine/>
    <w:semiHidden/>
    <w:qFormat/>
    <w:uiPriority w:val="99"/>
  </w:style>
  <w:style w:type="character" w:customStyle="1" w:styleId="48">
    <w:name w:val="批注框文本 字符"/>
    <w:basedOn w:val="17"/>
    <w:link w:val="9"/>
    <w:autoRedefine/>
    <w:semiHidden/>
    <w:qFormat/>
    <w:uiPriority w:val="99"/>
    <w:rPr>
      <w:sz w:val="18"/>
      <w:szCs w:val="18"/>
    </w:rPr>
  </w:style>
  <w:style w:type="paragraph" w:customStyle="1" w:styleId="49">
    <w:name w:val="注：（正文）"/>
    <w:basedOn w:val="1"/>
    <w:next w:val="24"/>
    <w:autoRedefine/>
    <w:qFormat/>
    <w:uiPriority w:val="0"/>
    <w:pPr>
      <w:numPr>
        <w:ilvl w:val="0"/>
        <w:numId w:val="4"/>
      </w:numPr>
      <w:autoSpaceDE w:val="0"/>
      <w:autoSpaceDN w:val="0"/>
    </w:pPr>
    <w:rPr>
      <w:rFonts w:ascii="宋体" w:hAnsi="Times New Roman" w:eastAsia="宋体" w:cs="Times New Roman"/>
      <w:kern w:val="0"/>
      <w:sz w:val="18"/>
      <w:szCs w:val="18"/>
    </w:rPr>
  </w:style>
  <w:style w:type="paragraph" w:customStyle="1" w:styleId="50">
    <w:name w:val="示例"/>
    <w:next w:val="1"/>
    <w:autoRedefine/>
    <w:qFormat/>
    <w:uiPriority w:val="0"/>
    <w:pPr>
      <w:widowControl w:val="0"/>
      <w:numPr>
        <w:ilvl w:val="0"/>
        <w:numId w:val="5"/>
      </w:numPr>
      <w:jc w:val="both"/>
    </w:pPr>
    <w:rPr>
      <w:rFonts w:ascii="宋体" w:hAnsi="Times New Roman" w:eastAsia="宋体" w:cs="Times New Roman"/>
      <w:sz w:val="18"/>
      <w:szCs w:val="18"/>
      <w:lang w:val="en-US" w:eastAsia="zh-CN" w:bidi="ar-SA"/>
    </w:rPr>
  </w:style>
  <w:style w:type="character" w:customStyle="1" w:styleId="51">
    <w:name w:val="日期 字符"/>
    <w:basedOn w:val="17"/>
    <w:link w:val="8"/>
    <w:autoRedefine/>
    <w:semiHidden/>
    <w:qFormat/>
    <w:uiPriority w:val="99"/>
    <w:rPr>
      <w:rFonts w:asciiTheme="minorHAnsi" w:hAnsiTheme="minorHAnsi" w:eastAsiaTheme="minorEastAsia" w:cstheme="minorBidi"/>
      <w:kern w:val="2"/>
      <w:sz w:val="21"/>
      <w:szCs w:val="21"/>
    </w:rPr>
  </w:style>
  <w:style w:type="paragraph" w:customStyle="1" w:styleId="52">
    <w:name w:val="修订1"/>
    <w:autoRedefine/>
    <w:hidden/>
    <w:unhideWhenUsed/>
    <w:qFormat/>
    <w:uiPriority w:val="99"/>
    <w:rPr>
      <w:rFonts w:asciiTheme="minorHAnsi" w:hAnsiTheme="minorHAnsi" w:eastAsiaTheme="minorEastAsia" w:cstheme="minorBidi"/>
      <w:kern w:val="2"/>
      <w:sz w:val="21"/>
      <w:szCs w:val="21"/>
      <w:lang w:val="en-US" w:eastAsia="zh-CN" w:bidi="ar-SA"/>
    </w:rPr>
  </w:style>
  <w:style w:type="paragraph" w:customStyle="1" w:styleId="53">
    <w:name w:val="表格内容"/>
    <w:basedOn w:val="54"/>
    <w:autoRedefine/>
    <w:qFormat/>
    <w:uiPriority w:val="0"/>
    <w:pPr>
      <w:spacing w:before="0" w:beforeLines="0"/>
    </w:pPr>
    <w:rPr>
      <w:b w:val="0"/>
      <w:color w:val="000000" w:themeColor="text1"/>
      <w14:textFill>
        <w14:solidFill>
          <w14:schemeClr w14:val="tx1"/>
        </w14:solidFill>
      </w14:textFill>
    </w:rPr>
  </w:style>
  <w:style w:type="paragraph" w:customStyle="1" w:styleId="54">
    <w:name w:val="表格标题"/>
    <w:basedOn w:val="1"/>
    <w:autoRedefine/>
    <w:qFormat/>
    <w:uiPriority w:val="0"/>
    <w:pPr>
      <w:spacing w:before="50" w:beforeLines="50"/>
      <w:jc w:val="center"/>
    </w:pPr>
    <w:rPr>
      <w:b/>
      <w:bCs/>
    </w:rPr>
  </w:style>
  <w:style w:type="paragraph" w:customStyle="1" w:styleId="55">
    <w:name w:val="列出段落1"/>
    <w:basedOn w:val="1"/>
    <w:autoRedefine/>
    <w:qFormat/>
    <w:uiPriority w:val="34"/>
    <w:pPr>
      <w:widowControl/>
      <w:adjustRightInd w:val="0"/>
      <w:snapToGrid w:val="0"/>
      <w:spacing w:before="120" w:after="120" w:line="276" w:lineRule="auto"/>
      <w:ind w:firstLine="420" w:firstLineChars="200"/>
      <w:jc w:val="left"/>
    </w:pPr>
    <w:rPr>
      <w:rFonts w:cs="黑体"/>
      <w:kern w:val="0"/>
    </w:rPr>
  </w:style>
  <w:style w:type="table" w:customStyle="1" w:styleId="56">
    <w:name w:val="Table Normal"/>
    <w:semiHidden/>
    <w:unhideWhenUsed/>
    <w:qFormat/>
    <w:uiPriority w:val="0"/>
    <w:tblPr>
      <w:tblCellMar>
        <w:top w:w="0" w:type="dxa"/>
        <w:left w:w="0" w:type="dxa"/>
        <w:bottom w:w="0" w:type="dxa"/>
        <w:right w:w="0" w:type="dxa"/>
      </w:tblCellMar>
    </w:tblPr>
  </w:style>
  <w:style w:type="paragraph" w:customStyle="1" w:styleId="5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DAA2-8017-41C7-A44E-7C49145870C7}">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13801</Words>
  <Characters>14827</Characters>
  <Lines>86</Lines>
  <Paragraphs>24</Paragraphs>
  <TotalTime>13</TotalTime>
  <ScaleCrop>false</ScaleCrop>
  <LinksUpToDate>false</LinksUpToDate>
  <CharactersWithSpaces>14996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2020-07-20T08:36:00Z</dcterms:created>
  <dc:creator>mlp</dc:creator>
  <cp:lastModifiedBy>刘蓉蓉</cp:lastModifiedBy>
  <cp:lastPrinted>2026-08-27T06:51:00Z</cp:lastPrinted>
  <dcterms:modified xsi:type="dcterms:W3CDTF">2026-08-28T03:42:36Z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3BB1224CC93346FBBB40B22FE8AD62E0_13</vt:lpwstr>
  </property>
  <property fmtid="{D5CDD505-2E9C-101B-9397-08002B2CF9AE}" pid="4" name="KSOTemplateDocerSaveRecord">
    <vt:lpwstr>eyJoZGlkIjoiMDJmYzk3YWQ4YTgwOWIxMWU3NDQ2MjIwNWU0Yzg0MjIiLCJ1c2VySWQiOiI1MzAxMjAzNzIifQ==</vt:lpwstr>
  </property>
</Properties>
</file>